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0F2D4A"/>
      </w:pPr>
      <w:r>
        <w:rPr>
          <w:rFonts w:ascii="Calibri" w:hAnsi="Calibri"/>
          <w:b/>
          <w:color w:val="FFFFFF"/>
          <w:sz w:val="56"/>
        </w:rPr>
        <w:t>RENALDO</w:t>
      </w:r>
    </w:p>
    <w:p>
      <w:pPr>
        <w:jc w:val="center"/>
        <w:shd w:val="clear" w:color="auto" w:fill="0F2D4A"/>
      </w:pPr>
      <w:r>
        <w:rPr>
          <w:rFonts w:ascii="Calibri" w:hAnsi="Calibri"/>
          <w:color w:val="A0C4E0"/>
          <w:sz w:val="26"/>
        </w:rPr>
        <w:t>RarE kidNey dAta compLeteness DashbOard</w:t>
      </w:r>
    </w:p>
    <w:p>
      <w:pPr>
        <w:jc w:val="center"/>
        <w:shd w:val="clear" w:color="auto" w:fill="0F2D4A"/>
      </w:pPr>
      <w:r>
        <w:rPr>
          <w:rFonts w:ascii="Calibri" w:hAnsi="Calibri"/>
          <w:color w:val="A0C4E0"/>
          <w:sz w:val="20"/>
        </w:rPr>
        <w:t>UK Kidney Association  ·  RaDaR Registry</w:t>
      </w:r>
    </w:p>
    <w:p>
      <w:pPr>
        <w:jc w:val="center"/>
        <w:shd w:val="clear" w:color="auto" w:fill="1A4A6E"/>
      </w:pPr>
      <w:r>
        <w:rPr>
          <w:rFonts w:ascii="Calibri" w:hAnsi="Calibri"/>
          <w:color w:val="CCDDEE"/>
          <w:sz w:val="18"/>
        </w:rPr>
        <w:t>Version 1.0  ·  April 2026  ·  renaldo.onrender.com</w:t>
      </w:r>
    </w:p>
    <w:p/>
    <w:p>
      <w:pPr>
        <w:pStyle w:val="Heading1"/>
      </w:pPr>
      <w:r>
        <w:t>1.  Background</w:t>
      </w:r>
    </w:p>
    <w:p>
      <w:pPr>
        <w:spacing w:after="120"/>
      </w:pPr>
      <w:r>
        <w:t xml:space="preserve">The </w:t>
      </w:r>
      <w:r>
        <w:rPr>
          <w:b/>
        </w:rPr>
        <w:t>National Registry of Rare Kidney Diseases (RaDaR)</w:t>
      </w:r>
      <w:r>
        <w:t xml:space="preserve"> is a national registry collecting longitudinal clinical data on patients with rare and complex kidney conditions across the UK. It is managed by the </w:t>
      </w:r>
      <w:r>
        <w:rPr>
          <w:b/>
        </w:rPr>
        <w:t>UK Kidney Association (UKKA)</w:t>
      </w:r>
      <w:r>
        <w:t xml:space="preserve"> and brings together data from renal units across England, Wales, Scotland, and Northern Ireland.</w:t>
      </w:r>
    </w:p>
    <w:p>
      <w:pPr>
        <w:spacing w:after="120"/>
      </w:pPr>
      <w:r>
        <w:t>RaDaR currently holds records for over 39,000 patients across 33 disease cohort groups. As with any large clinical registry, the quality and completeness of data varies across sites and cohorts. Poor completeness limits the scientific and clinical value of the registry.</w:t>
      </w:r>
    </w:p>
    <w:p>
      <w:pPr>
        <w:spacing w:after="120"/>
      </w:pPr>
      <w:r/>
      <w:r>
        <w:rPr>
          <w:b/>
        </w:rPr>
        <w:t>RENALDO</w:t>
      </w:r>
      <w:r>
        <w:t xml:space="preserve"> (RarE kidNey dAta compLeteness DashbOard) was developed to provide a clear, regularly updated view of data completeness across the entire RaDaR dataset — enabling data managers, cohort leads, and the UKKA to quickly identify where data collection requires improvement.</w:t>
      </w:r>
    </w:p>
    <w:p>
      <w:pPr>
        <w:pStyle w:val="Heading1"/>
      </w:pPr>
      <w:r>
        <w:t>2.  Patient Population</w:t>
      </w:r>
    </w:p>
    <w:p>
      <w:pPr>
        <w:pStyle w:val="Heading2"/>
      </w:pPr>
      <w:r>
        <w:t>2.1  Inclusion Criteria</w:t>
      </w:r>
    </w:p>
    <w:p>
      <w:pPr>
        <w:spacing w:after="120"/>
      </w:pPr>
      <w:r>
        <w:t>Only patients meeting all of the following criteria are included in the analysis: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6FA8"/>
          </w:tcPr>
          <w:p>
            <w:pPr>
              <w:jc w:val="center"/>
            </w:pPr>
            <w:r>
              <w:rPr>
                <w:rFonts w:ascii="Calibri" w:hAnsi="Calibri"/>
                <w:b/>
                <w:color w:val="FFFFFF"/>
                <w:sz w:val="19"/>
              </w:rPr>
              <w:t>Criterion</w:t>
            </w:r>
          </w:p>
        </w:tc>
        <w:tc>
          <w:tcPr>
            <w:tcW w:type="dxa" w:w="4703"/>
            <w:shd w:val="clear" w:color="auto" w:fill="1A6FA8"/>
          </w:tcPr>
          <w:p>
            <w:pPr>
              <w:jc w:val="center"/>
            </w:pPr>
            <w:r>
              <w:rPr>
                <w:rFonts w:ascii="Calibri" w:hAnsi="Calibri"/>
                <w:b/>
                <w:color w:val="FFFFFF"/>
                <w:sz w:val="19"/>
              </w:rPr>
              <w:t>Rule</w:t>
            </w:r>
          </w:p>
        </w:tc>
      </w:tr>
      <w:tr>
        <w:tc>
          <w:tcPr>
            <w:tcW w:type="dxa" w:w="4703"/>
            <w:shd w:val="clear" w:color="auto" w:fill="FFFFFF"/>
          </w:tcPr>
          <w:p>
            <w:pPr>
              <w:jc w:val="left"/>
            </w:pPr>
            <w:r>
              <w:rPr>
                <w:rFonts w:ascii="Calibri" w:hAnsi="Calibri"/>
                <w:color w:val="4A5568"/>
                <w:sz w:val="19"/>
              </w:rPr>
              <w:t>Source</w:t>
            </w:r>
          </w:p>
        </w:tc>
        <w:tc>
          <w:tcPr>
            <w:tcW w:type="dxa" w:w="4703"/>
            <w:shd w:val="clear" w:color="auto" w:fill="FFFFFF"/>
          </w:tcPr>
          <w:p>
            <w:pPr>
              <w:jc w:val="left"/>
            </w:pPr>
            <w:r>
              <w:rPr>
                <w:rFonts w:ascii="Calibri" w:hAnsi="Calibri"/>
                <w:color w:val="4A5568"/>
                <w:sz w:val="19"/>
              </w:rPr>
              <w:t>Demographics record must have source_type = 'RADAR'</w:t>
            </w:r>
          </w:p>
        </w:tc>
      </w:tr>
      <w:tr>
        <w:tc>
          <w:tcPr>
            <w:tcW w:type="dxa" w:w="4703"/>
            <w:shd w:val="clear" w:color="auto" w:fill="F4F6F9"/>
          </w:tcPr>
          <w:p>
            <w:pPr>
              <w:jc w:val="left"/>
            </w:pPr>
            <w:r>
              <w:rPr>
                <w:rFonts w:ascii="Calibri" w:hAnsi="Calibri"/>
                <w:color w:val="4A5568"/>
                <w:sz w:val="19"/>
              </w:rPr>
              <w:t>Patient type</w:t>
            </w:r>
          </w:p>
        </w:tc>
        <w:tc>
          <w:tcPr>
            <w:tcW w:type="dxa" w:w="4703"/>
            <w:shd w:val="clear" w:color="auto" w:fill="F4F6F9"/>
          </w:tcPr>
          <w:p>
            <w:pPr>
              <w:jc w:val="left"/>
            </w:pPr>
            <w:r>
              <w:rPr>
                <w:rFonts w:ascii="Calibri" w:hAnsi="Calibri"/>
                <w:color w:val="4A5568"/>
                <w:sz w:val="19"/>
              </w:rPr>
              <w:t>test = FALSE and control = FALSE</w:t>
            </w:r>
          </w:p>
        </w:tc>
      </w:tr>
      <w:tr>
        <w:tc>
          <w:tcPr>
            <w:tcW w:type="dxa" w:w="4703"/>
            <w:shd w:val="clear" w:color="auto" w:fill="FFFFFF"/>
          </w:tcPr>
          <w:p>
            <w:pPr>
              <w:jc w:val="left"/>
            </w:pPr>
            <w:r>
              <w:rPr>
                <w:rFonts w:ascii="Calibri" w:hAnsi="Calibri"/>
                <w:color w:val="4A5568"/>
                <w:sz w:val="19"/>
              </w:rPr>
              <w:t>Group type</w:t>
            </w:r>
          </w:p>
        </w:tc>
        <w:tc>
          <w:tcPr>
            <w:tcW w:type="dxa" w:w="4703"/>
            <w:shd w:val="clear" w:color="auto" w:fill="FFFFFF"/>
          </w:tcPr>
          <w:p>
            <w:pPr>
              <w:jc w:val="left"/>
            </w:pPr>
            <w:r>
              <w:rPr>
                <w:rFonts w:ascii="Calibri" w:hAnsi="Calibri"/>
                <w:color w:val="4A5568"/>
                <w:sz w:val="19"/>
              </w:rPr>
              <w:t>Must be enrolled in a group of type COHORT</w:t>
            </w:r>
          </w:p>
        </w:tc>
      </w:tr>
      <w:tr>
        <w:tc>
          <w:tcPr>
            <w:tcW w:type="dxa" w:w="4703"/>
            <w:shd w:val="clear" w:color="auto" w:fill="F4F6F9"/>
          </w:tcPr>
          <w:p>
            <w:pPr>
              <w:jc w:val="left"/>
            </w:pPr>
            <w:r>
              <w:rPr>
                <w:rFonts w:ascii="Calibri" w:hAnsi="Calibri"/>
                <w:color w:val="4A5568"/>
                <w:sz w:val="19"/>
              </w:rPr>
              <w:t>Excluded cohorts</w:t>
            </w:r>
          </w:p>
        </w:tc>
        <w:tc>
          <w:tcPr>
            <w:tcW w:type="dxa" w:w="4703"/>
            <w:shd w:val="clear" w:color="auto" w:fill="F4F6F9"/>
          </w:tcPr>
          <w:p>
            <w:pPr>
              <w:jc w:val="left"/>
            </w:pPr>
            <w:r>
              <w:rPr>
                <w:rFonts w:ascii="Calibri" w:hAnsi="Calibri"/>
                <w:color w:val="4A5568"/>
                <w:sz w:val="19"/>
              </w:rPr>
              <w:t>Must not belong to any excluded group IDs (see Section 2.2)</w:t>
            </w:r>
          </w:p>
        </w:tc>
      </w:tr>
    </w:tbl>
    <w:p/>
    <w:p>
      <w:pPr>
        <w:pStyle w:val="Heading2"/>
      </w:pPr>
      <w:r>
        <w:t>2.2  Excluded Cohorts</w:t>
      </w:r>
    </w:p>
    <w:p>
      <w:pPr>
        <w:spacing w:after="120"/>
      </w:pPr>
      <w:r>
        <w:t>The following cohort groups are excluded from all calculations. These are either non-standard groups, administrative groups, or cohorts not part of the core RaDaR rare kidney disease dataset: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6FA8"/>
          </w:tcPr>
          <w:p>
            <w:pPr>
              <w:jc w:val="center"/>
            </w:pPr>
            <w:r>
              <w:rPr>
                <w:rFonts w:ascii="Calibri" w:hAnsi="Calibri"/>
                <w:b/>
                <w:color w:val="FFFFFF"/>
                <w:sz w:val="19"/>
              </w:rPr>
              <w:t>Group ID</w:t>
            </w:r>
          </w:p>
        </w:tc>
        <w:tc>
          <w:tcPr>
            <w:tcW w:type="dxa" w:w="4703"/>
            <w:shd w:val="clear" w:color="auto" w:fill="1A6FA8"/>
          </w:tcPr>
          <w:p>
            <w:pPr>
              <w:jc w:val="center"/>
            </w:pPr>
            <w:r>
              <w:rPr>
                <w:rFonts w:ascii="Calibri" w:hAnsi="Calibri"/>
                <w:b/>
                <w:color w:val="FFFFFF"/>
                <w:sz w:val="19"/>
              </w:rPr>
              <w:t>Name / Reason for Exclusion</w:t>
            </w:r>
          </w:p>
        </w:tc>
      </w:tr>
      <w:tr>
        <w:tc>
          <w:tcPr>
            <w:tcW w:type="dxa" w:w="4703"/>
            <w:shd w:val="clear" w:color="auto" w:fill="FFFFFF"/>
          </w:tcPr>
          <w:p>
            <w:pPr>
              <w:jc w:val="left"/>
            </w:pPr>
            <w:r>
              <w:rPr>
                <w:rFonts w:ascii="Calibri" w:hAnsi="Calibri"/>
                <w:color w:val="4A5568"/>
                <w:sz w:val="19"/>
              </w:rPr>
              <w:t>137</w:t>
            </w:r>
          </w:p>
        </w:tc>
        <w:tc>
          <w:tcPr>
            <w:tcW w:type="dxa" w:w="4703"/>
            <w:shd w:val="clear" w:color="auto" w:fill="FFFFFF"/>
          </w:tcPr>
          <w:p>
            <w:pPr>
              <w:jc w:val="left"/>
            </w:pPr>
            <w:r>
              <w:rPr>
                <w:rFonts w:ascii="Calibri" w:hAnsi="Calibri"/>
                <w:color w:val="4A5568"/>
                <w:sz w:val="19"/>
              </w:rPr>
              <w:t>NURTuRE-CKD</w:t>
            </w:r>
          </w:p>
        </w:tc>
      </w:tr>
      <w:tr>
        <w:tc>
          <w:tcPr>
            <w:tcW w:type="dxa" w:w="4703"/>
            <w:shd w:val="clear" w:color="auto" w:fill="F4F6F9"/>
          </w:tcPr>
          <w:p>
            <w:pPr>
              <w:jc w:val="left"/>
            </w:pPr>
            <w:r>
              <w:rPr>
                <w:rFonts w:ascii="Calibri" w:hAnsi="Calibri"/>
                <w:color w:val="4A5568"/>
                <w:sz w:val="19"/>
              </w:rPr>
              <w:t>149</w:t>
            </w:r>
          </w:p>
        </w:tc>
        <w:tc>
          <w:tcPr>
            <w:tcW w:type="dxa" w:w="4703"/>
            <w:shd w:val="clear" w:color="auto" w:fill="F4F6F9"/>
          </w:tcPr>
          <w:p>
            <w:pPr>
              <w:jc w:val="left"/>
            </w:pPr>
            <w:r>
              <w:rPr>
                <w:rFonts w:ascii="Calibri" w:hAnsi="Calibri"/>
                <w:color w:val="4A5568"/>
                <w:sz w:val="19"/>
              </w:rPr>
              <w:t>NephroS</w:t>
            </w:r>
          </w:p>
        </w:tc>
      </w:tr>
      <w:tr>
        <w:tc>
          <w:tcPr>
            <w:tcW w:type="dxa" w:w="4703"/>
            <w:shd w:val="clear" w:color="auto" w:fill="FFFFFF"/>
          </w:tcPr>
          <w:p>
            <w:pPr>
              <w:jc w:val="left"/>
            </w:pPr>
            <w:r>
              <w:rPr>
                <w:rFonts w:ascii="Calibri" w:hAnsi="Calibri"/>
                <w:color w:val="4A5568"/>
                <w:sz w:val="19"/>
              </w:rPr>
              <w:t>152</w:t>
            </w:r>
          </w:p>
        </w:tc>
        <w:tc>
          <w:tcPr>
            <w:tcW w:type="dxa" w:w="4703"/>
            <w:shd w:val="clear" w:color="auto" w:fill="FFFFFF"/>
          </w:tcPr>
          <w:p>
            <w:pPr>
              <w:jc w:val="left"/>
            </w:pPr>
            <w:r>
              <w:rPr>
                <w:rFonts w:ascii="Calibri" w:hAnsi="Calibri"/>
                <w:color w:val="4A5568"/>
                <w:sz w:val="19"/>
              </w:rPr>
              <w:t>NaHUS</w:t>
            </w:r>
          </w:p>
        </w:tc>
      </w:tr>
      <w:tr>
        <w:tc>
          <w:tcPr>
            <w:tcW w:type="dxa" w:w="4703"/>
            <w:shd w:val="clear" w:color="auto" w:fill="F4F6F9"/>
          </w:tcPr>
          <w:p>
            <w:pPr>
              <w:jc w:val="left"/>
            </w:pPr>
            <w:r>
              <w:rPr>
                <w:rFonts w:ascii="Calibri" w:hAnsi="Calibri"/>
                <w:color w:val="4A5568"/>
                <w:sz w:val="19"/>
              </w:rPr>
              <w:t>18, 19</w:t>
            </w:r>
          </w:p>
        </w:tc>
        <w:tc>
          <w:tcPr>
            <w:tcW w:type="dxa" w:w="4703"/>
            <w:shd w:val="clear" w:color="auto" w:fill="F4F6F9"/>
          </w:tcPr>
          <w:p>
            <w:pPr>
              <w:jc w:val="left"/>
            </w:pPr>
            <w:r>
              <w:rPr>
                <w:rFonts w:ascii="Calibri" w:hAnsi="Calibri"/>
                <w:color w:val="4A5568"/>
                <w:sz w:val="19"/>
              </w:rPr>
              <w:t>Administrative / legacy groups</w:t>
            </w:r>
          </w:p>
        </w:tc>
      </w:tr>
      <w:tr>
        <w:tc>
          <w:tcPr>
            <w:tcW w:type="dxa" w:w="4703"/>
            <w:shd w:val="clear" w:color="auto" w:fill="FFFFFF"/>
          </w:tcPr>
          <w:p>
            <w:pPr>
              <w:jc w:val="left"/>
            </w:pPr>
            <w:r>
              <w:rPr>
                <w:rFonts w:ascii="Calibri" w:hAnsi="Calibri"/>
                <w:color w:val="4A5568"/>
                <w:sz w:val="19"/>
              </w:rPr>
              <w:t>161, 174, 182, 184, 194, 140, 220, 222</w:t>
            </w:r>
          </w:p>
        </w:tc>
        <w:tc>
          <w:tcPr>
            <w:tcW w:type="dxa" w:w="4703"/>
            <w:shd w:val="clear" w:color="auto" w:fill="FFFFFF"/>
          </w:tcPr>
          <w:p>
            <w:pPr>
              <w:jc w:val="left"/>
            </w:pPr>
            <w:r>
              <w:rPr>
                <w:rFonts w:ascii="Calibri" w:hAnsi="Calibri"/>
                <w:color w:val="4A5568"/>
                <w:sz w:val="19"/>
              </w:rPr>
              <w:t>Withdrawn consent / non-standard groups</w:t>
            </w:r>
          </w:p>
        </w:tc>
      </w:tr>
    </w:tbl>
    <w:p/>
    <w:p>
      <w:pPr>
        <w:pStyle w:val="Heading2"/>
      </w:pPr>
      <w:r>
        <w:t>2.3  Total Patient Count</w:t>
      </w:r>
    </w:p>
    <w:p>
      <w:pPr>
        <w:spacing w:after="120"/>
      </w:pPr>
      <w:r>
        <w:t>After applying all inclusion and exclusion criteria, the total analysed population is:</w:t>
      </w:r>
    </w:p>
    <w:p>
      <w:pPr>
        <w:spacing w:before="80" w:after="160"/>
        <w:ind w:left="283"/>
        <w:shd w:val="clear" w:color="auto" w:fill="E8F3FB"/>
        <w:pBdr>
          <w:left w:val="single" w:sz="18" w:space="8" w:color="1A6FA8"/>
        </w:pBdr>
      </w:pPr>
      <w:r>
        <w:rPr>
          <w:b/>
          <w:color w:val="0F2D4A"/>
          <w:sz w:val="22"/>
        </w:rPr>
        <w:t>N = 39,178 patients</w:t>
      </w:r>
    </w:p>
    <w:p>
      <w:pPr>
        <w:spacing w:after="120"/>
      </w:pPr>
      <w:r>
        <w:t>This is the denominator used for all overall (Section A — Overall RaDaR) completeness calculations.</w:t>
      </w:r>
    </w:p>
    <w:p>
      <w:pPr>
        <w:pStyle w:val="Heading1"/>
      </w:pPr>
      <w:r>
        <w:t>3.  Variables Assessed</w:t>
      </w:r>
    </w:p>
    <w:p>
      <w:pPr>
        <w:pStyle w:val="Heading2"/>
      </w:pPr>
      <w:r>
        <w:t>3.1  Demographic Variables</w:t>
      </w:r>
    </w:p>
    <w:p>
      <w:pPr>
        <w:spacing w:after="120"/>
      </w:pPr>
      <w:r>
        <w:t>The following 11 demographic variables are assessed for all patients across both the overall RaDaR section and each of the 33 cohort sections: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6FA8"/>
          </w:tcPr>
          <w:p>
            <w:pPr>
              <w:jc w:val="center"/>
            </w:pPr>
            <w:r>
              <w:rPr>
                <w:rFonts w:ascii="Calibri" w:hAnsi="Calibri"/>
                <w:b/>
                <w:color w:val="FFFFFF"/>
                <w:sz w:val="19"/>
              </w:rPr>
              <w:t>ID</w:t>
            </w:r>
          </w:p>
        </w:tc>
        <w:tc>
          <w:tcPr>
            <w:tcW w:type="dxa" w:w="2351"/>
            <w:shd w:val="clear" w:color="auto" w:fill="1A6FA8"/>
          </w:tcPr>
          <w:p>
            <w:pPr>
              <w:jc w:val="center"/>
            </w:pPr>
            <w:r>
              <w:rPr>
                <w:rFonts w:ascii="Calibri" w:hAnsi="Calibri"/>
                <w:b/>
                <w:color w:val="FFFFFF"/>
                <w:sz w:val="19"/>
              </w:rPr>
              <w:t>Variable</w:t>
            </w:r>
          </w:p>
        </w:tc>
        <w:tc>
          <w:tcPr>
            <w:tcW w:type="dxa" w:w="2351"/>
            <w:shd w:val="clear" w:color="auto" w:fill="1A6FA8"/>
          </w:tcPr>
          <w:p>
            <w:pPr>
              <w:jc w:val="center"/>
            </w:pPr>
            <w:r>
              <w:rPr>
                <w:rFonts w:ascii="Calibri" w:hAnsi="Calibri"/>
                <w:b/>
                <w:color w:val="FFFFFF"/>
                <w:sz w:val="19"/>
              </w:rPr>
              <w:t>Required</w:t>
            </w:r>
          </w:p>
        </w:tc>
        <w:tc>
          <w:tcPr>
            <w:tcW w:type="dxa" w:w="2351"/>
            <w:shd w:val="clear" w:color="auto" w:fill="1A6FA8"/>
          </w:tcPr>
          <w:p>
            <w:pPr>
              <w:jc w:val="center"/>
            </w:pPr>
            <w:r>
              <w:rPr>
                <w:rFonts w:ascii="Calibri" w:hAnsi="Calibri"/>
                <w:b/>
                <w:color w:val="FFFFFF"/>
                <w:sz w:val="19"/>
              </w:rPr>
              <w:t>Source</w:t>
            </w:r>
          </w:p>
        </w:tc>
      </w:tr>
      <w:tr>
        <w:tc>
          <w:tcPr>
            <w:tcW w:type="dxa" w:w="2351"/>
            <w:shd w:val="clear" w:color="auto" w:fill="FFFFFF"/>
          </w:tcPr>
          <w:p>
            <w:pPr>
              <w:jc w:val="left"/>
            </w:pPr>
            <w:r>
              <w:rPr>
                <w:rFonts w:ascii="Calibri" w:hAnsi="Calibri"/>
                <w:color w:val="4A5568"/>
                <w:sz w:val="19"/>
              </w:rPr>
              <w:t>A.1</w:t>
            </w:r>
          </w:p>
        </w:tc>
        <w:tc>
          <w:tcPr>
            <w:tcW w:type="dxa" w:w="2351"/>
            <w:shd w:val="clear" w:color="auto" w:fill="FFFFFF"/>
          </w:tcPr>
          <w:p>
            <w:pPr>
              <w:jc w:val="left"/>
            </w:pPr>
            <w:r>
              <w:rPr>
                <w:rFonts w:ascii="Calibri" w:hAnsi="Calibri"/>
                <w:color w:val="4A5568"/>
                <w:sz w:val="19"/>
              </w:rPr>
              <w:t>First Name</w:t>
            </w:r>
          </w:p>
        </w:tc>
        <w:tc>
          <w:tcPr>
            <w:tcW w:type="dxa" w:w="2351"/>
            <w:shd w:val="clear" w:color="auto" w:fill="FFFFFF"/>
          </w:tcPr>
          <w:p>
            <w:pPr>
              <w:jc w:val="left"/>
            </w:pPr>
            <w:r>
              <w:rPr>
                <w:rFonts w:ascii="Calibri" w:hAnsi="Calibri"/>
                <w:color w:val="4A5568"/>
                <w:sz w:val="19"/>
              </w:rPr>
              <w:t>Yes</w:t>
            </w:r>
          </w:p>
        </w:tc>
        <w:tc>
          <w:tcPr>
            <w:tcW w:type="dxa" w:w="2351"/>
            <w:shd w:val="clear" w:color="auto" w:fill="FFFFFF"/>
          </w:tcPr>
          <w:p>
            <w:pPr>
              <w:jc w:val="left"/>
            </w:pPr>
            <w:r>
              <w:rPr>
                <w:rFonts w:ascii="Calibri" w:hAnsi="Calibri"/>
                <w:color w:val="4A5568"/>
                <w:sz w:val="19"/>
              </w:rPr>
              <w:t>patient_demographics.first_name</w:t>
            </w:r>
          </w:p>
        </w:tc>
      </w:tr>
      <w:tr>
        <w:tc>
          <w:tcPr>
            <w:tcW w:type="dxa" w:w="2351"/>
            <w:shd w:val="clear" w:color="auto" w:fill="F4F6F9"/>
          </w:tcPr>
          <w:p>
            <w:pPr>
              <w:jc w:val="left"/>
            </w:pPr>
            <w:r>
              <w:rPr>
                <w:rFonts w:ascii="Calibri" w:hAnsi="Calibri"/>
                <w:color w:val="4A5568"/>
                <w:sz w:val="19"/>
              </w:rPr>
              <w:t>A.2</w:t>
            </w:r>
          </w:p>
        </w:tc>
        <w:tc>
          <w:tcPr>
            <w:tcW w:type="dxa" w:w="2351"/>
            <w:shd w:val="clear" w:color="auto" w:fill="F4F6F9"/>
          </w:tcPr>
          <w:p>
            <w:pPr>
              <w:jc w:val="left"/>
            </w:pPr>
            <w:r>
              <w:rPr>
                <w:rFonts w:ascii="Calibri" w:hAnsi="Calibri"/>
                <w:color w:val="4A5568"/>
                <w:sz w:val="19"/>
              </w:rPr>
              <w:t>Last Name</w:t>
            </w:r>
          </w:p>
        </w:tc>
        <w:tc>
          <w:tcPr>
            <w:tcW w:type="dxa" w:w="2351"/>
            <w:shd w:val="clear" w:color="auto" w:fill="F4F6F9"/>
          </w:tcPr>
          <w:p>
            <w:pPr>
              <w:jc w:val="left"/>
            </w:pPr>
            <w:r>
              <w:rPr>
                <w:rFonts w:ascii="Calibri" w:hAnsi="Calibri"/>
                <w:color w:val="4A5568"/>
                <w:sz w:val="19"/>
              </w:rPr>
              <w:t>Yes</w:t>
            </w:r>
          </w:p>
        </w:tc>
        <w:tc>
          <w:tcPr>
            <w:tcW w:type="dxa" w:w="2351"/>
            <w:shd w:val="clear" w:color="auto" w:fill="F4F6F9"/>
          </w:tcPr>
          <w:p>
            <w:pPr>
              <w:jc w:val="left"/>
            </w:pPr>
            <w:r>
              <w:rPr>
                <w:rFonts w:ascii="Calibri" w:hAnsi="Calibri"/>
                <w:color w:val="4A5568"/>
                <w:sz w:val="19"/>
              </w:rPr>
              <w:t>patient_demographics.last_name</w:t>
            </w:r>
          </w:p>
        </w:tc>
      </w:tr>
      <w:tr>
        <w:tc>
          <w:tcPr>
            <w:tcW w:type="dxa" w:w="2351"/>
            <w:shd w:val="clear" w:color="auto" w:fill="FFFFFF"/>
          </w:tcPr>
          <w:p>
            <w:pPr>
              <w:jc w:val="left"/>
            </w:pPr>
            <w:r>
              <w:rPr>
                <w:rFonts w:ascii="Calibri" w:hAnsi="Calibri"/>
                <w:color w:val="4A5568"/>
                <w:sz w:val="19"/>
              </w:rPr>
              <w:t>A.3</w:t>
            </w:r>
          </w:p>
        </w:tc>
        <w:tc>
          <w:tcPr>
            <w:tcW w:type="dxa" w:w="2351"/>
            <w:shd w:val="clear" w:color="auto" w:fill="FFFFFF"/>
          </w:tcPr>
          <w:p>
            <w:pPr>
              <w:jc w:val="left"/>
            </w:pPr>
            <w:r>
              <w:rPr>
                <w:rFonts w:ascii="Calibri" w:hAnsi="Calibri"/>
                <w:color w:val="4A5568"/>
                <w:sz w:val="19"/>
              </w:rPr>
              <w:t>Date of Birth</w:t>
            </w:r>
          </w:p>
        </w:tc>
        <w:tc>
          <w:tcPr>
            <w:tcW w:type="dxa" w:w="2351"/>
            <w:shd w:val="clear" w:color="auto" w:fill="FFFFFF"/>
          </w:tcPr>
          <w:p>
            <w:pPr>
              <w:jc w:val="left"/>
            </w:pPr>
            <w:r>
              <w:rPr>
                <w:rFonts w:ascii="Calibri" w:hAnsi="Calibri"/>
                <w:color w:val="4A5568"/>
                <w:sz w:val="19"/>
              </w:rPr>
              <w:t>Yes</w:t>
            </w:r>
          </w:p>
        </w:tc>
        <w:tc>
          <w:tcPr>
            <w:tcW w:type="dxa" w:w="2351"/>
            <w:shd w:val="clear" w:color="auto" w:fill="FFFFFF"/>
          </w:tcPr>
          <w:p>
            <w:pPr>
              <w:jc w:val="left"/>
            </w:pPr>
            <w:r>
              <w:rPr>
                <w:rFonts w:ascii="Calibri" w:hAnsi="Calibri"/>
                <w:color w:val="4A5568"/>
                <w:sz w:val="19"/>
              </w:rPr>
              <w:t>patient_demographics.date_of_birth</w:t>
            </w:r>
          </w:p>
        </w:tc>
      </w:tr>
      <w:tr>
        <w:tc>
          <w:tcPr>
            <w:tcW w:type="dxa" w:w="2351"/>
            <w:shd w:val="clear" w:color="auto" w:fill="F4F6F9"/>
          </w:tcPr>
          <w:p>
            <w:pPr>
              <w:jc w:val="left"/>
            </w:pPr>
            <w:r>
              <w:rPr>
                <w:rFonts w:ascii="Calibri" w:hAnsi="Calibri"/>
                <w:color w:val="4A5568"/>
                <w:sz w:val="19"/>
              </w:rPr>
              <w:t>A.4</w:t>
            </w:r>
          </w:p>
        </w:tc>
        <w:tc>
          <w:tcPr>
            <w:tcW w:type="dxa" w:w="2351"/>
            <w:shd w:val="clear" w:color="auto" w:fill="F4F6F9"/>
          </w:tcPr>
          <w:p>
            <w:pPr>
              <w:jc w:val="left"/>
            </w:pPr>
            <w:r>
              <w:rPr>
                <w:rFonts w:ascii="Calibri" w:hAnsi="Calibri"/>
                <w:color w:val="4A5568"/>
                <w:sz w:val="19"/>
              </w:rPr>
              <w:t>Date of Death</w:t>
            </w:r>
          </w:p>
        </w:tc>
        <w:tc>
          <w:tcPr>
            <w:tcW w:type="dxa" w:w="2351"/>
            <w:shd w:val="clear" w:color="auto" w:fill="F4F6F9"/>
          </w:tcPr>
          <w:p>
            <w:pPr>
              <w:jc w:val="left"/>
            </w:pPr>
            <w:r>
              <w:rPr>
                <w:rFonts w:ascii="Calibri" w:hAnsi="Calibri"/>
                <w:color w:val="4A5568"/>
                <w:sz w:val="19"/>
              </w:rPr>
              <w:t>No</w:t>
            </w:r>
          </w:p>
        </w:tc>
        <w:tc>
          <w:tcPr>
            <w:tcW w:type="dxa" w:w="2351"/>
            <w:shd w:val="clear" w:color="auto" w:fill="F4F6F9"/>
          </w:tcPr>
          <w:p>
            <w:pPr>
              <w:jc w:val="left"/>
            </w:pPr>
            <w:r>
              <w:rPr>
                <w:rFonts w:ascii="Calibri" w:hAnsi="Calibri"/>
                <w:color w:val="4A5568"/>
                <w:sz w:val="19"/>
              </w:rPr>
              <w:t>patient_demographics.date_of_death</w:t>
            </w:r>
          </w:p>
        </w:tc>
      </w:tr>
      <w:tr>
        <w:tc>
          <w:tcPr>
            <w:tcW w:type="dxa" w:w="2351"/>
            <w:shd w:val="clear" w:color="auto" w:fill="FFFFFF"/>
          </w:tcPr>
          <w:p>
            <w:pPr>
              <w:jc w:val="left"/>
            </w:pPr>
            <w:r>
              <w:rPr>
                <w:rFonts w:ascii="Calibri" w:hAnsi="Calibri"/>
                <w:color w:val="4A5568"/>
                <w:sz w:val="19"/>
              </w:rPr>
              <w:t>A.5</w:t>
            </w:r>
          </w:p>
        </w:tc>
        <w:tc>
          <w:tcPr>
            <w:tcW w:type="dxa" w:w="2351"/>
            <w:shd w:val="clear" w:color="auto" w:fill="FFFFFF"/>
          </w:tcPr>
          <w:p>
            <w:pPr>
              <w:jc w:val="left"/>
            </w:pPr>
            <w:r>
              <w:rPr>
                <w:rFonts w:ascii="Calibri" w:hAnsi="Calibri"/>
                <w:color w:val="4A5568"/>
                <w:sz w:val="19"/>
              </w:rPr>
              <w:t>Cause of Death</w:t>
            </w:r>
          </w:p>
        </w:tc>
        <w:tc>
          <w:tcPr>
            <w:tcW w:type="dxa" w:w="2351"/>
            <w:shd w:val="clear" w:color="auto" w:fill="FFFFFF"/>
          </w:tcPr>
          <w:p>
            <w:pPr>
              <w:jc w:val="left"/>
            </w:pPr>
            <w:r>
              <w:rPr>
                <w:rFonts w:ascii="Calibri" w:hAnsi="Calibri"/>
                <w:color w:val="4A5568"/>
                <w:sz w:val="19"/>
              </w:rPr>
              <w:t>No</w:t>
            </w:r>
          </w:p>
        </w:tc>
        <w:tc>
          <w:tcPr>
            <w:tcW w:type="dxa" w:w="2351"/>
            <w:shd w:val="clear" w:color="auto" w:fill="FFFFFF"/>
          </w:tcPr>
          <w:p>
            <w:pPr>
              <w:jc w:val="left"/>
            </w:pPr>
            <w:r>
              <w:rPr>
                <w:rFonts w:ascii="Calibri" w:hAnsi="Calibri"/>
                <w:color w:val="4A5568"/>
                <w:sz w:val="19"/>
              </w:rPr>
              <w:t>patient_demographics.cause_of_death</w:t>
            </w:r>
          </w:p>
        </w:tc>
      </w:tr>
      <w:tr>
        <w:tc>
          <w:tcPr>
            <w:tcW w:type="dxa" w:w="2351"/>
            <w:shd w:val="clear" w:color="auto" w:fill="F4F6F9"/>
          </w:tcPr>
          <w:p>
            <w:pPr>
              <w:jc w:val="left"/>
            </w:pPr>
            <w:r>
              <w:rPr>
                <w:rFonts w:ascii="Calibri" w:hAnsi="Calibri"/>
                <w:color w:val="4A5568"/>
                <w:sz w:val="19"/>
              </w:rPr>
              <w:t>A.6</w:t>
            </w:r>
          </w:p>
        </w:tc>
        <w:tc>
          <w:tcPr>
            <w:tcW w:type="dxa" w:w="2351"/>
            <w:shd w:val="clear" w:color="auto" w:fill="F4F6F9"/>
          </w:tcPr>
          <w:p>
            <w:pPr>
              <w:jc w:val="left"/>
            </w:pPr>
            <w:r>
              <w:rPr>
                <w:rFonts w:ascii="Calibri" w:hAnsi="Calibri"/>
                <w:color w:val="4A5568"/>
                <w:sz w:val="19"/>
              </w:rPr>
              <w:t>Gender</w:t>
            </w:r>
          </w:p>
        </w:tc>
        <w:tc>
          <w:tcPr>
            <w:tcW w:type="dxa" w:w="2351"/>
            <w:shd w:val="clear" w:color="auto" w:fill="F4F6F9"/>
          </w:tcPr>
          <w:p>
            <w:pPr>
              <w:jc w:val="left"/>
            </w:pPr>
            <w:r>
              <w:rPr>
                <w:rFonts w:ascii="Calibri" w:hAnsi="Calibri"/>
                <w:color w:val="4A5568"/>
                <w:sz w:val="19"/>
              </w:rPr>
              <w:t>Yes</w:t>
            </w:r>
          </w:p>
        </w:tc>
        <w:tc>
          <w:tcPr>
            <w:tcW w:type="dxa" w:w="2351"/>
            <w:shd w:val="clear" w:color="auto" w:fill="F4F6F9"/>
          </w:tcPr>
          <w:p>
            <w:pPr>
              <w:jc w:val="left"/>
            </w:pPr>
            <w:r>
              <w:rPr>
                <w:rFonts w:ascii="Calibri" w:hAnsi="Calibri"/>
                <w:color w:val="4A5568"/>
                <w:sz w:val="19"/>
              </w:rPr>
              <w:t>patient_demographics.gender</w:t>
            </w:r>
          </w:p>
        </w:tc>
      </w:tr>
      <w:tr>
        <w:tc>
          <w:tcPr>
            <w:tcW w:type="dxa" w:w="2351"/>
            <w:shd w:val="clear" w:color="auto" w:fill="FFFFFF"/>
          </w:tcPr>
          <w:p>
            <w:pPr>
              <w:jc w:val="left"/>
            </w:pPr>
            <w:r>
              <w:rPr>
                <w:rFonts w:ascii="Calibri" w:hAnsi="Calibri"/>
                <w:color w:val="4A5568"/>
                <w:sz w:val="19"/>
              </w:rPr>
              <w:t>A.7</w:t>
            </w:r>
          </w:p>
        </w:tc>
        <w:tc>
          <w:tcPr>
            <w:tcW w:type="dxa" w:w="2351"/>
            <w:shd w:val="clear" w:color="auto" w:fill="FFFFFF"/>
          </w:tcPr>
          <w:p>
            <w:pPr>
              <w:jc w:val="left"/>
            </w:pPr>
            <w:r>
              <w:rPr>
                <w:rFonts w:ascii="Calibri" w:hAnsi="Calibri"/>
                <w:color w:val="4A5568"/>
                <w:sz w:val="19"/>
              </w:rPr>
              <w:t>Ethnicity</w:t>
            </w:r>
          </w:p>
        </w:tc>
        <w:tc>
          <w:tcPr>
            <w:tcW w:type="dxa" w:w="2351"/>
            <w:shd w:val="clear" w:color="auto" w:fill="FFFFFF"/>
          </w:tcPr>
          <w:p>
            <w:pPr>
              <w:jc w:val="left"/>
            </w:pPr>
            <w:r>
              <w:rPr>
                <w:rFonts w:ascii="Calibri" w:hAnsi="Calibri"/>
                <w:color w:val="4A5568"/>
                <w:sz w:val="19"/>
              </w:rPr>
              <w:t>Yes</w:t>
            </w:r>
          </w:p>
        </w:tc>
        <w:tc>
          <w:tcPr>
            <w:tcW w:type="dxa" w:w="2351"/>
            <w:shd w:val="clear" w:color="auto" w:fill="FFFFFF"/>
          </w:tcPr>
          <w:p>
            <w:pPr>
              <w:jc w:val="left"/>
            </w:pPr>
            <w:r>
              <w:rPr>
                <w:rFonts w:ascii="Calibri" w:hAnsi="Calibri"/>
                <w:color w:val="4A5568"/>
                <w:sz w:val="19"/>
              </w:rPr>
              <w:t>patient_demographics.ethnicity_id</w:t>
            </w:r>
          </w:p>
        </w:tc>
      </w:tr>
      <w:tr>
        <w:tc>
          <w:tcPr>
            <w:tcW w:type="dxa" w:w="2351"/>
            <w:shd w:val="clear" w:color="auto" w:fill="F4F6F9"/>
          </w:tcPr>
          <w:p>
            <w:pPr>
              <w:jc w:val="left"/>
            </w:pPr>
            <w:r>
              <w:rPr>
                <w:rFonts w:ascii="Calibri" w:hAnsi="Calibri"/>
                <w:color w:val="4A5568"/>
                <w:sz w:val="19"/>
              </w:rPr>
              <w:t>A.8</w:t>
            </w:r>
          </w:p>
        </w:tc>
        <w:tc>
          <w:tcPr>
            <w:tcW w:type="dxa" w:w="2351"/>
            <w:shd w:val="clear" w:color="auto" w:fill="F4F6F9"/>
          </w:tcPr>
          <w:p>
            <w:pPr>
              <w:jc w:val="left"/>
            </w:pPr>
            <w:r>
              <w:rPr>
                <w:rFonts w:ascii="Calibri" w:hAnsi="Calibri"/>
                <w:color w:val="4A5568"/>
                <w:sz w:val="19"/>
              </w:rPr>
              <w:t>Nationality</w:t>
            </w:r>
          </w:p>
        </w:tc>
        <w:tc>
          <w:tcPr>
            <w:tcW w:type="dxa" w:w="2351"/>
            <w:shd w:val="clear" w:color="auto" w:fill="F4F6F9"/>
          </w:tcPr>
          <w:p>
            <w:pPr>
              <w:jc w:val="left"/>
            </w:pPr>
            <w:r>
              <w:rPr>
                <w:rFonts w:ascii="Calibri" w:hAnsi="Calibri"/>
                <w:color w:val="4A5568"/>
                <w:sz w:val="19"/>
              </w:rPr>
              <w:t>Yes</w:t>
            </w:r>
          </w:p>
        </w:tc>
        <w:tc>
          <w:tcPr>
            <w:tcW w:type="dxa" w:w="2351"/>
            <w:shd w:val="clear" w:color="auto" w:fill="F4F6F9"/>
          </w:tcPr>
          <w:p>
            <w:pPr>
              <w:jc w:val="left"/>
            </w:pPr>
            <w:r>
              <w:rPr>
                <w:rFonts w:ascii="Calibri" w:hAnsi="Calibri"/>
                <w:color w:val="4A5568"/>
                <w:sz w:val="19"/>
              </w:rPr>
              <w:t>patient_demographics.nationality_id</w:t>
            </w:r>
          </w:p>
        </w:tc>
      </w:tr>
      <w:tr>
        <w:tc>
          <w:tcPr>
            <w:tcW w:type="dxa" w:w="2351"/>
            <w:shd w:val="clear" w:color="auto" w:fill="FFFFFF"/>
          </w:tcPr>
          <w:p>
            <w:pPr>
              <w:jc w:val="left"/>
            </w:pPr>
            <w:r>
              <w:rPr>
                <w:rFonts w:ascii="Calibri" w:hAnsi="Calibri"/>
                <w:color w:val="4A5568"/>
                <w:sz w:val="19"/>
              </w:rPr>
              <w:t>A.9</w:t>
            </w:r>
          </w:p>
        </w:tc>
        <w:tc>
          <w:tcPr>
            <w:tcW w:type="dxa" w:w="2351"/>
            <w:shd w:val="clear" w:color="auto" w:fill="FFFFFF"/>
          </w:tcPr>
          <w:p>
            <w:pPr>
              <w:jc w:val="left"/>
            </w:pPr>
            <w:r>
              <w:rPr>
                <w:rFonts w:ascii="Calibri" w:hAnsi="Calibri"/>
                <w:color w:val="4A5568"/>
                <w:sz w:val="19"/>
              </w:rPr>
              <w:t>Email Address</w:t>
            </w:r>
          </w:p>
        </w:tc>
        <w:tc>
          <w:tcPr>
            <w:tcW w:type="dxa" w:w="2351"/>
            <w:shd w:val="clear" w:color="auto" w:fill="FFFFFF"/>
          </w:tcPr>
          <w:p>
            <w:pPr>
              <w:jc w:val="left"/>
            </w:pPr>
            <w:r>
              <w:rPr>
                <w:rFonts w:ascii="Calibri" w:hAnsi="Calibri"/>
                <w:color w:val="4A5568"/>
                <w:sz w:val="19"/>
              </w:rPr>
              <w:t>No</w:t>
            </w:r>
          </w:p>
        </w:tc>
        <w:tc>
          <w:tcPr>
            <w:tcW w:type="dxa" w:w="2351"/>
            <w:shd w:val="clear" w:color="auto" w:fill="FFFFFF"/>
          </w:tcPr>
          <w:p>
            <w:pPr>
              <w:jc w:val="left"/>
            </w:pPr>
            <w:r>
              <w:rPr>
                <w:rFonts w:ascii="Calibri" w:hAnsi="Calibri"/>
                <w:color w:val="4A5568"/>
                <w:sz w:val="19"/>
              </w:rPr>
              <w:t>patient_demographics.email_address</w:t>
            </w:r>
          </w:p>
        </w:tc>
      </w:tr>
      <w:tr>
        <w:tc>
          <w:tcPr>
            <w:tcW w:type="dxa" w:w="2351"/>
            <w:shd w:val="clear" w:color="auto" w:fill="F4F6F9"/>
          </w:tcPr>
          <w:p>
            <w:pPr>
              <w:jc w:val="left"/>
            </w:pPr>
            <w:r>
              <w:rPr>
                <w:rFonts w:ascii="Calibri" w:hAnsi="Calibri"/>
                <w:color w:val="4A5568"/>
                <w:sz w:val="19"/>
              </w:rPr>
              <w:t>A.10</w:t>
            </w:r>
          </w:p>
        </w:tc>
        <w:tc>
          <w:tcPr>
            <w:tcW w:type="dxa" w:w="2351"/>
            <w:shd w:val="clear" w:color="auto" w:fill="F4F6F9"/>
          </w:tcPr>
          <w:p>
            <w:pPr>
              <w:jc w:val="left"/>
            </w:pPr>
            <w:r>
              <w:rPr>
                <w:rFonts w:ascii="Calibri" w:hAnsi="Calibri"/>
                <w:color w:val="4A5568"/>
                <w:sz w:val="19"/>
              </w:rPr>
              <w:t>Diagnosis</w:t>
            </w:r>
          </w:p>
        </w:tc>
        <w:tc>
          <w:tcPr>
            <w:tcW w:type="dxa" w:w="2351"/>
            <w:shd w:val="clear" w:color="auto" w:fill="F4F6F9"/>
          </w:tcPr>
          <w:p>
            <w:pPr>
              <w:jc w:val="left"/>
            </w:pPr>
            <w:r>
              <w:rPr>
                <w:rFonts w:ascii="Calibri" w:hAnsi="Calibri"/>
                <w:color w:val="4A5568"/>
                <w:sz w:val="19"/>
              </w:rPr>
              <w:t>Yes</w:t>
            </w:r>
          </w:p>
        </w:tc>
        <w:tc>
          <w:tcPr>
            <w:tcW w:type="dxa" w:w="2351"/>
            <w:shd w:val="clear" w:color="auto" w:fill="F4F6F9"/>
          </w:tcPr>
          <w:p>
            <w:pPr>
              <w:jc w:val="left"/>
            </w:pPr>
            <w:r>
              <w:rPr>
                <w:rFonts w:ascii="Calibri" w:hAnsi="Calibri"/>
                <w:color w:val="4A5568"/>
                <w:sz w:val="19"/>
              </w:rPr>
              <w:t>patient_diagnoses table (any record present)</w:t>
            </w:r>
          </w:p>
        </w:tc>
      </w:tr>
      <w:tr>
        <w:tc>
          <w:tcPr>
            <w:tcW w:type="dxa" w:w="2351"/>
            <w:shd w:val="clear" w:color="auto" w:fill="FFFFFF"/>
          </w:tcPr>
          <w:p>
            <w:pPr>
              <w:jc w:val="left"/>
            </w:pPr>
            <w:r>
              <w:rPr>
                <w:rFonts w:ascii="Calibri" w:hAnsi="Calibri"/>
                <w:color w:val="4A5568"/>
                <w:sz w:val="19"/>
              </w:rPr>
              <w:t>A.11</w:t>
            </w:r>
          </w:p>
        </w:tc>
        <w:tc>
          <w:tcPr>
            <w:tcW w:type="dxa" w:w="2351"/>
            <w:shd w:val="clear" w:color="auto" w:fill="FFFFFF"/>
          </w:tcPr>
          <w:p>
            <w:pPr>
              <w:jc w:val="left"/>
            </w:pPr>
            <w:r>
              <w:rPr>
                <w:rFonts w:ascii="Calibri" w:hAnsi="Calibri"/>
                <w:color w:val="4A5568"/>
                <w:sz w:val="19"/>
              </w:rPr>
              <w:t>NHS Number</w:t>
            </w:r>
          </w:p>
        </w:tc>
        <w:tc>
          <w:tcPr>
            <w:tcW w:type="dxa" w:w="2351"/>
            <w:shd w:val="clear" w:color="auto" w:fill="FFFFFF"/>
          </w:tcPr>
          <w:p>
            <w:pPr>
              <w:jc w:val="left"/>
            </w:pPr>
            <w:r>
              <w:rPr>
                <w:rFonts w:ascii="Calibri" w:hAnsi="Calibri"/>
                <w:color w:val="4A5568"/>
                <w:sz w:val="19"/>
              </w:rPr>
              <w:t>Yes</w:t>
            </w:r>
          </w:p>
        </w:tc>
        <w:tc>
          <w:tcPr>
            <w:tcW w:type="dxa" w:w="2351"/>
            <w:shd w:val="clear" w:color="auto" w:fill="FFFFFF"/>
          </w:tcPr>
          <w:p>
            <w:pPr>
              <w:jc w:val="left"/>
            </w:pPr>
            <w:r>
              <w:rPr>
                <w:rFonts w:ascii="Calibri" w:hAnsi="Calibri"/>
                <w:color w:val="4A5568"/>
                <w:sz w:val="19"/>
              </w:rPr>
              <w:t>patient_numbers table (any record present)</w:t>
            </w:r>
          </w:p>
        </w:tc>
      </w:tr>
    </w:tbl>
    <w:p/>
    <w:p>
      <w:pPr>
        <w:spacing w:after="120"/>
      </w:pPr>
      <w:r>
        <w:t>Variables marked Required are part of the RaDaR minimum dataset and should be present for every registered patient.</w:t>
      </w:r>
    </w:p>
    <w:p>
      <w:pPr>
        <w:pStyle w:val="Heading2"/>
      </w:pPr>
      <w:r>
        <w:t>3.2  Clinical Summary Rows</w:t>
      </w:r>
    </w:p>
    <w:p>
      <w:pPr>
        <w:spacing w:after="120"/>
      </w:pPr>
      <w:r>
        <w:t>These rows appear in each section but show counts rather than % missing. They are not included in the section completeness score calculation: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6FA8"/>
          </w:tcPr>
          <w:p>
            <w:pPr>
              <w:jc w:val="center"/>
            </w:pPr>
            <w:r>
              <w:rPr>
                <w:rFonts w:ascii="Calibri" w:hAnsi="Calibri"/>
                <w:b/>
                <w:color w:val="FFFFFF"/>
                <w:sz w:val="19"/>
              </w:rPr>
              <w:t>Row</w:t>
            </w:r>
          </w:p>
        </w:tc>
        <w:tc>
          <w:tcPr>
            <w:tcW w:type="dxa" w:w="4703"/>
            <w:shd w:val="clear" w:color="auto" w:fill="1A6FA8"/>
          </w:tcPr>
          <w:p>
            <w:pPr>
              <w:jc w:val="center"/>
            </w:pPr>
            <w:r>
              <w:rPr>
                <w:rFonts w:ascii="Calibri" w:hAnsi="Calibri"/>
                <w:b/>
                <w:color w:val="FFFFFF"/>
                <w:sz w:val="19"/>
              </w:rPr>
              <w:t>What it shows</w:t>
            </w:r>
          </w:p>
        </w:tc>
      </w:tr>
      <w:tr>
        <w:tc>
          <w:tcPr>
            <w:tcW w:type="dxa" w:w="4703"/>
            <w:shd w:val="clear" w:color="auto" w:fill="FFFFFF"/>
          </w:tcPr>
          <w:p>
            <w:pPr>
              <w:jc w:val="left"/>
            </w:pPr>
            <w:r>
              <w:rPr>
                <w:rFonts w:ascii="Calibri" w:hAnsi="Calibri"/>
                <w:color w:val="4A5568"/>
                <w:sz w:val="19"/>
              </w:rPr>
              <w:t>TOTAL_PATIENTS</w:t>
            </w:r>
          </w:p>
        </w:tc>
        <w:tc>
          <w:tcPr>
            <w:tcW w:type="dxa" w:w="4703"/>
            <w:shd w:val="clear" w:color="auto" w:fill="FFFFFF"/>
          </w:tcPr>
          <w:p>
            <w:pPr>
              <w:jc w:val="left"/>
            </w:pPr>
            <w:r>
              <w:rPr>
                <w:rFonts w:ascii="Calibri" w:hAnsi="Calibri"/>
                <w:color w:val="4A5568"/>
                <w:sz w:val="19"/>
              </w:rPr>
              <w:t>Total patients enrolled in that cohort</w:t>
            </w:r>
          </w:p>
        </w:tc>
      </w:tr>
      <w:tr>
        <w:tc>
          <w:tcPr>
            <w:tcW w:type="dxa" w:w="4703"/>
            <w:shd w:val="clear" w:color="auto" w:fill="F4F6F9"/>
          </w:tcPr>
          <w:p>
            <w:pPr>
              <w:jc w:val="left"/>
            </w:pPr>
            <w:r>
              <w:rPr>
                <w:rFonts w:ascii="Calibri" w:hAnsi="Calibri"/>
                <w:color w:val="4A5568"/>
                <w:sz w:val="19"/>
              </w:rPr>
              <w:t>ADULTS</w:t>
            </w:r>
          </w:p>
        </w:tc>
        <w:tc>
          <w:tcPr>
            <w:tcW w:type="dxa" w:w="4703"/>
            <w:shd w:val="clear" w:color="auto" w:fill="F4F6F9"/>
          </w:tcPr>
          <w:p>
            <w:pPr>
              <w:jc w:val="left"/>
            </w:pPr>
            <w:r>
              <w:rPr>
                <w:rFonts w:ascii="Calibri" w:hAnsi="Calibri"/>
                <w:color w:val="4A5568"/>
                <w:sz w:val="19"/>
              </w:rPr>
              <w:t>Patients aged ≥ 18 at time of analysis</w:t>
            </w:r>
          </w:p>
        </w:tc>
      </w:tr>
      <w:tr>
        <w:tc>
          <w:tcPr>
            <w:tcW w:type="dxa" w:w="4703"/>
            <w:shd w:val="clear" w:color="auto" w:fill="FFFFFF"/>
          </w:tcPr>
          <w:p>
            <w:pPr>
              <w:jc w:val="left"/>
            </w:pPr>
            <w:r>
              <w:rPr>
                <w:rFonts w:ascii="Calibri" w:hAnsi="Calibri"/>
                <w:color w:val="4A5568"/>
                <w:sz w:val="19"/>
              </w:rPr>
              <w:t>CHILDREN</w:t>
            </w:r>
          </w:p>
        </w:tc>
        <w:tc>
          <w:tcPr>
            <w:tcW w:type="dxa" w:w="4703"/>
            <w:shd w:val="clear" w:color="auto" w:fill="FFFFFF"/>
          </w:tcPr>
          <w:p>
            <w:pPr>
              <w:jc w:val="left"/>
            </w:pPr>
            <w:r>
              <w:rPr>
                <w:rFonts w:ascii="Calibri" w:hAnsi="Calibri"/>
                <w:color w:val="4A5568"/>
                <w:sz w:val="19"/>
              </w:rPr>
              <w:t>Patients aged &lt; 18 at time of analysis</w:t>
            </w:r>
          </w:p>
        </w:tc>
      </w:tr>
      <w:tr>
        <w:tc>
          <w:tcPr>
            <w:tcW w:type="dxa" w:w="4703"/>
            <w:shd w:val="clear" w:color="auto" w:fill="F4F6F9"/>
          </w:tcPr>
          <w:p>
            <w:pPr>
              <w:jc w:val="left"/>
            </w:pPr>
            <w:r>
              <w:rPr>
                <w:rFonts w:ascii="Calibri" w:hAnsi="Calibri"/>
                <w:color w:val="4A5568"/>
                <w:sz w:val="19"/>
              </w:rPr>
              <w:t>KIDNEY_FAILURE</w:t>
            </w:r>
          </w:p>
        </w:tc>
        <w:tc>
          <w:tcPr>
            <w:tcW w:type="dxa" w:w="4703"/>
            <w:shd w:val="clear" w:color="auto" w:fill="F4F6F9"/>
          </w:tcPr>
          <w:p>
            <w:pPr>
              <w:jc w:val="left"/>
            </w:pPr>
            <w:r>
              <w:rPr>
                <w:rFonts w:ascii="Calibri" w:hAnsi="Calibri"/>
                <w:color w:val="4A5568"/>
                <w:sz w:val="19"/>
              </w:rPr>
              <w:t>Patients with evidence of kidney failure (see Section 5)</w:t>
            </w:r>
          </w:p>
        </w:tc>
      </w:tr>
      <w:tr>
        <w:tc>
          <w:tcPr>
            <w:tcW w:type="dxa" w:w="4703"/>
            <w:shd w:val="clear" w:color="auto" w:fill="FFFFFF"/>
          </w:tcPr>
          <w:p>
            <w:pPr>
              <w:jc w:val="left"/>
            </w:pPr>
            <w:r>
              <w:rPr>
                <w:rFonts w:ascii="Calibri" w:hAnsi="Calibri"/>
                <w:color w:val="4A5568"/>
                <w:sz w:val="19"/>
              </w:rPr>
              <w:t>TRANSPLANT_SINGLE</w:t>
            </w:r>
          </w:p>
        </w:tc>
        <w:tc>
          <w:tcPr>
            <w:tcW w:type="dxa" w:w="4703"/>
            <w:shd w:val="clear" w:color="auto" w:fill="FFFFFF"/>
          </w:tcPr>
          <w:p>
            <w:pPr>
              <w:jc w:val="left"/>
            </w:pPr>
            <w:r>
              <w:rPr>
                <w:rFonts w:ascii="Calibri" w:hAnsi="Calibri"/>
                <w:color w:val="4A5568"/>
                <w:sz w:val="19"/>
              </w:rPr>
              <w:t>Patients with exactly one transplant</w:t>
            </w:r>
          </w:p>
        </w:tc>
      </w:tr>
      <w:tr>
        <w:tc>
          <w:tcPr>
            <w:tcW w:type="dxa" w:w="4703"/>
            <w:shd w:val="clear" w:color="auto" w:fill="F4F6F9"/>
          </w:tcPr>
          <w:p>
            <w:pPr>
              <w:jc w:val="left"/>
            </w:pPr>
            <w:r>
              <w:rPr>
                <w:rFonts w:ascii="Calibri" w:hAnsi="Calibri"/>
                <w:color w:val="4A5568"/>
                <w:sz w:val="19"/>
              </w:rPr>
              <w:t>TRANSPLANT_MULTIPLE</w:t>
            </w:r>
          </w:p>
        </w:tc>
        <w:tc>
          <w:tcPr>
            <w:tcW w:type="dxa" w:w="4703"/>
            <w:shd w:val="clear" w:color="auto" w:fill="F4F6F9"/>
          </w:tcPr>
          <w:p>
            <w:pPr>
              <w:jc w:val="left"/>
            </w:pPr>
            <w:r>
              <w:rPr>
                <w:rFonts w:ascii="Calibri" w:hAnsi="Calibri"/>
                <w:color w:val="4A5568"/>
                <w:sz w:val="19"/>
              </w:rPr>
              <w:t>Patients with two or more transplants</w:t>
            </w:r>
          </w:p>
        </w:tc>
      </w:tr>
      <w:tr>
        <w:tc>
          <w:tcPr>
            <w:tcW w:type="dxa" w:w="4703"/>
            <w:shd w:val="clear" w:color="auto" w:fill="FFFFFF"/>
          </w:tcPr>
          <w:p>
            <w:pPr>
              <w:jc w:val="left"/>
            </w:pPr>
            <w:r>
              <w:rPr>
                <w:rFonts w:ascii="Calibri" w:hAnsi="Calibri"/>
                <w:color w:val="4A5568"/>
                <w:sz w:val="19"/>
              </w:rPr>
              <w:t>FOLLOW_UP</w:t>
            </w:r>
          </w:p>
        </w:tc>
        <w:tc>
          <w:tcPr>
            <w:tcW w:type="dxa" w:w="4703"/>
            <w:shd w:val="clear" w:color="auto" w:fill="FFFFFF"/>
          </w:tcPr>
          <w:p>
            <w:pPr>
              <w:jc w:val="left"/>
            </w:pPr>
            <w:r>
              <w:rPr>
                <w:rFonts w:ascii="Calibri" w:hAnsi="Calibri"/>
                <w:color w:val="4A5568"/>
                <w:sz w:val="19"/>
              </w:rPr>
              <w:t>Median follow-up duration in years (see Section 6)</w:t>
            </w:r>
          </w:p>
        </w:tc>
      </w:tr>
    </w:tbl>
    <w:p/>
    <w:p>
      <w:pPr>
        <w:pStyle w:val="Heading1"/>
      </w:pPr>
      <w:r>
        <w:t>4.  Completeness Calculations</w:t>
      </w:r>
    </w:p>
    <w:p>
      <w:pPr>
        <w:pStyle w:val="Heading2"/>
      </w:pPr>
      <w:r>
        <w:t>4.1  Variable-Level % Missing</w:t>
      </w:r>
    </w:p>
    <w:p>
      <w:pPr>
        <w:spacing w:after="120"/>
      </w:pPr>
      <w:r>
        <w:t>For each variable and each cohort, the percentage of missing values is calculated as:</w:t>
      </w:r>
    </w:p>
    <w:p>
      <w:pPr>
        <w:spacing w:before="80" w:after="160"/>
        <w:ind w:left="567"/>
        <w:shd w:val="clear" w:color="auto" w:fill="F4F6F9"/>
      </w:pPr>
      <w:r>
        <w:rPr>
          <w:rFonts w:ascii="Courier New" w:hAnsi="Courier New"/>
          <w:color w:val="0F2D4A"/>
          <w:sz w:val="20"/>
        </w:rPr>
        <w:t>% Missing  =  (Patients with no recorded value  ÷  Total patients in cohort)  ×  100</w:t>
      </w:r>
    </w:p>
    <w:p>
      <w:pPr>
        <w:spacing w:after="120"/>
      </w:pPr>
      <w:r>
        <w:t>A value is considered missing if it is:</w:t>
      </w:r>
    </w:p>
    <w:p>
      <w:pPr>
        <w:pStyle w:val="ListBullet"/>
      </w:pPr>
      <w:r>
        <w:rPr>
          <w:sz w:val="21"/>
        </w:rPr>
        <w:t>NULL in the database, or</w:t>
      </w:r>
    </w:p>
    <w:p>
      <w:pPr>
        <w:pStyle w:val="ListBullet"/>
      </w:pPr>
      <w:r>
        <w:rPr>
          <w:sz w:val="21"/>
        </w:rPr>
        <w:t>An empty string after stripping whitespace</w:t>
      </w:r>
    </w:p>
    <w:p/>
    <w:p>
      <w:pPr>
        <w:pStyle w:val="Heading3"/>
      </w:pPr>
      <w:r>
        <w:t>Special Cases</w:t>
      </w:r>
    </w:p>
    <w:p>
      <w:pPr>
        <w:spacing w:after="120"/>
      </w:pPr>
      <w:r/>
      <w:r>
        <w:rPr>
          <w:b/>
        </w:rPr>
        <w:t>Cause of Death</w:t>
      </w:r>
      <w:r>
        <w:t xml:space="preserve"> — denominator is restricted to deceased patients only, as it is not meaningful to measure this field for living patients:</w:t>
      </w:r>
    </w:p>
    <w:p>
      <w:pPr>
        <w:spacing w:before="80" w:after="160"/>
        <w:ind w:left="567"/>
        <w:shd w:val="clear" w:color="auto" w:fill="F4F6F9"/>
      </w:pPr>
      <w:r>
        <w:rPr>
          <w:rFonts w:ascii="Courier New" w:hAnsi="Courier New"/>
          <w:color w:val="0F2D4A"/>
          <w:sz w:val="20"/>
        </w:rPr>
        <w:t>% Missing (Cause of Death)  =  Deceased patients with no cause of death  ÷  Total deceased patients  ×  100</w:t>
      </w:r>
    </w:p>
    <w:p>
      <w:pPr>
        <w:spacing w:after="120"/>
      </w:pPr>
      <w:r/>
      <w:r>
        <w:rPr>
          <w:b/>
        </w:rPr>
        <w:t>Email Address</w:t>
      </w:r>
      <w:r>
        <w:t xml:space="preserve"> — a list of 46 known placeholder and default email addresses is maintained (e.g. radar@radar.org, noemailaddress@radar.radar). Any patient whose email matches one of these placeholders is treated as missing, even if a value technically exists in the database:</w:t>
      </w:r>
    </w:p>
    <w:p>
      <w:pPr>
        <w:spacing w:before="80" w:after="160"/>
        <w:ind w:left="567"/>
        <w:shd w:val="clear" w:color="auto" w:fill="F4F6F9"/>
      </w:pPr>
      <w:r>
        <w:rPr>
          <w:rFonts w:ascii="Courier New" w:hAnsi="Courier New"/>
          <w:color w:val="0F2D4A"/>
          <w:sz w:val="20"/>
        </w:rPr>
        <w:t>Missing email  =  NULL emails  +  emails matching any placeholder in the 46-entry list</w:t>
      </w:r>
    </w:p>
    <w:p>
      <w:pPr>
        <w:spacing w:after="120"/>
      </w:pPr>
      <w:r/>
      <w:r>
        <w:rPr>
          <w:b/>
        </w:rPr>
        <w:t>NHS Number</w:t>
      </w:r>
      <w:r>
        <w:t xml:space="preserve"> — completeness is checked by the presence of any record for that patient in the patient_numbers table, not the demographics row itself.</w:t>
      </w:r>
    </w:p>
    <w:p>
      <w:pPr>
        <w:spacing w:after="120"/>
      </w:pPr>
      <w:r/>
      <w:r>
        <w:rPr>
          <w:b/>
        </w:rPr>
        <w:t>Diagnosis</w:t>
      </w:r>
      <w:r>
        <w:t xml:space="preserve"> — completeness is checked by the presence of any record for that patient in the patient_diagnoses table.</w:t>
      </w:r>
    </w:p>
    <w:p>
      <w:pPr>
        <w:pStyle w:val="Heading2"/>
      </w:pPr>
      <w:r>
        <w:t>4.2  Colour Coding</w:t>
      </w:r>
    </w:p>
    <w:p>
      <w:pPr>
        <w:spacing w:after="120"/>
      </w:pPr>
      <w:r>
        <w:t>Each variable row is colour-coded based on its % missing value: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6FA8"/>
          </w:tcPr>
          <w:p>
            <w:r>
              <w:rPr>
                <w:b/>
                <w:color w:val="FFFFFF"/>
                <w:sz w:val="19"/>
              </w:rPr>
              <w:t>Colour</w:t>
            </w:r>
          </w:p>
        </w:tc>
        <w:tc>
          <w:tcPr>
            <w:tcW w:type="dxa" w:w="3135"/>
            <w:shd w:val="clear" w:color="auto" w:fill="1A6FA8"/>
          </w:tcPr>
          <w:p>
            <w:r>
              <w:rPr>
                <w:b/>
                <w:color w:val="FFFFFF"/>
                <w:sz w:val="19"/>
              </w:rPr>
              <w:t>% Missing</w:t>
            </w:r>
          </w:p>
        </w:tc>
        <w:tc>
          <w:tcPr>
            <w:tcW w:type="dxa" w:w="3135"/>
            <w:shd w:val="clear" w:color="auto" w:fill="1A6FA8"/>
          </w:tcPr>
          <w:p>
            <w:r>
              <w:rPr>
                <w:b/>
                <w:color w:val="FFFFFF"/>
                <w:sz w:val="19"/>
              </w:rPr>
              <w:t>Interpretation</w:t>
            </w:r>
          </w:p>
        </w:tc>
      </w:tr>
      <w:tr>
        <w:tc>
          <w:tcPr>
            <w:tcW w:type="dxa" w:w="3135"/>
            <w:shd w:val="clear" w:color="auto" w:fill="00B050"/>
          </w:tcPr>
          <w:p>
            <w:r>
              <w:rPr>
                <w:sz w:val="19"/>
              </w:rPr>
              <w:t xml:space="preserve">  </w:t>
            </w:r>
          </w:p>
        </w:tc>
        <w:tc>
          <w:tcPr>
            <w:tcW w:type="dxa" w:w="3135"/>
            <w:shd w:val="clear" w:color="auto" w:fill="FFFFFF"/>
          </w:tcPr>
          <w:p>
            <w:r>
              <w:rPr>
                <w:rFonts w:ascii="Calibri" w:hAnsi="Calibri"/>
                <w:sz w:val="19"/>
              </w:rPr>
              <w:t>0 – 20%</w:t>
            </w:r>
          </w:p>
        </w:tc>
        <w:tc>
          <w:tcPr>
            <w:tcW w:type="dxa" w:w="3135"/>
            <w:shd w:val="clear" w:color="auto" w:fill="FFFFFF"/>
          </w:tcPr>
          <w:p>
            <w:r>
              <w:rPr>
                <w:rFonts w:ascii="Calibri" w:hAnsi="Calibri"/>
                <w:sz w:val="19"/>
              </w:rPr>
              <w:t>Good completeness</w:t>
            </w:r>
          </w:p>
        </w:tc>
      </w:tr>
      <w:tr>
        <w:tc>
          <w:tcPr>
            <w:tcW w:type="dxa" w:w="3135"/>
            <w:shd w:val="clear" w:color="auto" w:fill="92D050"/>
          </w:tcPr>
          <w:p>
            <w:r>
              <w:rPr>
                <w:sz w:val="19"/>
              </w:rPr>
              <w:t xml:space="preserve">  </w:t>
            </w:r>
          </w:p>
        </w:tc>
        <w:tc>
          <w:tcPr>
            <w:tcW w:type="dxa" w:w="3135"/>
            <w:shd w:val="clear" w:color="auto" w:fill="FFFFFF"/>
          </w:tcPr>
          <w:p>
            <w:r>
              <w:rPr>
                <w:rFonts w:ascii="Calibri" w:hAnsi="Calibri"/>
                <w:sz w:val="19"/>
              </w:rPr>
              <w:t>20 – 40%</w:t>
            </w:r>
          </w:p>
        </w:tc>
        <w:tc>
          <w:tcPr>
            <w:tcW w:type="dxa" w:w="3135"/>
            <w:shd w:val="clear" w:color="auto" w:fill="FFFFFF"/>
          </w:tcPr>
          <w:p>
            <w:r>
              <w:rPr>
                <w:rFonts w:ascii="Calibri" w:hAnsi="Calibri"/>
                <w:sz w:val="19"/>
              </w:rPr>
              <w:t>Acceptable</w:t>
            </w:r>
          </w:p>
        </w:tc>
      </w:tr>
      <w:tr>
        <w:tc>
          <w:tcPr>
            <w:tcW w:type="dxa" w:w="3135"/>
            <w:shd w:val="clear" w:color="auto" w:fill="FFFF00"/>
          </w:tcPr>
          <w:p>
            <w:r>
              <w:rPr>
                <w:sz w:val="19"/>
              </w:rPr>
              <w:t xml:space="preserve">  </w:t>
            </w:r>
          </w:p>
        </w:tc>
        <w:tc>
          <w:tcPr>
            <w:tcW w:type="dxa" w:w="3135"/>
            <w:shd w:val="clear" w:color="auto" w:fill="FFFFFF"/>
          </w:tcPr>
          <w:p>
            <w:r>
              <w:rPr>
                <w:rFonts w:ascii="Calibri" w:hAnsi="Calibri"/>
                <w:sz w:val="19"/>
              </w:rPr>
              <w:t>40 – 60%</w:t>
            </w:r>
          </w:p>
        </w:tc>
        <w:tc>
          <w:tcPr>
            <w:tcW w:type="dxa" w:w="3135"/>
            <w:shd w:val="clear" w:color="auto" w:fill="FFFFFF"/>
          </w:tcPr>
          <w:p>
            <w:r>
              <w:rPr>
                <w:rFonts w:ascii="Calibri" w:hAnsi="Calibri"/>
                <w:sz w:val="19"/>
              </w:rPr>
              <w:t>Needs attention</w:t>
            </w:r>
          </w:p>
        </w:tc>
      </w:tr>
      <w:tr>
        <w:tc>
          <w:tcPr>
            <w:tcW w:type="dxa" w:w="3135"/>
            <w:shd w:val="clear" w:color="auto" w:fill="FF9900"/>
          </w:tcPr>
          <w:p>
            <w:r>
              <w:rPr>
                <w:sz w:val="19"/>
              </w:rPr>
              <w:t xml:space="preserve">  </w:t>
            </w:r>
          </w:p>
        </w:tc>
        <w:tc>
          <w:tcPr>
            <w:tcW w:type="dxa" w:w="3135"/>
            <w:shd w:val="clear" w:color="auto" w:fill="FFFFFF"/>
          </w:tcPr>
          <w:p>
            <w:r>
              <w:rPr>
                <w:rFonts w:ascii="Calibri" w:hAnsi="Calibri"/>
                <w:sz w:val="19"/>
              </w:rPr>
              <w:t>60 – 80%</w:t>
            </w:r>
          </w:p>
        </w:tc>
        <w:tc>
          <w:tcPr>
            <w:tcW w:type="dxa" w:w="3135"/>
            <w:shd w:val="clear" w:color="auto" w:fill="FFFFFF"/>
          </w:tcPr>
          <w:p>
            <w:r>
              <w:rPr>
                <w:rFonts w:ascii="Calibri" w:hAnsi="Calibri"/>
                <w:sz w:val="19"/>
              </w:rPr>
              <w:t>Poor</w:t>
            </w:r>
          </w:p>
        </w:tc>
      </w:tr>
      <w:tr>
        <w:tc>
          <w:tcPr>
            <w:tcW w:type="dxa" w:w="3135"/>
            <w:shd w:val="clear" w:color="auto" w:fill="FF0000"/>
          </w:tcPr>
          <w:p>
            <w:r>
              <w:rPr>
                <w:sz w:val="19"/>
              </w:rPr>
              <w:t xml:space="preserve">  </w:t>
            </w:r>
          </w:p>
        </w:tc>
        <w:tc>
          <w:tcPr>
            <w:tcW w:type="dxa" w:w="3135"/>
            <w:shd w:val="clear" w:color="auto" w:fill="FFFFFF"/>
          </w:tcPr>
          <w:p>
            <w:r>
              <w:rPr>
                <w:rFonts w:ascii="Calibri" w:hAnsi="Calibri"/>
                <w:sz w:val="19"/>
              </w:rPr>
              <w:t>80 – 100%</w:t>
            </w:r>
          </w:p>
        </w:tc>
        <w:tc>
          <w:tcPr>
            <w:tcW w:type="dxa" w:w="3135"/>
            <w:shd w:val="clear" w:color="auto" w:fill="FFFFFF"/>
          </w:tcPr>
          <w:p>
            <w:r>
              <w:rPr>
                <w:rFonts w:ascii="Calibri" w:hAnsi="Calibri"/>
                <w:sz w:val="19"/>
              </w:rPr>
              <w:t>Critical</w:t>
            </w:r>
          </w:p>
        </w:tc>
      </w:tr>
    </w:tbl>
    <w:p/>
    <w:p>
      <w:pPr>
        <w:pStyle w:val="Heading2"/>
      </w:pPr>
      <w:r>
        <w:t>4.3  Section-Level % Complete</w:t>
      </w:r>
    </w:p>
    <w:p>
      <w:pPr>
        <w:spacing w:after="120"/>
      </w:pPr>
      <w:r>
        <w:t>Each section header in the dashboard displays an overall completeness percentage, calculated as:</w:t>
      </w:r>
    </w:p>
    <w:p>
      <w:pPr>
        <w:spacing w:before="80" w:after="160"/>
        <w:ind w:left="567"/>
        <w:shd w:val="clear" w:color="auto" w:fill="F4F6F9"/>
      </w:pPr>
      <w:r>
        <w:rPr>
          <w:rFonts w:ascii="Courier New" w:hAnsi="Courier New"/>
          <w:color w:val="0F2D4A"/>
          <w:sz w:val="20"/>
        </w:rPr>
        <w:t>Section % Complete  =  100  −  (Sum of % Missing for all n variables  ÷  n)</w:t>
        <w:br/>
        <w:br/>
        <w:t>Where n = number of variables with a % missing value</w:t>
        <w:br/>
        <w:t>(TOTAL_PATIENTS, FOLLOW_UP, KF and Transplant rows are excluded)</w:t>
      </w:r>
    </w:p>
    <w:p>
      <w:pPr>
        <w:spacing w:after="120"/>
      </w:pPr>
      <w:r>
        <w:t>Example: a cohort with 11 demographic variables having % missing values of 0, 2, 5, 10, 15, 30, 45, 60, 70, 80, 90:</w:t>
      </w:r>
    </w:p>
    <w:p>
      <w:pPr>
        <w:spacing w:before="80" w:after="160"/>
        <w:ind w:left="567"/>
        <w:shd w:val="clear" w:color="auto" w:fill="F4F6F9"/>
      </w:pPr>
      <w:r>
        <w:rPr>
          <w:rFonts w:ascii="Courier New" w:hAnsi="Courier New"/>
          <w:color w:val="0F2D4A"/>
          <w:sz w:val="20"/>
        </w:rPr>
        <w:t>Average % Missing  =  (0+2+5+10+15+30+45+60+70+80+90) ÷ 11  =  407 ÷ 11  ≈  37%</w:t>
        <w:br/>
        <w:br/>
        <w:t>Section % Complete  =  100 − 37  =  63%</w:t>
      </w:r>
    </w:p>
    <w:p>
      <w:pPr>
        <w:ind w:left="170"/>
      </w:pPr>
      <w:r>
        <w:rPr>
          <w:b/>
          <w:color w:val="1A6FA8"/>
        </w:rPr>
        <w:t xml:space="preserve">Note: </w:t>
      </w:r>
      <w:r>
        <w:rPr>
          <w:color w:val="4A5568"/>
          <w:sz w:val="19"/>
        </w:rPr>
        <w:t>This is an unweighted average — every variable contributes equally regardless of how many patients it applies to. It is a quick visual indicator, not a weighted audit score.</w:t>
      </w:r>
    </w:p>
    <w:p>
      <w:pPr>
        <w:pStyle w:val="Heading1"/>
      </w:pPr>
      <w:r>
        <w:t>5.  Kidney Failure Definition</w:t>
      </w:r>
    </w:p>
    <w:p>
      <w:pPr>
        <w:spacing w:after="120"/>
      </w:pPr>
      <w:r>
        <w:t>A patient is classified as having Kidney Failure (KF) if they meet any of the following criteria, based on data recorded in RaDaR: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6FA8"/>
          </w:tcPr>
          <w:p>
            <w:pPr>
              <w:jc w:val="center"/>
            </w:pPr>
            <w:r>
              <w:rPr>
                <w:rFonts w:ascii="Calibri" w:hAnsi="Calibri"/>
                <w:b/>
                <w:color w:val="FFFFFF"/>
                <w:sz w:val="19"/>
              </w:rPr>
              <w:t>Criterion</w:t>
            </w:r>
          </w:p>
        </w:tc>
        <w:tc>
          <w:tcPr>
            <w:tcW w:type="dxa" w:w="4703"/>
            <w:shd w:val="clear" w:color="auto" w:fill="1A6FA8"/>
          </w:tcPr>
          <w:p>
            <w:pPr>
              <w:jc w:val="center"/>
            </w:pPr>
            <w:r>
              <w:rPr>
                <w:rFonts w:ascii="Calibri" w:hAnsi="Calibri"/>
                <w:b/>
                <w:color w:val="FFFFFF"/>
                <w:sz w:val="19"/>
              </w:rPr>
              <w:t>Definition</w:t>
            </w:r>
          </w:p>
        </w:tc>
      </w:tr>
      <w:tr>
        <w:tc>
          <w:tcPr>
            <w:tcW w:type="dxa" w:w="4703"/>
            <w:shd w:val="clear" w:color="auto" w:fill="FFFFFF"/>
          </w:tcPr>
          <w:p>
            <w:pPr>
              <w:jc w:val="left"/>
            </w:pPr>
            <w:r>
              <w:rPr>
                <w:rFonts w:ascii="Calibri" w:hAnsi="Calibri"/>
                <w:color w:val="4A5568"/>
                <w:sz w:val="19"/>
              </w:rPr>
              <w:t>Transplant</w:t>
            </w:r>
          </w:p>
        </w:tc>
        <w:tc>
          <w:tcPr>
            <w:tcW w:type="dxa" w:w="4703"/>
            <w:shd w:val="clear" w:color="auto" w:fill="FFFFFF"/>
          </w:tcPr>
          <w:p>
            <w:pPr>
              <w:jc w:val="left"/>
            </w:pPr>
            <w:r>
              <w:rPr>
                <w:rFonts w:ascii="Calibri" w:hAnsi="Calibri"/>
                <w:color w:val="4A5568"/>
                <w:sz w:val="19"/>
              </w:rPr>
              <w:t>Any record present in the transplants table</w:t>
            </w:r>
          </w:p>
        </w:tc>
      </w:tr>
      <w:tr>
        <w:tc>
          <w:tcPr>
            <w:tcW w:type="dxa" w:w="4703"/>
            <w:shd w:val="clear" w:color="auto" w:fill="F4F6F9"/>
          </w:tcPr>
          <w:p>
            <w:pPr>
              <w:jc w:val="left"/>
            </w:pPr>
            <w:r>
              <w:rPr>
                <w:rFonts w:ascii="Calibri" w:hAnsi="Calibri"/>
                <w:color w:val="4A5568"/>
                <w:sz w:val="19"/>
              </w:rPr>
              <w:t>Dialysis</w:t>
            </w:r>
          </w:p>
        </w:tc>
        <w:tc>
          <w:tcPr>
            <w:tcW w:type="dxa" w:w="4703"/>
            <w:shd w:val="clear" w:color="auto" w:fill="F4F6F9"/>
          </w:tcPr>
          <w:p>
            <w:pPr>
              <w:jc w:val="left"/>
            </w:pPr>
            <w:r>
              <w:rPr>
                <w:rFonts w:ascii="Calibri" w:hAnsi="Calibri"/>
                <w:color w:val="4A5568"/>
                <w:sz w:val="19"/>
              </w:rPr>
              <w:t>Any record present in the dialysis table</w:t>
            </w:r>
          </w:p>
        </w:tc>
      </w:tr>
      <w:tr>
        <w:tc>
          <w:tcPr>
            <w:tcW w:type="dxa" w:w="4703"/>
            <w:shd w:val="clear" w:color="auto" w:fill="FFFFFF"/>
          </w:tcPr>
          <w:p>
            <w:pPr>
              <w:jc w:val="left"/>
            </w:pPr>
            <w:r>
              <w:rPr>
                <w:rFonts w:ascii="Calibri" w:hAnsi="Calibri"/>
                <w:color w:val="4A5568"/>
                <w:sz w:val="19"/>
              </w:rPr>
              <w:t>eGFR &lt; 15</w:t>
            </w:r>
          </w:p>
        </w:tc>
        <w:tc>
          <w:tcPr>
            <w:tcW w:type="dxa" w:w="4703"/>
            <w:shd w:val="clear" w:color="auto" w:fill="FFFFFF"/>
          </w:tcPr>
          <w:p>
            <w:pPr>
              <w:jc w:val="left"/>
            </w:pPr>
            <w:r>
              <w:rPr>
                <w:rFonts w:ascii="Calibri" w:hAnsi="Calibri"/>
                <w:color w:val="4A5568"/>
                <w:sz w:val="19"/>
              </w:rPr>
              <w:t>Two or more eGFR readings &lt; 15 ml/min/1.73m², recorded ≥ 28 days apart, with no eGFR ≥ 15 recorded between the first and last low reading</w:t>
            </w:r>
          </w:p>
        </w:tc>
      </w:tr>
    </w:tbl>
    <w:p/>
    <w:p>
      <w:pPr>
        <w:spacing w:after="120"/>
      </w:pPr>
      <w:r>
        <w:t>The eGFR criterion uses observation ID 47 in the results table.</w:t>
      </w:r>
    </w:p>
    <w:p>
      <w:pPr>
        <w:shd w:val="clear" w:color="auto" w:fill="FFF3CD"/>
        <w:pBdr>
          <w:left w:val="single" w:sz="18" w:space="8" w:color="FF9900"/>
        </w:pBdr>
      </w:pPr>
      <w:r>
        <w:rPr>
          <w:rFonts w:ascii="Calibri" w:hAnsi="Calibri"/>
          <w:color w:val="4A2500"/>
          <w:sz w:val="20"/>
        </w:rPr>
        <w:t>Important: KF classification is based solely on RaDaR data and is not linked to the UK Renal Registry (UKRR). Patients on dialysis or with a transplant managed entirely outside RaDaR-linked units will not be captured.</w:t>
      </w:r>
    </w:p>
    <w:p/>
    <w:p>
      <w:pPr>
        <w:pStyle w:val="Heading2"/>
      </w:pPr>
      <w:r>
        <w:t>5.1  Transplant Counting</w:t>
      </w:r>
    </w:p>
    <w:p>
      <w:pPr>
        <w:spacing w:after="120"/>
      </w:pPr>
      <w:r>
        <w:t>Transplants are counted per patient using COUNT(DISTINCT date) from the transplants table — each unique transplant date counts as one transplant. Patients are then split into:</w:t>
      </w:r>
    </w:p>
    <w:p>
      <w:pPr>
        <w:pStyle w:val="ListBullet"/>
      </w:pPr>
      <w:r>
        <w:rPr>
          <w:sz w:val="21"/>
        </w:rPr>
        <w:t>Single transplant: exactly 1 distinct transplant date</w:t>
      </w:r>
    </w:p>
    <w:p>
      <w:pPr>
        <w:pStyle w:val="ListBullet"/>
      </w:pPr>
      <w:r>
        <w:rPr>
          <w:sz w:val="21"/>
        </w:rPr>
        <w:t>Multiple transplants: 2 or more distinct transplant dates</w:t>
      </w:r>
    </w:p>
    <w:p/>
    <w:p>
      <w:pPr>
        <w:pStyle w:val="Heading1"/>
      </w:pPr>
      <w:r>
        <w:t>6.  Follow-Up Calculation</w:t>
      </w:r>
    </w:p>
    <w:p>
      <w:pPr>
        <w:spacing w:after="120"/>
      </w:pPr>
      <w:r>
        <w:t>Follow-up measures the duration of a patient's active monitoring in RaDaR, expressed in years.</w:t>
      </w:r>
    </w:p>
    <w:p>
      <w:pPr>
        <w:pStyle w:val="Heading2"/>
      </w:pPr>
      <w:r>
        <w:t>6.1  Formula</w:t>
      </w:r>
    </w:p>
    <w:p>
      <w:pPr>
        <w:spacing w:before="80" w:after="160"/>
        <w:ind w:left="567"/>
        <w:shd w:val="clear" w:color="auto" w:fill="F4F6F9"/>
      </w:pPr>
      <w:r>
        <w:rPr>
          <w:rFonts w:ascii="Courier New" w:hAnsi="Courier New"/>
          <w:color w:val="0F2D4A"/>
          <w:sz w:val="20"/>
        </w:rPr>
        <w:t>Follow-up (years)  =  (End Date  −  Enrolment Date)  ÷  365.25</w:t>
        <w:br/>
        <w:br/>
        <w:t>Enrolment Date  =  group_patients.from_date  (the 'Recruited On' date in RaDaR)</w:t>
        <w:br/>
        <w:t xml:space="preserve">                   Fallback: earliest cohort membership date across all cohorts</w:t>
        <w:br/>
        <w:br/>
        <w:t>End Date hierarchy:</w:t>
        <w:br/>
        <w:t xml:space="preserve">  1.  Date of death          (if the patient is deceased)</w:t>
        <w:br/>
        <w:t xml:space="preserve">  2.  Last activity date     (latest date in results or medications tables)</w:t>
        <w:br/>
        <w:t xml:space="preserve">  3.  Today's date           (if no activity has ever been recorded)</w:t>
      </w:r>
    </w:p>
    <w:p>
      <w:pPr>
        <w:spacing w:after="120"/>
      </w:pPr>
      <w:r>
        <w:t>The dashboard reports the median follow-up and interquartile range (IQR) for each section.</w:t>
      </w:r>
    </w:p>
    <w:p>
      <w:pPr>
        <w:pStyle w:val="Heading2"/>
      </w:pPr>
      <w:r>
        <w:t>6.2  Special Cases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6FA8"/>
          </w:tcPr>
          <w:p>
            <w:pPr>
              <w:jc w:val="center"/>
            </w:pPr>
            <w:r>
              <w:rPr>
                <w:rFonts w:ascii="Calibri" w:hAnsi="Calibri"/>
                <w:b/>
                <w:color w:val="FFFFFF"/>
                <w:sz w:val="19"/>
              </w:rPr>
              <w:t>Situation</w:t>
            </w:r>
          </w:p>
        </w:tc>
        <w:tc>
          <w:tcPr>
            <w:tcW w:type="dxa" w:w="4703"/>
            <w:shd w:val="clear" w:color="auto" w:fill="1A6FA8"/>
          </w:tcPr>
          <w:p>
            <w:pPr>
              <w:jc w:val="center"/>
            </w:pPr>
            <w:r>
              <w:rPr>
                <w:rFonts w:ascii="Calibri" w:hAnsi="Calibri"/>
                <w:b/>
                <w:color w:val="FFFFFF"/>
                <w:sz w:val="19"/>
              </w:rPr>
              <w:t>How it is handled</w:t>
            </w:r>
          </w:p>
        </w:tc>
      </w:tr>
      <w:tr>
        <w:tc>
          <w:tcPr>
            <w:tcW w:type="dxa" w:w="4703"/>
            <w:shd w:val="clear" w:color="auto" w:fill="FFFFFF"/>
          </w:tcPr>
          <w:p>
            <w:pPr>
              <w:jc w:val="left"/>
            </w:pPr>
            <w:r>
              <w:rPr>
                <w:rFonts w:ascii="Calibri" w:hAnsi="Calibri"/>
                <w:color w:val="4A5568"/>
                <w:sz w:val="19"/>
              </w:rPr>
              <w:t>Last activity is before enrolment date</w:t>
            </w:r>
          </w:p>
        </w:tc>
        <w:tc>
          <w:tcPr>
            <w:tcW w:type="dxa" w:w="4703"/>
            <w:shd w:val="clear" w:color="auto" w:fill="FFFFFF"/>
          </w:tcPr>
          <w:p>
            <w:pPr>
              <w:jc w:val="left"/>
            </w:pPr>
            <w:r>
              <w:rPr>
                <w:rFonts w:ascii="Calibri" w:hAnsi="Calibri"/>
                <w:color w:val="4A5568"/>
                <w:sz w:val="19"/>
              </w:rPr>
              <w:t>Treated as a historical batch upload — end date set to today</w:t>
            </w:r>
          </w:p>
        </w:tc>
      </w:tr>
      <w:tr>
        <w:tc>
          <w:tcPr>
            <w:tcW w:type="dxa" w:w="4703"/>
            <w:shd w:val="clear" w:color="auto" w:fill="F4F6F9"/>
          </w:tcPr>
          <w:p>
            <w:pPr>
              <w:jc w:val="left"/>
            </w:pPr>
            <w:r>
              <w:rPr>
                <w:rFonts w:ascii="Calibri" w:hAnsi="Calibri"/>
                <w:color w:val="4A5568"/>
                <w:sz w:val="19"/>
              </w:rPr>
              <w:t>Date of death is before enrolment date</w:t>
            </w:r>
          </w:p>
        </w:tc>
        <w:tc>
          <w:tcPr>
            <w:tcW w:type="dxa" w:w="4703"/>
            <w:shd w:val="clear" w:color="auto" w:fill="F4F6F9"/>
          </w:tcPr>
          <w:p>
            <w:pPr>
              <w:jc w:val="left"/>
            </w:pPr>
            <w:r>
              <w:rPr>
                <w:rFonts w:ascii="Calibri" w:hAnsi="Calibri"/>
                <w:color w:val="4A5568"/>
                <w:sz w:val="19"/>
              </w:rPr>
              <w:t>Data entry error — patient excluded from follow-up calculation</w:t>
            </w:r>
          </w:p>
        </w:tc>
      </w:tr>
      <w:tr>
        <w:tc>
          <w:tcPr>
            <w:tcW w:type="dxa" w:w="4703"/>
            <w:shd w:val="clear" w:color="auto" w:fill="FFFFFF"/>
          </w:tcPr>
          <w:p>
            <w:pPr>
              <w:jc w:val="left"/>
            </w:pPr>
            <w:r>
              <w:rPr>
                <w:rFonts w:ascii="Calibri" w:hAnsi="Calibri"/>
                <w:color w:val="4A5568"/>
                <w:sz w:val="19"/>
              </w:rPr>
              <w:t>No enrolment date available</w:t>
            </w:r>
          </w:p>
        </w:tc>
        <w:tc>
          <w:tcPr>
            <w:tcW w:type="dxa" w:w="4703"/>
            <w:shd w:val="clear" w:color="auto" w:fill="FFFFFF"/>
          </w:tcPr>
          <w:p>
            <w:pPr>
              <w:jc w:val="left"/>
            </w:pPr>
            <w:r>
              <w:rPr>
                <w:rFonts w:ascii="Calibri" w:hAnsi="Calibri"/>
                <w:color w:val="4A5568"/>
                <w:sz w:val="19"/>
              </w:rPr>
              <w:t>Cannot calculate — patient excluded from median</w:t>
            </w:r>
          </w:p>
        </w:tc>
      </w:tr>
    </w:tbl>
    <w:p/>
    <w:p>
      <w:pPr>
        <w:pStyle w:val="Heading2"/>
      </w:pPr>
      <w:r>
        <w:t>6.3  Known Data Quality Issue</w:t>
      </w:r>
    </w:p>
    <w:p>
      <w:pPr>
        <w:shd w:val="clear" w:color="auto" w:fill="FFE7E7"/>
        <w:pBdr>
          <w:left w:val="single" w:sz="18" w:space="8" w:color="FF0000"/>
        </w:pBdr>
      </w:pPr>
      <w:r>
        <w:rPr>
          <w:rFonts w:ascii="Calibri" w:hAnsi="Calibri"/>
          <w:color w:val="6B0000"/>
          <w:sz w:val="20"/>
        </w:rPr>
        <w:t>Across the full RaDaR dataset, approximately 18 patients have a date of death recorded earlier than their enrolment date. This is a data entry error at the enrolling unit. These patients are excluded from the follow-up calculation. Correcting the dates in the RaDaR front end would restore them to the analysis automatically on the next data refresh.</w:t>
      </w:r>
    </w:p>
    <w:p/>
    <w:p>
      <w:pPr>
        <w:pStyle w:val="Heading1"/>
      </w:pPr>
      <w:r>
        <w:t>7.  Dashboard Architecture</w:t>
      </w:r>
    </w:p>
    <w:p>
      <w:pPr>
        <w:pStyle w:val="Heading2"/>
      </w:pPr>
      <w:r>
        <w:t>7.1  Data Pipeline</w:t>
      </w:r>
    </w:p>
    <w:p>
      <w:pPr>
        <w:spacing w:after="120"/>
      </w:pPr>
      <w:r>
        <w:t>The dashboard operates on a static JSON model — there is no live database connection on the hosted version:</w:t>
      </w:r>
    </w:p>
    <w:p>
      <w:pPr>
        <w:spacing w:after="80"/>
        <w:ind w:left="283"/>
      </w:pPr>
      <w:r>
        <w:rPr>
          <w:b/>
          <w:color w:val="1A6FA8"/>
        </w:rPr>
        <w:t xml:space="preserve">Step 1:  </w:t>
      </w:r>
      <w:r>
        <w:rPr>
          <w:color w:val="4A5568"/>
        </w:rPr>
        <w:t>run_all.py runs locally — opens SSH tunnel to RaDaR PostgreSQL database, runs all queries (demographics, cohort counts, follow-up, KF, transplants), writes output/completeness.json</w:t>
      </w:r>
    </w:p>
    <w:p>
      <w:pPr>
        <w:spacing w:after="80"/>
        <w:ind w:left="283"/>
      </w:pPr>
      <w:r>
        <w:rPr>
          <w:b/>
          <w:color w:val="1A6FA8"/>
        </w:rPr>
        <w:t xml:space="preserve">Step 2:  </w:t>
      </w:r>
      <w:r>
        <w:rPr>
          <w:color w:val="4A5568"/>
        </w:rPr>
        <w:t>completeness.json is committed to GitHub</w:t>
      </w:r>
    </w:p>
    <w:p>
      <w:pPr>
        <w:spacing w:after="80"/>
        <w:ind w:left="283"/>
      </w:pPr>
      <w:r>
        <w:rPr>
          <w:b/>
          <w:color w:val="1A6FA8"/>
        </w:rPr>
        <w:t xml:space="preserve">Step 3:  </w:t>
      </w:r>
      <w:r>
        <w:rPr>
          <w:color w:val="4A5568"/>
        </w:rPr>
        <w:t>Render.com auto-deploys from GitHub — dashboard reads completeness.json at startup. No database credentials required on the server.</w:t>
      </w:r>
    </w:p>
    <w:p/>
    <w:p>
      <w:pPr>
        <w:pStyle w:val="Heading2"/>
      </w:pPr>
      <w:r>
        <w:t>7.2  Update Frequency</w:t>
      </w:r>
    </w:p>
    <w:p>
      <w:pPr>
        <w:spacing w:after="120"/>
      </w:pPr>
      <w:r>
        <w:t>The dashboard is updated manually by running the analytics pipeline locally and pushing the resulting JSON file to GitHub. Render.com redeploys automatically within approximately 2 minutes of each push.</w:t>
      </w:r>
    </w:p>
    <w:p>
      <w:pPr>
        <w:pStyle w:val="Heading2"/>
      </w:pPr>
      <w:r>
        <w:t>7.3  Technology Stack</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6FA8"/>
          </w:tcPr>
          <w:p>
            <w:pPr>
              <w:jc w:val="center"/>
            </w:pPr>
            <w:r>
              <w:rPr>
                <w:rFonts w:ascii="Calibri" w:hAnsi="Calibri"/>
                <w:b/>
                <w:color w:val="FFFFFF"/>
                <w:sz w:val="19"/>
              </w:rPr>
              <w:t>Component</w:t>
            </w:r>
          </w:p>
        </w:tc>
        <w:tc>
          <w:tcPr>
            <w:tcW w:type="dxa" w:w="4703"/>
            <w:shd w:val="clear" w:color="auto" w:fill="1A6FA8"/>
          </w:tcPr>
          <w:p>
            <w:pPr>
              <w:jc w:val="center"/>
            </w:pPr>
            <w:r>
              <w:rPr>
                <w:rFonts w:ascii="Calibri" w:hAnsi="Calibri"/>
                <w:b/>
                <w:color w:val="FFFFFF"/>
                <w:sz w:val="19"/>
              </w:rPr>
              <w:t>Technology</w:t>
            </w:r>
          </w:p>
        </w:tc>
      </w:tr>
      <w:tr>
        <w:tc>
          <w:tcPr>
            <w:tcW w:type="dxa" w:w="4703"/>
            <w:shd w:val="clear" w:color="auto" w:fill="FFFFFF"/>
          </w:tcPr>
          <w:p>
            <w:pPr>
              <w:jc w:val="left"/>
            </w:pPr>
            <w:r>
              <w:rPr>
                <w:rFonts w:ascii="Calibri" w:hAnsi="Calibri"/>
                <w:color w:val="4A5568"/>
                <w:sz w:val="19"/>
              </w:rPr>
              <w:t>Dashboard framework</w:t>
            </w:r>
          </w:p>
        </w:tc>
        <w:tc>
          <w:tcPr>
            <w:tcW w:type="dxa" w:w="4703"/>
            <w:shd w:val="clear" w:color="auto" w:fill="FFFFFF"/>
          </w:tcPr>
          <w:p>
            <w:pPr>
              <w:jc w:val="left"/>
            </w:pPr>
            <w:r>
              <w:rPr>
                <w:rFonts w:ascii="Calibri" w:hAnsi="Calibri"/>
                <w:color w:val="4A5568"/>
                <w:sz w:val="19"/>
              </w:rPr>
              <w:t>Plotly Dash (Python)</w:t>
            </w:r>
          </w:p>
        </w:tc>
      </w:tr>
      <w:tr>
        <w:tc>
          <w:tcPr>
            <w:tcW w:type="dxa" w:w="4703"/>
            <w:shd w:val="clear" w:color="auto" w:fill="F4F6F9"/>
          </w:tcPr>
          <w:p>
            <w:pPr>
              <w:jc w:val="left"/>
            </w:pPr>
            <w:r>
              <w:rPr>
                <w:rFonts w:ascii="Calibri" w:hAnsi="Calibri"/>
                <w:color w:val="4A5568"/>
                <w:sz w:val="19"/>
              </w:rPr>
              <w:t>UI components</w:t>
            </w:r>
          </w:p>
        </w:tc>
        <w:tc>
          <w:tcPr>
            <w:tcW w:type="dxa" w:w="4703"/>
            <w:shd w:val="clear" w:color="auto" w:fill="F4F6F9"/>
          </w:tcPr>
          <w:p>
            <w:pPr>
              <w:jc w:val="left"/>
            </w:pPr>
            <w:r>
              <w:rPr>
                <w:rFonts w:ascii="Calibri" w:hAnsi="Calibri"/>
                <w:color w:val="4A5568"/>
                <w:sz w:val="19"/>
              </w:rPr>
              <w:t>Dash Bootstrap Components (Bootstrap 5)</w:t>
            </w:r>
          </w:p>
        </w:tc>
      </w:tr>
      <w:tr>
        <w:tc>
          <w:tcPr>
            <w:tcW w:type="dxa" w:w="4703"/>
            <w:shd w:val="clear" w:color="auto" w:fill="FFFFFF"/>
          </w:tcPr>
          <w:p>
            <w:pPr>
              <w:jc w:val="left"/>
            </w:pPr>
            <w:r>
              <w:rPr>
                <w:rFonts w:ascii="Calibri" w:hAnsi="Calibri"/>
                <w:color w:val="4A5568"/>
                <w:sz w:val="19"/>
              </w:rPr>
              <w:t>Data processing</w:t>
            </w:r>
          </w:p>
        </w:tc>
        <w:tc>
          <w:tcPr>
            <w:tcW w:type="dxa" w:w="4703"/>
            <w:shd w:val="clear" w:color="auto" w:fill="FFFFFF"/>
          </w:tcPr>
          <w:p>
            <w:pPr>
              <w:jc w:val="left"/>
            </w:pPr>
            <w:r>
              <w:rPr>
                <w:rFonts w:ascii="Calibri" w:hAnsi="Calibri"/>
                <w:color w:val="4A5568"/>
                <w:sz w:val="19"/>
              </w:rPr>
              <w:t>pandas</w:t>
            </w:r>
          </w:p>
        </w:tc>
      </w:tr>
      <w:tr>
        <w:tc>
          <w:tcPr>
            <w:tcW w:type="dxa" w:w="4703"/>
            <w:shd w:val="clear" w:color="auto" w:fill="F4F6F9"/>
          </w:tcPr>
          <w:p>
            <w:pPr>
              <w:jc w:val="left"/>
            </w:pPr>
            <w:r>
              <w:rPr>
                <w:rFonts w:ascii="Calibri" w:hAnsi="Calibri"/>
                <w:color w:val="4A5568"/>
                <w:sz w:val="19"/>
              </w:rPr>
              <w:t>Database connection</w:t>
            </w:r>
          </w:p>
        </w:tc>
        <w:tc>
          <w:tcPr>
            <w:tcW w:type="dxa" w:w="4703"/>
            <w:shd w:val="clear" w:color="auto" w:fill="F4F6F9"/>
          </w:tcPr>
          <w:p>
            <w:pPr>
              <w:jc w:val="left"/>
            </w:pPr>
            <w:r>
              <w:rPr>
                <w:rFonts w:ascii="Calibri" w:hAnsi="Calibri"/>
                <w:color w:val="4A5568"/>
                <w:sz w:val="19"/>
              </w:rPr>
              <w:t>PostgreSQL via SSH tunnel (psycopg2 + sshtunnel)</w:t>
            </w:r>
          </w:p>
        </w:tc>
      </w:tr>
      <w:tr>
        <w:tc>
          <w:tcPr>
            <w:tcW w:type="dxa" w:w="4703"/>
            <w:shd w:val="clear" w:color="auto" w:fill="FFFFFF"/>
          </w:tcPr>
          <w:p>
            <w:pPr>
              <w:jc w:val="left"/>
            </w:pPr>
            <w:r>
              <w:rPr>
                <w:rFonts w:ascii="Calibri" w:hAnsi="Calibri"/>
                <w:color w:val="4A5568"/>
                <w:sz w:val="19"/>
              </w:rPr>
              <w:t>Hosting</w:t>
            </w:r>
          </w:p>
        </w:tc>
        <w:tc>
          <w:tcPr>
            <w:tcW w:type="dxa" w:w="4703"/>
            <w:shd w:val="clear" w:color="auto" w:fill="FFFFFF"/>
          </w:tcPr>
          <w:p>
            <w:pPr>
              <w:jc w:val="left"/>
            </w:pPr>
            <w:r>
              <w:rPr>
                <w:rFonts w:ascii="Calibri" w:hAnsi="Calibri"/>
                <w:color w:val="4A5568"/>
                <w:sz w:val="19"/>
              </w:rPr>
              <w:t>Render.com</w:t>
            </w:r>
          </w:p>
        </w:tc>
      </w:tr>
      <w:tr>
        <w:tc>
          <w:tcPr>
            <w:tcW w:type="dxa" w:w="4703"/>
            <w:shd w:val="clear" w:color="auto" w:fill="F4F6F9"/>
          </w:tcPr>
          <w:p>
            <w:pPr>
              <w:jc w:val="left"/>
            </w:pPr>
            <w:r>
              <w:rPr>
                <w:rFonts w:ascii="Calibri" w:hAnsi="Calibri"/>
                <w:color w:val="4A5568"/>
                <w:sz w:val="19"/>
              </w:rPr>
              <w:t>Version control</w:t>
            </w:r>
          </w:p>
        </w:tc>
        <w:tc>
          <w:tcPr>
            <w:tcW w:type="dxa" w:w="4703"/>
            <w:shd w:val="clear" w:color="auto" w:fill="F4F6F9"/>
          </w:tcPr>
          <w:p>
            <w:pPr>
              <w:jc w:val="left"/>
            </w:pPr>
            <w:r>
              <w:rPr>
                <w:rFonts w:ascii="Calibri" w:hAnsi="Calibri"/>
                <w:color w:val="4A5568"/>
                <w:sz w:val="19"/>
              </w:rPr>
              <w:t>GitHub — encrypted000/RENALDO</w:t>
            </w:r>
          </w:p>
        </w:tc>
      </w:tr>
    </w:tbl>
    <w:p/>
    <w:p>
      <w:pPr>
        <w:pStyle w:val="Heading1"/>
      </w:pPr>
      <w:r>
        <w:t>8.  Limitations</w:t>
      </w:r>
    </w:p>
    <w:p>
      <w:pPr>
        <w:spacing w:after="100"/>
      </w:pPr>
      <w:r>
        <w:rPr>
          <w:b/>
          <w:color w:val="0F2D4A"/>
        </w:rPr>
        <w:t xml:space="preserve">1.  Static data — </w:t>
      </w:r>
      <w:r>
        <w:rPr>
          <w:color w:val="4A5568"/>
        </w:rPr>
        <w:t>The dashboard reflects the state of RaDaR at the time the analytics pipeline was last run. It does not update in real time.</w:t>
      </w:r>
    </w:p>
    <w:p>
      <w:pPr>
        <w:spacing w:after="100"/>
      </w:pPr>
      <w:r>
        <w:rPr>
          <w:b/>
          <w:color w:val="0F2D4A"/>
        </w:rPr>
        <w:t xml:space="preserve">2.  RaDaR-only KF classification — </w:t>
      </w:r>
      <w:r>
        <w:rPr>
          <w:color w:val="4A5568"/>
        </w:rPr>
        <w:t>Kidney failure status is derived from RaDaR records only. Patients receiving renal replacement therapy outside RaDaR-linked pathways will not be captured.</w:t>
      </w:r>
    </w:p>
    <w:p>
      <w:pPr>
        <w:spacing w:after="100"/>
      </w:pPr>
      <w:r>
        <w:rPr>
          <w:b/>
          <w:color w:val="0F2D4A"/>
        </w:rPr>
        <w:t xml:space="preserve">3.  Unweighted completeness score — </w:t>
      </w:r>
      <w:r>
        <w:rPr>
          <w:color w:val="4A5568"/>
        </w:rPr>
        <w:t>The section % complete is a simple average across variables and does not weight by variable importance or patient count.</w:t>
      </w:r>
    </w:p>
    <w:p>
      <w:pPr>
        <w:spacing w:after="100"/>
      </w:pPr>
      <w:r>
        <w:rPr>
          <w:b/>
          <w:color w:val="0F2D4A"/>
        </w:rPr>
        <w:t xml:space="preserve">4.  Email placeholder list — </w:t>
      </w:r>
      <w:r>
        <w:rPr>
          <w:color w:val="4A5568"/>
        </w:rPr>
        <w:t>The list of 46 placeholder emails is maintained manually. New placeholder addresses added to RaDaR after the last update of this list will not be treated as missing.</w:t>
      </w:r>
    </w:p>
    <w:p>
      <w:pPr>
        <w:spacing w:after="100"/>
      </w:pPr>
      <w:r>
        <w:rPr>
          <w:b/>
          <w:color w:val="0F2D4A"/>
        </w:rPr>
        <w:t xml:space="preserve">5.  Follow-up based on last activity — </w:t>
      </w:r>
      <w:r>
        <w:rPr>
          <w:color w:val="4A5568"/>
        </w:rPr>
        <w:t>Follow-up end date is the latest entry in results or medications. Patients who are alive and enrolled but have had no activity recorded will appear to have follow-up ending today, which may overestimate their active monitoring period.</w:t>
      </w:r>
    </w:p>
    <w:p>
      <w:pPr>
        <w:pStyle w:val="Heading1"/>
      </w:pPr>
      <w:r>
        <w:t>9.  Glossary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6FA8"/>
          </w:tcPr>
          <w:p>
            <w:pPr>
              <w:jc w:val="center"/>
            </w:pPr>
            <w:r>
              <w:rPr>
                <w:rFonts w:ascii="Calibri" w:hAnsi="Calibri"/>
                <w:b/>
                <w:color w:val="FFFFFF"/>
                <w:sz w:val="19"/>
              </w:rPr>
              <w:t>Term</w:t>
            </w:r>
          </w:p>
        </w:tc>
        <w:tc>
          <w:tcPr>
            <w:tcW w:type="dxa" w:w="4703"/>
            <w:shd w:val="clear" w:color="auto" w:fill="1A6FA8"/>
          </w:tcPr>
          <w:p>
            <w:pPr>
              <w:jc w:val="center"/>
            </w:pPr>
            <w:r>
              <w:rPr>
                <w:rFonts w:ascii="Calibri" w:hAnsi="Calibri"/>
                <w:b/>
                <w:color w:val="FFFFFF"/>
                <w:sz w:val="19"/>
              </w:rPr>
              <w:t>Definition</w:t>
            </w:r>
          </w:p>
        </w:tc>
      </w:tr>
      <w:tr>
        <w:tc>
          <w:tcPr>
            <w:tcW w:type="dxa" w:w="4703"/>
            <w:shd w:val="clear" w:color="auto" w:fill="FFFFFF"/>
          </w:tcPr>
          <w:p>
            <w:pPr>
              <w:jc w:val="left"/>
            </w:pPr>
            <w:r>
              <w:rPr>
                <w:rFonts w:ascii="Calibri" w:hAnsi="Calibri"/>
                <w:color w:val="4A5568"/>
                <w:sz w:val="19"/>
              </w:rPr>
              <w:t>RaDaR</w:t>
            </w:r>
          </w:p>
        </w:tc>
        <w:tc>
          <w:tcPr>
            <w:tcW w:type="dxa" w:w="4703"/>
            <w:shd w:val="clear" w:color="auto" w:fill="FFFFFF"/>
          </w:tcPr>
          <w:p>
            <w:pPr>
              <w:jc w:val="left"/>
            </w:pPr>
            <w:r>
              <w:rPr>
                <w:rFonts w:ascii="Calibri" w:hAnsi="Calibri"/>
                <w:color w:val="4A5568"/>
                <w:sz w:val="19"/>
              </w:rPr>
              <w:t>National Registry of Rare Kidney Diseases</w:t>
            </w:r>
          </w:p>
        </w:tc>
      </w:tr>
      <w:tr>
        <w:tc>
          <w:tcPr>
            <w:tcW w:type="dxa" w:w="4703"/>
            <w:shd w:val="clear" w:color="auto" w:fill="F4F6F9"/>
          </w:tcPr>
          <w:p>
            <w:pPr>
              <w:jc w:val="left"/>
            </w:pPr>
            <w:r>
              <w:rPr>
                <w:rFonts w:ascii="Calibri" w:hAnsi="Calibri"/>
                <w:color w:val="4A5568"/>
                <w:sz w:val="19"/>
              </w:rPr>
              <w:t>UKKA</w:t>
            </w:r>
          </w:p>
        </w:tc>
        <w:tc>
          <w:tcPr>
            <w:tcW w:type="dxa" w:w="4703"/>
            <w:shd w:val="clear" w:color="auto" w:fill="F4F6F9"/>
          </w:tcPr>
          <w:p>
            <w:pPr>
              <w:jc w:val="left"/>
            </w:pPr>
            <w:r>
              <w:rPr>
                <w:rFonts w:ascii="Calibri" w:hAnsi="Calibri"/>
                <w:color w:val="4A5568"/>
                <w:sz w:val="19"/>
              </w:rPr>
              <w:t>UK Kidney Association</w:t>
            </w:r>
          </w:p>
        </w:tc>
      </w:tr>
      <w:tr>
        <w:tc>
          <w:tcPr>
            <w:tcW w:type="dxa" w:w="4703"/>
            <w:shd w:val="clear" w:color="auto" w:fill="FFFFFF"/>
          </w:tcPr>
          <w:p>
            <w:pPr>
              <w:jc w:val="left"/>
            </w:pPr>
            <w:r>
              <w:rPr>
                <w:rFonts w:ascii="Calibri" w:hAnsi="Calibri"/>
                <w:color w:val="4A5568"/>
                <w:sz w:val="19"/>
              </w:rPr>
              <w:t>RENALDO</w:t>
            </w:r>
          </w:p>
        </w:tc>
        <w:tc>
          <w:tcPr>
            <w:tcW w:type="dxa" w:w="4703"/>
            <w:shd w:val="clear" w:color="auto" w:fill="FFFFFF"/>
          </w:tcPr>
          <w:p>
            <w:pPr>
              <w:jc w:val="left"/>
            </w:pPr>
            <w:r>
              <w:rPr>
                <w:rFonts w:ascii="Calibri" w:hAnsi="Calibri"/>
                <w:color w:val="4A5568"/>
                <w:sz w:val="19"/>
              </w:rPr>
              <w:t>RarE kidNey dAta compLeteness DashbOard</w:t>
            </w:r>
          </w:p>
        </w:tc>
      </w:tr>
      <w:tr>
        <w:tc>
          <w:tcPr>
            <w:tcW w:type="dxa" w:w="4703"/>
            <w:shd w:val="clear" w:color="auto" w:fill="F4F6F9"/>
          </w:tcPr>
          <w:p>
            <w:pPr>
              <w:jc w:val="left"/>
            </w:pPr>
            <w:r>
              <w:rPr>
                <w:rFonts w:ascii="Calibri" w:hAnsi="Calibri"/>
                <w:color w:val="4A5568"/>
                <w:sz w:val="19"/>
              </w:rPr>
              <w:t>Completeness</w:t>
            </w:r>
          </w:p>
        </w:tc>
        <w:tc>
          <w:tcPr>
            <w:tcW w:type="dxa" w:w="4703"/>
            <w:shd w:val="clear" w:color="auto" w:fill="F4F6F9"/>
          </w:tcPr>
          <w:p>
            <w:pPr>
              <w:jc w:val="left"/>
            </w:pPr>
            <w:r>
              <w:rPr>
                <w:rFonts w:ascii="Calibri" w:hAnsi="Calibri"/>
                <w:color w:val="4A5568"/>
                <w:sz w:val="19"/>
              </w:rPr>
              <w:t>The proportion of expected values that have been recorded</w:t>
            </w:r>
          </w:p>
        </w:tc>
      </w:tr>
      <w:tr>
        <w:tc>
          <w:tcPr>
            <w:tcW w:type="dxa" w:w="4703"/>
            <w:shd w:val="clear" w:color="auto" w:fill="FFFFFF"/>
          </w:tcPr>
          <w:p>
            <w:pPr>
              <w:jc w:val="left"/>
            </w:pPr>
            <w:r>
              <w:rPr>
                <w:rFonts w:ascii="Calibri" w:hAnsi="Calibri"/>
                <w:color w:val="4A5568"/>
                <w:sz w:val="19"/>
              </w:rPr>
              <w:t>% Missing</w:t>
            </w:r>
          </w:p>
        </w:tc>
        <w:tc>
          <w:tcPr>
            <w:tcW w:type="dxa" w:w="4703"/>
            <w:shd w:val="clear" w:color="auto" w:fill="FFFFFF"/>
          </w:tcPr>
          <w:p>
            <w:pPr>
              <w:jc w:val="left"/>
            </w:pPr>
            <w:r>
              <w:rPr>
                <w:rFonts w:ascii="Calibri" w:hAnsi="Calibri"/>
                <w:color w:val="4A5568"/>
                <w:sz w:val="19"/>
              </w:rPr>
              <w:t>Patients with no recorded value ÷ total patients × 100</w:t>
            </w:r>
          </w:p>
        </w:tc>
      </w:tr>
      <w:tr>
        <w:tc>
          <w:tcPr>
            <w:tcW w:type="dxa" w:w="4703"/>
            <w:shd w:val="clear" w:color="auto" w:fill="F4F6F9"/>
          </w:tcPr>
          <w:p>
            <w:pPr>
              <w:jc w:val="left"/>
            </w:pPr>
            <w:r>
              <w:rPr>
                <w:rFonts w:ascii="Calibri" w:hAnsi="Calibri"/>
                <w:color w:val="4A5568"/>
                <w:sz w:val="19"/>
              </w:rPr>
              <w:t>KF</w:t>
            </w:r>
          </w:p>
        </w:tc>
        <w:tc>
          <w:tcPr>
            <w:tcW w:type="dxa" w:w="4703"/>
            <w:shd w:val="clear" w:color="auto" w:fill="F4F6F9"/>
          </w:tcPr>
          <w:p>
            <w:pPr>
              <w:jc w:val="left"/>
            </w:pPr>
            <w:r>
              <w:rPr>
                <w:rFonts w:ascii="Calibri" w:hAnsi="Calibri"/>
                <w:color w:val="4A5568"/>
                <w:sz w:val="19"/>
              </w:rPr>
              <w:t>Kidney Failure</w:t>
            </w:r>
          </w:p>
        </w:tc>
      </w:tr>
      <w:tr>
        <w:tc>
          <w:tcPr>
            <w:tcW w:type="dxa" w:w="4703"/>
            <w:shd w:val="clear" w:color="auto" w:fill="FFFFFF"/>
          </w:tcPr>
          <w:p>
            <w:pPr>
              <w:jc w:val="left"/>
            </w:pPr>
            <w:r>
              <w:rPr>
                <w:rFonts w:ascii="Calibri" w:hAnsi="Calibri"/>
                <w:color w:val="4A5568"/>
                <w:sz w:val="19"/>
              </w:rPr>
              <w:t>eGFR</w:t>
            </w:r>
          </w:p>
        </w:tc>
        <w:tc>
          <w:tcPr>
            <w:tcW w:type="dxa" w:w="4703"/>
            <w:shd w:val="clear" w:color="auto" w:fill="FFFFFF"/>
          </w:tcPr>
          <w:p>
            <w:pPr>
              <w:jc w:val="left"/>
            </w:pPr>
            <w:r>
              <w:rPr>
                <w:rFonts w:ascii="Calibri" w:hAnsi="Calibri"/>
                <w:color w:val="4A5568"/>
                <w:sz w:val="19"/>
              </w:rPr>
              <w:t>Estimated Glomerular Filtration Rate — a measure of kidney function (ml/min/1.73m²)</w:t>
            </w:r>
          </w:p>
        </w:tc>
      </w:tr>
      <w:tr>
        <w:tc>
          <w:tcPr>
            <w:tcW w:type="dxa" w:w="4703"/>
            <w:shd w:val="clear" w:color="auto" w:fill="F4F6F9"/>
          </w:tcPr>
          <w:p>
            <w:pPr>
              <w:jc w:val="left"/>
            </w:pPr>
            <w:r>
              <w:rPr>
                <w:rFonts w:ascii="Calibri" w:hAnsi="Calibri"/>
                <w:color w:val="4A5568"/>
                <w:sz w:val="19"/>
              </w:rPr>
              <w:t>IQR</w:t>
            </w:r>
          </w:p>
        </w:tc>
        <w:tc>
          <w:tcPr>
            <w:tcW w:type="dxa" w:w="4703"/>
            <w:shd w:val="clear" w:color="auto" w:fill="F4F6F9"/>
          </w:tcPr>
          <w:p>
            <w:pPr>
              <w:jc w:val="left"/>
            </w:pPr>
            <w:r>
              <w:rPr>
                <w:rFonts w:ascii="Calibri" w:hAnsi="Calibri"/>
                <w:color w:val="4A5568"/>
                <w:sz w:val="19"/>
              </w:rPr>
              <w:t>Interquartile Range — the range between the 25th and 75th percentile</w:t>
            </w:r>
          </w:p>
        </w:tc>
      </w:tr>
      <w:tr>
        <w:tc>
          <w:tcPr>
            <w:tcW w:type="dxa" w:w="4703"/>
            <w:shd w:val="clear" w:color="auto" w:fill="FFFFFF"/>
          </w:tcPr>
          <w:p>
            <w:pPr>
              <w:jc w:val="left"/>
            </w:pPr>
            <w:r>
              <w:rPr>
                <w:rFonts w:ascii="Calibri" w:hAnsi="Calibri"/>
                <w:color w:val="4A5568"/>
                <w:sz w:val="19"/>
              </w:rPr>
              <w:t>SSH Tunnel</w:t>
            </w:r>
          </w:p>
        </w:tc>
        <w:tc>
          <w:tcPr>
            <w:tcW w:type="dxa" w:w="4703"/>
            <w:shd w:val="clear" w:color="auto" w:fill="FFFFFF"/>
          </w:tcPr>
          <w:p>
            <w:pPr>
              <w:jc w:val="left"/>
            </w:pPr>
            <w:r>
              <w:rPr>
                <w:rFonts w:ascii="Calibri" w:hAnsi="Calibri"/>
                <w:color w:val="4A5568"/>
                <w:sz w:val="19"/>
              </w:rPr>
              <w:t>Secure encrypted connection used to access the RaDaR database</w:t>
            </w:r>
          </w:p>
        </w:tc>
      </w:tr>
      <w:tr>
        <w:tc>
          <w:tcPr>
            <w:tcW w:type="dxa" w:w="4703"/>
            <w:shd w:val="clear" w:color="auto" w:fill="F4F6F9"/>
          </w:tcPr>
          <w:p>
            <w:pPr>
              <w:jc w:val="left"/>
            </w:pPr>
            <w:r>
              <w:rPr>
                <w:rFonts w:ascii="Calibri" w:hAnsi="Calibri"/>
                <w:color w:val="4A5568"/>
                <w:sz w:val="19"/>
              </w:rPr>
              <w:t>source_type RADAR</w:t>
            </w:r>
          </w:p>
        </w:tc>
        <w:tc>
          <w:tcPr>
            <w:tcW w:type="dxa" w:w="4703"/>
            <w:shd w:val="clear" w:color="auto" w:fill="F4F6F9"/>
          </w:tcPr>
          <w:p>
            <w:pPr>
              <w:jc w:val="left"/>
            </w:pPr>
            <w:r>
              <w:rPr>
                <w:rFonts w:ascii="Calibri" w:hAnsi="Calibri"/>
                <w:color w:val="4A5568"/>
                <w:sz w:val="19"/>
              </w:rPr>
              <w:t>Records entered directly into RaDaR (as opposed to imported from other systems)</w:t>
            </w:r>
          </w:p>
        </w:tc>
      </w:tr>
    </w:tbl>
    <w:p/>
    <w:p/>
    <w:p>
      <w:pPr>
        <w:jc w:val="center"/>
      </w:pPr>
      <w:r>
        <w:rPr>
          <w:color w:val="AAAAAA"/>
          <w:sz w:val="17"/>
        </w:rPr>
        <w:t>Report prepared by the UK Kidney Association data team  ·  Dashboard: renaldo.onrender.com  ·  Source: github.com/encrypted000/RENALDO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556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4A"/>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A6FA8"/>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0F2D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