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Patent Draft Supplement - Version 2</w:t>
      </w:r>
    </w:p>
    <w:p>
      <w:pPr>
        <w:spacing w:after="120"/>
        <w:jc w:val="center"/>
      </w:pPr>
      <w:r>
        <w:rPr>
          <w:i/>
          <w:iCs/>
        </w:rPr>
        <w:t xml:space="preserve">Additions and Clarifications for Attorney Review</w:t>
      </w:r>
    </w:p>
    <w:p>
      <w:pPr>
        <w:spacing w:after="480"/>
        <w:jc w:val="center"/>
      </w:pPr>
      <w:r>
        <w:t xml:space="preserve">December 30, 2025 - DRAFT v2.0</w:t>
      </w:r>
    </w:p>
    <w:p>
      <w:pPr>
        <w:pStyle w:val="Heading1"/>
        <w:spacing w:before="400" w:after="200"/>
      </w:pPr>
      <w:r>
        <w:rPr>
          <w:b/>
          <w:bCs/>
        </w:rPr>
        <w:t xml:space="preserve">HOW TO USE THIS SUPPLEMENT</w:t>
      </w:r>
    </w:p>
    <w:p>
      <w:pPr>
        <w:spacing w:after="200"/>
      </w:pPr>
      <w:r>
        <w:t xml:space="preserve">This document provides additions to Kassim's December 19, 2025 draft and the original December 30 supplement. Content is organized to integrate directly into the existing draft:</w:t>
      </w:r>
    </w:p>
    <w:p>
      <w:pPr>
        <w:shd w:fill="DBEAFE" w:val="clear"/>
        <w:spacing w:before="100" w:after="100"/>
        <w:ind w:left="360"/>
      </w:pPr>
      <w:r>
        <w:rPr>
          <w:b/>
          <w:bCs/>
        </w:rPr>
        <w:t xml:space="preserve">• Blue boxes indicate NEW CONTENT to be inserted at specified locations</w:t>
      </w:r>
    </w:p>
    <w:p>
      <w:pPr>
        <w:shd w:fill="FEF3C7" w:val="clear"/>
        <w:spacing w:before="100" w:after="100"/>
        <w:ind w:left="360"/>
      </w:pPr>
      <w:r>
        <w:rPr>
          <w:b/>
          <w:bCs/>
        </w:rPr>
        <w:t xml:space="preserve">• Yellow boxes provide RESPONSES to questions/comments</w:t>
      </w:r>
    </w:p>
    <w:p>
      <w:pPr>
        <w:spacing w:before="100" w:after="100"/>
        <w:ind w:left="360"/>
      </w:pPr>
      <w:r>
        <w:t xml:space="preserve">• Figures 12-15 are provided with reference numerals matching the specification</w:t>
      </w:r>
    </w:p>
    <w:p>
      <w:pPr>
        <w:spacing w:before="100" w:after="200"/>
        <w:ind w:left="360"/>
      </w:pPr>
      <w:r>
        <w:t xml:space="preserve">• Proposed Claims 47-75 extend the existing claim set (building on Claims 41-46 from v1)</w:t>
      </w:r>
    </w:p>
    <w:p>
      <w:r>
        <w:br w:type="page"/>
      </w:r>
    </w:p>
    <w:p>
      <w:pPr>
        <w:pStyle w:val="Heading1"/>
        <w:spacing w:before="400" w:after="200"/>
      </w:pPr>
      <w:r>
        <w:rPr>
          <w:b/>
          <w:bCs/>
        </w:rPr>
        <w:t xml:space="preserve">SECTION 7: ADDITIONAL CLAIMS FOR COMMERCIAL IMPLEMENTATION</w:t>
      </w:r>
    </w:p>
    <w:p>
      <w:pPr>
        <w:spacing w:after="200"/>
      </w:pPr>
      <w:r>
        <w:t xml:space="preserve">The following claims address patent gaps identified in the Enterprise API implementation. These claims protect commercially valuable features that competitors could otherwise copy or patent first.</w:t>
      </w:r>
    </w:p>
    <w:p>
      <w:pPr>
        <w:pStyle w:val="Heading2"/>
      </w:pPr>
      <w:r>
        <w:t xml:space="preserve">7.1 Claim Priority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rPr>
          <w:tblHeader/>
        </w:trPr>
        <w:tc>
          <w:tcPr>
            <w:tcW w:type="dxa" w:w="1500"/>
            <w:tcBorders>
              <w:top w:val="single" w:color="CCCCCC" w:sz="1"/>
              <w:left w:val="single" w:color="CCCCCC" w:sz="1"/>
              <w:bottom w:val="single" w:color="CCCCCC" w:sz="1"/>
              <w:right w:val="single" w:color="CCCCCC" w:sz="1"/>
            </w:tcBorders>
            <w:shd w:fill="E5E7EB" w:val="clear"/>
          </w:tcPr>
          <w:p>
            <w:r>
              <w:rPr>
                <w:b/>
                <w:bCs/>
              </w:rPr>
              <w:t xml:space="preserve">Priority</w:t>
            </w:r>
          </w:p>
        </w:tc>
        <w:tc>
          <w:tcPr>
            <w:tcW w:type="dxa" w:w="3500"/>
            <w:tcBorders>
              <w:top w:val="single" w:color="CCCCCC" w:sz="1"/>
              <w:left w:val="single" w:color="CCCCCC" w:sz="1"/>
              <w:bottom w:val="single" w:color="CCCCCC" w:sz="1"/>
              <w:right w:val="single" w:color="CCCCCC" w:sz="1"/>
            </w:tcBorders>
            <w:shd w:fill="E5E7EB" w:val="clear"/>
          </w:tcPr>
          <w:p>
            <w:r>
              <w:rPr>
                <w:b/>
                <w:bCs/>
              </w:rPr>
              <w:t xml:space="preserve">Feature</w:t>
            </w:r>
          </w:p>
        </w:tc>
        <w:tc>
          <w:tcPr>
            <w:tcW w:type="dxa" w:w="2000"/>
            <w:tcBorders>
              <w:top w:val="single" w:color="CCCCCC" w:sz="1"/>
              <w:left w:val="single" w:color="CCCCCC" w:sz="1"/>
              <w:bottom w:val="single" w:color="CCCCCC" w:sz="1"/>
              <w:right w:val="single" w:color="CCCCCC" w:sz="1"/>
            </w:tcBorders>
            <w:shd w:fill="E5E7EB" w:val="clear"/>
          </w:tcPr>
          <w:p>
            <w:r>
              <w:rPr>
                <w:b/>
                <w:bCs/>
              </w:rPr>
              <w:t xml:space="preserve">Claims</w:t>
            </w:r>
          </w:p>
        </w:tc>
        <w:tc>
          <w:tcPr>
            <w:tcW w:type="dxa" w:w="2360"/>
            <w:tcBorders>
              <w:top w:val="single" w:color="CCCCCC" w:sz="1"/>
              <w:left w:val="single" w:color="CCCCCC" w:sz="1"/>
              <w:bottom w:val="single" w:color="CCCCCC" w:sz="1"/>
              <w:right w:val="single" w:color="CCCCCC" w:sz="1"/>
            </w:tcBorders>
            <w:shd w:fill="E5E7EB" w:val="clear"/>
          </w:tcPr>
          <w:p>
            <w:r>
              <w:rPr>
                <w:b/>
                <w:bCs/>
              </w:rPr>
              <w:t xml:space="preserve">Business Value</w:t>
            </w:r>
          </w:p>
        </w:tc>
      </w:tr>
      <w:tr>
        <w:tc>
          <w:tcPr>
            <w:tcW w:type="dxa" w:w="1500"/>
            <w:tcBorders>
              <w:top w:val="single" w:color="CCCCCC" w:sz="1"/>
              <w:left w:val="single" w:color="CCCCCC" w:sz="1"/>
              <w:bottom w:val="single" w:color="CCCCCC" w:sz="1"/>
              <w:right w:val="single" w:color="CCCCCC" w:sz="1"/>
            </w:tcBorders>
            <w:shd w:fill="FEE2E2" w:val="clear"/>
          </w:tcPr>
          <w:p>
            <w:r>
              <w:rPr>
                <w:b/>
                <w:bCs/>
                <w:color w:val="DC2626"/>
              </w:rPr>
              <w:t xml:space="preserve">CRITICAL</w:t>
            </w:r>
          </w:p>
        </w:tc>
        <w:tc>
          <w:tcPr>
            <w:tcW w:type="dxa" w:w="3500"/>
            <w:tcBorders>
              <w:top w:val="single" w:color="CCCCCC" w:sz="1"/>
              <w:left w:val="single" w:color="CCCCCC" w:sz="1"/>
              <w:bottom w:val="single" w:color="CCCCCC" w:sz="1"/>
              <w:right w:val="single" w:color="CCCCCC" w:sz="1"/>
            </w:tcBorders>
          </w:tcPr>
          <w:p>
            <w:r>
              <w:t xml:space="preserve">Robust Fingerprinting</w:t>
            </w:r>
          </w:p>
        </w:tc>
        <w:tc>
          <w:tcPr>
            <w:tcW w:type="dxa" w:w="2000"/>
            <w:tcBorders>
              <w:top w:val="single" w:color="CCCCCC" w:sz="1"/>
              <w:left w:val="single" w:color="CCCCCC" w:sz="1"/>
              <w:bottom w:val="single" w:color="CCCCCC" w:sz="1"/>
              <w:right w:val="single" w:color="CCCCCC" w:sz="1"/>
            </w:tcBorders>
          </w:tcPr>
          <w:p>
            <w:r>
              <w:t xml:space="preserve">70-72</w:t>
            </w:r>
          </w:p>
        </w:tc>
        <w:tc>
          <w:tcPr>
            <w:tcW w:type="dxa" w:w="2360"/>
            <w:tcBorders>
              <w:top w:val="single" w:color="CCCCCC" w:sz="1"/>
              <w:left w:val="single" w:color="CCCCCC" w:sz="1"/>
              <w:bottom w:val="single" w:color="CCCCCC" w:sz="1"/>
              <w:right w:val="single" w:color="CCCCCC" w:sz="1"/>
            </w:tcBorders>
          </w:tcPr>
          <w:p>
            <w:r>
              <w:t xml:space="preserve">Survives paraphrasing</w:t>
            </w:r>
          </w:p>
        </w:tc>
      </w:tr>
      <w:tr>
        <w:tc>
          <w:tcPr>
            <w:tcW w:type="dxa" w:w="1500"/>
            <w:tcBorders>
              <w:top w:val="single" w:color="CCCCCC" w:sz="1"/>
              <w:left w:val="single" w:color="CCCCCC" w:sz="1"/>
              <w:bottom w:val="single" w:color="CCCCCC" w:sz="1"/>
              <w:right w:val="single" w:color="CCCCCC" w:sz="1"/>
            </w:tcBorders>
            <w:shd w:fill="FEE2E2" w:val="clear"/>
          </w:tcPr>
          <w:p>
            <w:r>
              <w:rPr>
                <w:b/>
                <w:bCs/>
                <w:color w:val="DC2626"/>
              </w:rPr>
              <w:t xml:space="preserve">CRITICAL</w:t>
            </w:r>
          </w:p>
        </w:tc>
        <w:tc>
          <w:tcPr>
            <w:tcW w:type="dxa" w:w="3500"/>
            <w:tcBorders>
              <w:top w:val="single" w:color="CCCCCC" w:sz="1"/>
              <w:left w:val="single" w:color="CCCCCC" w:sz="1"/>
              <w:bottom w:val="single" w:color="CCCCCC" w:sz="1"/>
              <w:right w:val="single" w:color="CCCCCC" w:sz="1"/>
            </w:tcBorders>
          </w:tcPr>
          <w:p>
            <w:r>
              <w:t xml:space="preserve">Two-Layer Architecture</w:t>
            </w:r>
          </w:p>
        </w:tc>
        <w:tc>
          <w:tcPr>
            <w:tcW w:type="dxa" w:w="2000"/>
            <w:tcBorders>
              <w:top w:val="single" w:color="CCCCCC" w:sz="1"/>
              <w:left w:val="single" w:color="CCCCCC" w:sz="1"/>
              <w:bottom w:val="single" w:color="CCCCCC" w:sz="1"/>
              <w:right w:val="single" w:color="CCCCCC" w:sz="1"/>
            </w:tcBorders>
          </w:tcPr>
          <w:p>
            <w:r>
              <w:t xml:space="preserve">61-63</w:t>
            </w:r>
          </w:p>
        </w:tc>
        <w:tc>
          <w:tcPr>
            <w:tcW w:type="dxa" w:w="2360"/>
            <w:tcBorders>
              <w:top w:val="single" w:color="CCCCCC" w:sz="1"/>
              <w:left w:val="single" w:color="CCCCCC" w:sz="1"/>
              <w:bottom w:val="single" w:color="CCCCCC" w:sz="1"/>
              <w:right w:val="single" w:color="CCCCCC" w:sz="1"/>
            </w:tcBorders>
          </w:tcPr>
          <w:p>
            <w:r>
              <w:t xml:space="preserve">Core differentiation</w:t>
            </w:r>
          </w:p>
        </w:tc>
      </w:tr>
      <w:tr>
        <w:tc>
          <w:tcPr>
            <w:tcW w:type="dxa" w:w="1500"/>
            <w:tcBorders>
              <w:top w:val="single" w:color="CCCCCC" w:sz="1"/>
              <w:left w:val="single" w:color="CCCCCC" w:sz="1"/>
              <w:bottom w:val="single" w:color="CCCCCC" w:sz="1"/>
              <w:right w:val="single" w:color="CCCCCC" w:sz="1"/>
            </w:tcBorders>
            <w:shd w:fill="FEE2E2" w:val="clear"/>
          </w:tcPr>
          <w:p>
            <w:r>
              <w:rPr>
                <w:b/>
                <w:bCs/>
                <w:color w:val="DC2626"/>
              </w:rPr>
              <w:t xml:space="preserve">CRITICAL</w:t>
            </w:r>
          </w:p>
        </w:tc>
        <w:tc>
          <w:tcPr>
            <w:tcW w:type="dxa" w:w="3500"/>
            <w:tcBorders>
              <w:top w:val="single" w:color="CCCCCC" w:sz="1"/>
              <w:left w:val="single" w:color="CCCCCC" w:sz="1"/>
              <w:bottom w:val="single" w:color="CCCCCC" w:sz="1"/>
              <w:right w:val="single" w:color="CCCCCC" w:sz="1"/>
            </w:tcBorders>
          </w:tcPr>
          <w:p>
            <w:r>
              <w:t xml:space="preserve">ECC Distributed Embedding</w:t>
            </w:r>
          </w:p>
        </w:tc>
        <w:tc>
          <w:tcPr>
            <w:tcW w:type="dxa" w:w="2000"/>
            <w:tcBorders>
              <w:top w:val="single" w:color="CCCCCC" w:sz="1"/>
              <w:left w:val="single" w:color="CCCCCC" w:sz="1"/>
              <w:bottom w:val="single" w:color="CCCCCC" w:sz="1"/>
              <w:right w:val="single" w:color="CCCCCC" w:sz="1"/>
            </w:tcBorders>
          </w:tcPr>
          <w:p>
            <w:r>
              <w:t xml:space="preserve">64-66</w:t>
            </w:r>
          </w:p>
        </w:tc>
        <w:tc>
          <w:tcPr>
            <w:tcW w:type="dxa" w:w="2360"/>
            <w:tcBorders>
              <w:top w:val="single" w:color="CCCCCC" w:sz="1"/>
              <w:left w:val="single" w:color="CCCCCC" w:sz="1"/>
              <w:bottom w:val="single" w:color="CCCCCC" w:sz="1"/>
              <w:right w:val="single" w:color="CCCCCC" w:sz="1"/>
            </w:tcBorders>
          </w:tcPr>
          <w:p>
            <w:r>
              <w:t xml:space="preserve">Truncation resilience</w:t>
            </w:r>
          </w:p>
        </w:tc>
      </w:tr>
      <w:tr>
        <w:tc>
          <w:tcPr>
            <w:tcW w:type="dxa" w:w="1500"/>
            <w:tcBorders>
              <w:top w:val="single" w:color="CCCCCC" w:sz="1"/>
              <w:left w:val="single" w:color="CCCCCC" w:sz="1"/>
              <w:bottom w:val="single" w:color="CCCCCC" w:sz="1"/>
              <w:right w:val="single" w:color="CCCCCC" w:sz="1"/>
            </w:tcBorders>
            <w:shd w:fill="FEF3C7" w:val="clear"/>
          </w:tcPr>
          <w:p>
            <w:r>
              <w:rPr>
                <w:b/>
                <w:bCs/>
                <w:color w:val="D97706"/>
              </w:rPr>
              <w:t xml:space="preserve">HIGH</w:t>
            </w:r>
          </w:p>
        </w:tc>
        <w:tc>
          <w:tcPr>
            <w:tcW w:type="dxa" w:w="3500"/>
            <w:tcBorders>
              <w:top w:val="single" w:color="CCCCCC" w:sz="1"/>
              <w:left w:val="single" w:color="CCCCCC" w:sz="1"/>
              <w:bottom w:val="single" w:color="CCCCCC" w:sz="1"/>
              <w:right w:val="single" w:color="CCCCCC" w:sz="1"/>
            </w:tcBorders>
          </w:tcPr>
          <w:p>
            <w:r>
              <w:t xml:space="preserve">Keyed Pseudorandom Placement</w:t>
            </w:r>
          </w:p>
        </w:tc>
        <w:tc>
          <w:tcPr>
            <w:tcW w:type="dxa" w:w="2000"/>
            <w:tcBorders>
              <w:top w:val="single" w:color="CCCCCC" w:sz="1"/>
              <w:left w:val="single" w:color="CCCCCC" w:sz="1"/>
              <w:bottom w:val="single" w:color="CCCCCC" w:sz="1"/>
              <w:right w:val="single" w:color="CCCCCC" w:sz="1"/>
            </w:tcBorders>
          </w:tcPr>
          <w:p>
            <w:r>
              <w:t xml:space="preserve">67-69</w:t>
            </w:r>
          </w:p>
        </w:tc>
        <w:tc>
          <w:tcPr>
            <w:tcW w:type="dxa" w:w="2360"/>
            <w:tcBorders>
              <w:top w:val="single" w:color="CCCCCC" w:sz="1"/>
              <w:left w:val="single" w:color="CCCCCC" w:sz="1"/>
              <w:bottom w:val="single" w:color="CCCCCC" w:sz="1"/>
              <w:right w:val="single" w:color="CCCCCC" w:sz="1"/>
            </w:tcBorders>
          </w:tcPr>
          <w:p>
            <w:r>
              <w:t xml:space="preserve">Anti-stripping defense</w:t>
            </w:r>
          </w:p>
        </w:tc>
      </w:tr>
      <w:tr>
        <w:tc>
          <w:tcPr>
            <w:tcW w:type="dxa" w:w="1500"/>
            <w:tcBorders>
              <w:top w:val="single" w:color="CCCCCC" w:sz="1"/>
              <w:left w:val="single" w:color="CCCCCC" w:sz="1"/>
              <w:bottom w:val="single" w:color="CCCCCC" w:sz="1"/>
              <w:right w:val="single" w:color="CCCCCC" w:sz="1"/>
            </w:tcBorders>
            <w:shd w:fill="FEF3C7" w:val="clear"/>
          </w:tcPr>
          <w:p>
            <w:r>
              <w:rPr>
                <w:b/>
                <w:bCs/>
                <w:color w:val="D97706"/>
              </w:rPr>
              <w:t xml:space="preserve">HIGH</w:t>
            </w:r>
          </w:p>
        </w:tc>
        <w:tc>
          <w:tcPr>
            <w:tcW w:type="dxa" w:w="3500"/>
            <w:tcBorders>
              <w:top w:val="single" w:color="CCCCCC" w:sz="1"/>
              <w:left w:val="single" w:color="CCCCCC" w:sz="1"/>
              <w:bottom w:val="single" w:color="CCCCCC" w:sz="1"/>
              <w:right w:val="single" w:color="CCCCCC" w:sz="1"/>
            </w:tcBorders>
          </w:tcPr>
          <w:p>
            <w:r>
              <w:t xml:space="preserve">Per-Document Revocation</w:t>
            </w:r>
          </w:p>
        </w:tc>
        <w:tc>
          <w:tcPr>
            <w:tcW w:type="dxa" w:w="2000"/>
            <w:tcBorders>
              <w:top w:val="single" w:color="CCCCCC" w:sz="1"/>
              <w:left w:val="single" w:color="CCCCCC" w:sz="1"/>
              <w:bottom w:val="single" w:color="CCCCCC" w:sz="1"/>
              <w:right w:val="single" w:color="CCCCCC" w:sz="1"/>
            </w:tcBorders>
          </w:tcPr>
          <w:p>
            <w:r>
              <w:t xml:space="preserve">47-49</w:t>
            </w:r>
          </w:p>
        </w:tc>
        <w:tc>
          <w:tcPr>
            <w:tcW w:type="dxa" w:w="2360"/>
            <w:tcBorders>
              <w:top w:val="single" w:color="CCCCCC" w:sz="1"/>
              <w:left w:val="single" w:color="CCCCCC" w:sz="1"/>
              <w:bottom w:val="single" w:color="CCCCCC" w:sz="1"/>
              <w:right w:val="single" w:color="CCCCCC" w:sz="1"/>
            </w:tcBorders>
          </w:tcPr>
          <w:p>
            <w:r>
              <w:t xml:space="preserve">Granular control</w:t>
            </w:r>
          </w:p>
        </w:tc>
      </w:tr>
      <w:tr>
        <w:tc>
          <w:tcPr>
            <w:tcW w:type="dxa" w:w="1500"/>
            <w:tcBorders>
              <w:top w:val="single" w:color="CCCCCC" w:sz="1"/>
              <w:left w:val="single" w:color="CCCCCC" w:sz="1"/>
              <w:bottom w:val="single" w:color="CCCCCC" w:sz="1"/>
              <w:right w:val="single" w:color="CCCCCC" w:sz="1"/>
            </w:tcBorders>
            <w:shd w:fill="FEF3C7" w:val="clear"/>
          </w:tcPr>
          <w:p>
            <w:r>
              <w:rPr>
                <w:b/>
                <w:bCs/>
                <w:color w:val="D97706"/>
              </w:rPr>
              <w:t xml:space="preserve">HIGH</w:t>
            </w:r>
          </w:p>
        </w:tc>
        <w:tc>
          <w:tcPr>
            <w:tcW w:type="dxa" w:w="3500"/>
            <w:tcBorders>
              <w:top w:val="single" w:color="CCCCCC" w:sz="1"/>
              <w:left w:val="single" w:color="CCCCCC" w:sz="1"/>
              <w:bottom w:val="single" w:color="CCCCCC" w:sz="1"/>
              <w:right w:val="single" w:color="CCCCCC" w:sz="1"/>
            </w:tcBorders>
          </w:tcPr>
          <w:p>
            <w:r>
              <w:t xml:space="preserve">Distributed Carrier Selection</w:t>
            </w:r>
          </w:p>
        </w:tc>
        <w:tc>
          <w:tcPr>
            <w:tcW w:type="dxa" w:w="2000"/>
            <w:tcBorders>
              <w:top w:val="single" w:color="CCCCCC" w:sz="1"/>
              <w:left w:val="single" w:color="CCCCCC" w:sz="1"/>
              <w:bottom w:val="single" w:color="CCCCCC" w:sz="1"/>
              <w:right w:val="single" w:color="CCCCCC" w:sz="1"/>
            </w:tcBorders>
          </w:tcPr>
          <w:p>
            <w:r>
              <w:t xml:space="preserve">58-60</w:t>
            </w:r>
          </w:p>
        </w:tc>
        <w:tc>
          <w:tcPr>
            <w:tcW w:type="dxa" w:w="2360"/>
            <w:tcBorders>
              <w:top w:val="single" w:color="CCCCCC" w:sz="1"/>
              <w:left w:val="single" w:color="CCCCCC" w:sz="1"/>
              <w:bottom w:val="single" w:color="CCCCCC" w:sz="1"/>
              <w:right w:val="single" w:color="CCCCCC" w:sz="1"/>
            </w:tcBorders>
          </w:tcPr>
          <w:p>
            <w:r>
              <w:t xml:space="preserve">Already implemented</w:t>
            </w:r>
          </w:p>
        </w:tc>
      </w:tr>
      <w:tr>
        <w:tc>
          <w:tcPr>
            <w:tcW w:type="dxa" w:w="1500"/>
            <w:tcBorders>
              <w:top w:val="single" w:color="CCCCCC" w:sz="1"/>
              <w:left w:val="single" w:color="CCCCCC" w:sz="1"/>
              <w:bottom w:val="single" w:color="CCCCCC" w:sz="1"/>
              <w:right w:val="single" w:color="CCCCCC" w:sz="1"/>
            </w:tcBorders>
            <w:shd w:fill="DCFCE7" w:val="clear"/>
          </w:tcPr>
          <w:p>
            <w:r>
              <w:rPr>
                <w:b/>
                <w:bCs/>
                <w:color w:val="16A34A"/>
              </w:rPr>
              <w:t xml:space="preserve">MEDIUM</w:t>
            </w:r>
          </w:p>
        </w:tc>
        <w:tc>
          <w:tcPr>
            <w:tcW w:type="dxa" w:w="3500"/>
            <w:tcBorders>
              <w:top w:val="single" w:color="CCCCCC" w:sz="1"/>
              <w:left w:val="single" w:color="CCCCCC" w:sz="1"/>
              <w:bottom w:val="single" w:color="CCCCCC" w:sz="1"/>
              <w:right w:val="single" w:color="CCCCCC" w:sz="1"/>
            </w:tcBorders>
          </w:tcPr>
          <w:p>
            <w:r>
              <w:t xml:space="preserve">Minimal Payload Reference</w:t>
            </w:r>
          </w:p>
        </w:tc>
        <w:tc>
          <w:tcPr>
            <w:tcW w:type="dxa" w:w="2000"/>
            <w:tcBorders>
              <w:top w:val="single" w:color="CCCCCC" w:sz="1"/>
              <w:left w:val="single" w:color="CCCCCC" w:sz="1"/>
              <w:bottom w:val="single" w:color="CCCCCC" w:sz="1"/>
              <w:right w:val="single" w:color="CCCCCC" w:sz="1"/>
            </w:tcBorders>
          </w:tcPr>
          <w:p>
            <w:r>
              <w:t xml:space="preserve">73-75</w:t>
            </w:r>
          </w:p>
        </w:tc>
        <w:tc>
          <w:tcPr>
            <w:tcW w:type="dxa" w:w="2360"/>
            <w:tcBorders>
              <w:top w:val="single" w:color="CCCCCC" w:sz="1"/>
              <w:left w:val="single" w:color="CCCCCC" w:sz="1"/>
              <w:bottom w:val="single" w:color="CCCCCC" w:sz="1"/>
              <w:right w:val="single" w:color="CCCCCC" w:sz="1"/>
            </w:tcBorders>
          </w:tcPr>
          <w:p>
            <w:r>
              <w:t xml:space="preserve">Space efficiency</w:t>
            </w:r>
          </w:p>
        </w:tc>
      </w:tr>
    </w:tbl>
    <w:p>
      <w:r>
        <w:br w:type="page"/>
      </w:r>
    </w:p>
    <w:p>
      <w:pPr>
        <w:pStyle w:val="Heading2"/>
      </w:pPr>
      <w:r>
        <w:t xml:space="preserve">7.2 Per-Document Revocation Claims (47-49)</w:t>
      </w:r>
    </w:p>
    <w:p>
      <w:pPr>
        <w:shd w:fill="DBEAFE" w:val="clear"/>
        <w:spacing w:before="200" w:after="200"/>
        <w:ind w:left="360" w:right="360"/>
      </w:pPr>
      <w:r>
        <w:rPr>
          <w:b/>
          <w:bCs/>
          <w:color w:val="1E40AF"/>
        </w:rPr>
        <w:t xml:space="preserve">[NEW CONTENT: Add as Claims 47-49 after existing Claim 46]</w:t>
      </w:r>
    </w:p>
    <w:p>
      <w:pPr>
        <w:spacing w:before="200" w:after="100"/>
      </w:pPr>
      <w:r>
        <w:rPr>
          <w:b/>
          <w:bCs/>
        </w:rPr>
        <w:t xml:space="preserve">47. A computer-implemented method for granular content revocation comprising:</w:t>
      </w:r>
    </w:p>
    <w:p>
      <w:pPr>
        <w:spacing w:before="120" w:after="120"/>
        <w:ind w:left="720"/>
      </w:pPr>
      <w:r>
        <w:t xml:space="preserve">maintaining a status registry comprising a bitstring wherein each bit position corresponds to a uniquely identified signed document;</w:t>
      </w:r>
    </w:p>
    <w:p>
      <w:pPr>
        <w:spacing w:before="120" w:after="120"/>
        <w:ind w:left="720"/>
      </w:pPr>
      <w:r>
        <w:t xml:space="preserve">receiving a revocation request identifying a target document by a document identifier;</w:t>
      </w:r>
    </w:p>
    <w:p>
      <w:pPr>
        <w:spacing w:before="120" w:after="120"/>
        <w:ind w:left="720"/>
      </w:pPr>
      <w:r>
        <w:t xml:space="preserve">setting a bit in the bitstring corresponding to the target document to indicate revocation, without invalidating other documents signed by a same signing certificate;</w:t>
      </w:r>
    </w:p>
    <w:p>
      <w:pPr>
        <w:spacing w:before="120" w:after="120"/>
        <w:ind w:left="720"/>
      </w:pPr>
      <w:r>
        <w:t xml:space="preserve">publishing the updated bitstring to a content distribution network; and</w:t>
      </w:r>
    </w:p>
    <w:p>
      <w:pPr>
        <w:spacing w:before="120" w:after="120"/>
        <w:ind w:left="720"/>
      </w:pPr>
      <w:r>
        <w:t xml:space="preserve">during verification of any signed document, retrieving the status bitstring and checking the bit corresponding to the document being verified to determine revocation status.</w:t>
      </w:r>
    </w:p>
    <w:p>
      <w:pPr>
        <w:spacing w:before="300" w:after="100"/>
      </w:pPr>
      <w:r>
        <w:rPr>
          <w:b/>
          <w:bCs/>
        </w:rPr>
        <w:t xml:space="preserve">48. The method of claim 47, further comprising:</w:t>
      </w:r>
    </w:p>
    <w:p>
      <w:pPr>
        <w:spacing w:before="120" w:after="120"/>
        <w:ind w:left="720"/>
      </w:pPr>
      <w:r>
        <w:t xml:space="preserve">receiving a reinstatement request identifying a previously revoked document; and</w:t>
      </w:r>
    </w:p>
    <w:p>
      <w:pPr>
        <w:spacing w:before="120" w:after="120"/>
        <w:ind w:left="720"/>
      </w:pPr>
      <w:r>
        <w:t xml:space="preserve">clearing the bit corresponding to the previously revoked document to restore validity.</w:t>
      </w:r>
    </w:p>
    <w:p>
      <w:pPr>
        <w:spacing w:before="300" w:after="100"/>
      </w:pPr>
      <w:r>
        <w:rPr>
          <w:b/>
          <w:bCs/>
        </w:rPr>
        <w:t xml:space="preserve">49. The method of claim 47, wherein the revocation request includes a reason code selected from a predefined taxonomy of revocation reasons, and the method further comprises storing the reason code in association with the document identifier.</w:t>
      </w:r>
    </w:p>
    <w:p>
      <w:r>
        <w:br w:type="page"/>
      </w:r>
    </w:p>
    <w:p>
      <w:pPr>
        <w:pStyle w:val="Heading2"/>
      </w:pPr>
      <w:r>
        <w:t xml:space="preserve">7.3 Distributed Embedding with Carrier Selection Claims (58-60)</w:t>
      </w:r>
    </w:p>
    <w:p>
      <w:pPr>
        <w:shd w:fill="DBEAFE" w:val="clear"/>
        <w:spacing w:before="200" w:after="200"/>
        <w:ind w:left="360" w:right="360"/>
      </w:pPr>
      <w:r>
        <w:rPr>
          <w:b/>
          <w:bCs/>
          <w:color w:val="1E40AF"/>
        </w:rPr>
        <w:t xml:space="preserve">[NEW CONTENT: Add as Claims 58-60]</w:t>
      </w:r>
    </w:p>
    <w:p>
      <w:pPr>
        <w:spacing w:before="200" w:after="100"/>
      </w:pPr>
      <w:r>
        <w:rPr>
          <w:b/>
          <w:bCs/>
        </w:rPr>
        <w:t xml:space="preserve">58. A method for resilient content authentication comprising:</w:t>
      </w:r>
    </w:p>
    <w:p>
      <w:pPr>
        <w:spacing w:before="120" w:after="120"/>
        <w:ind w:left="720"/>
      </w:pPr>
      <w:r>
        <w:t xml:space="preserve">identifying a plurality of carrier positions within text content according to a carrier selection criterion, wherein each carrier position corresponds to a character in the text;</w:t>
      </w:r>
    </w:p>
    <w:p>
      <w:pPr>
        <w:spacing w:before="120" w:after="120"/>
        <w:ind w:left="720"/>
      </w:pPr>
      <w:r>
        <w:t xml:space="preserve">encoding authentication data as a sequence of non-rendering Unicode code points, wherein each code point encodes a portion of the authentication data;</w:t>
      </w:r>
    </w:p>
    <w:p>
      <w:pPr>
        <w:spacing w:before="120" w:after="120"/>
        <w:ind w:left="720"/>
      </w:pPr>
      <w:r>
        <w:t xml:space="preserve">distributing the sequence of code points across the plurality of carrier positions by inserting one code point after each respective carrier position; and</w:t>
      </w:r>
    </w:p>
    <w:p>
      <w:pPr>
        <w:spacing w:before="120" w:after="120"/>
        <w:ind w:left="720"/>
      </w:pPr>
      <w:r>
        <w:t xml:space="preserve">wherein partial deletion of the text preserves a subset of the distributed code points corresponding to carrier positions not affected by the deletion.</w:t>
      </w:r>
    </w:p>
    <w:p>
      <w:pPr>
        <w:spacing w:before="300" w:after="100"/>
      </w:pPr>
      <w:r>
        <w:rPr>
          <w:b/>
          <w:bCs/>
        </w:rPr>
        <w:t xml:space="preserve">59. The method of claim 58, wherein the carrier selection criterion is selected from the group consisting of: whitespace characters, punctuation characters, sentence boundary characters, word boundary positions, and all characters.</w:t>
      </w:r>
    </w:p>
    <w:p>
      <w:pPr>
        <w:spacing w:before="300" w:after="100"/>
      </w:pPr>
      <w:r>
        <w:rPr>
          <w:b/>
          <w:bCs/>
        </w:rPr>
        <w:t xml:space="preserve">60. The method of claim 58, further comprising:</w:t>
      </w:r>
    </w:p>
    <w:p>
      <w:pPr>
        <w:spacing w:before="120" w:after="120"/>
        <w:ind w:left="720"/>
      </w:pPr>
      <w:r>
        <w:t xml:space="preserve">determining whether a number of available carrier positions meets a minimum threshold based on a size of the authentication data; and</w:t>
      </w:r>
    </w:p>
    <w:p>
      <w:pPr>
        <w:spacing w:before="120" w:after="120"/>
        <w:ind w:left="720"/>
      </w:pPr>
      <w:r>
        <w:t xml:space="preserve">if the threshold is not met, embedding the authentication data at a single carrier position as a contiguous block of code points.</w:t>
      </w:r>
    </w:p>
    <w:p>
      <w:r>
        <w:br w:type="page"/>
      </w:r>
    </w:p>
    <w:p>
      <w:pPr>
        <w:pStyle w:val="Heading2"/>
      </w:pPr>
      <w:r>
        <w:t xml:space="preserve">7.4 Two-Layer Embedding Architecture Claims (61-63)</w:t>
      </w:r>
    </w:p>
    <w:p>
      <w:pPr>
        <w:shd w:fill="DBEAFE" w:val="clear"/>
        <w:spacing w:before="200" w:after="200"/>
        <w:ind w:left="360" w:right="360"/>
      </w:pPr>
      <w:r>
        <w:rPr>
          <w:b/>
          <w:bCs/>
          <w:color w:val="1E40AF"/>
        </w:rPr>
        <w:t xml:space="preserve">[NEW CONTENT: Add as Claims 61-63]</w:t>
      </w:r>
    </w:p>
    <w:p>
      <w:pPr>
        <w:spacing w:before="200" w:after="100"/>
      </w:pPr>
      <w:r>
        <w:rPr>
          <w:b/>
          <w:bCs/>
        </w:rPr>
        <w:t xml:space="preserve">61. A system for multi-layer content authentication comprising:</w:t>
      </w:r>
    </w:p>
    <w:p>
      <w:pPr>
        <w:spacing w:before="120" w:after="120"/>
        <w:ind w:left="720"/>
      </w:pPr>
      <w:r>
        <w:t xml:space="preserve">a processor; and</w:t>
      </w:r>
    </w:p>
    <w:p>
      <w:pPr>
        <w:spacing w:before="120" w:after="120"/>
        <w:ind w:left="720"/>
      </w:pPr>
      <w:r>
        <w:t xml:space="preserve">a memory storing instructions that, when executed by the processor, cause the system to:</w:t>
      </w:r>
    </w:p>
    <w:p>
      <w:pPr>
        <w:spacing w:before="120" w:after="120"/>
        <w:ind w:left="1080"/>
      </w:pPr>
      <w:r>
        <w:t xml:space="preserve">segment text content into a plurality of text segments;</w:t>
      </w:r>
    </w:p>
    <w:p>
      <w:pPr>
        <w:spacing w:before="120" w:after="120"/>
        <w:ind w:left="1080"/>
      </w:pPr>
      <w:r>
        <w:t xml:space="preserve">for each text segment, embed a segment-level authentication marker including at least a segment identifier using non-rendering Unicode code points;</w:t>
      </w:r>
    </w:p>
    <w:p>
      <w:pPr>
        <w:spacing w:before="120" w:after="120"/>
        <w:ind w:left="1080"/>
      </w:pPr>
      <w:r>
        <w:t xml:space="preserve">after embedding segment-level markers in all segments, embed a document-level manifest for the complete text, wherein the document-level manifest conforms to a content authenticity standard and includes a cryptographic signature; and</w:t>
      </w:r>
    </w:p>
    <w:p>
      <w:pPr>
        <w:spacing w:before="120" w:after="120"/>
        <w:ind w:left="1080"/>
      </w:pPr>
      <w:r>
        <w:t xml:space="preserve">wherein verification of the text can proceed using either the segment-level markers alone or the document-level manifest alone.</w:t>
      </w:r>
    </w:p>
    <w:p>
      <w:pPr>
        <w:spacing w:before="300" w:after="100"/>
      </w:pPr>
      <w:r>
        <w:rPr>
          <w:b/>
          <w:bCs/>
        </w:rPr>
        <w:t xml:space="preserve">62. The system of claim 61, wherein:</w:t>
      </w:r>
    </w:p>
    <w:p>
      <w:pPr>
        <w:spacing w:before="120" w:after="120"/>
        <w:ind w:left="720"/>
      </w:pPr>
      <w:r>
        <w:t xml:space="preserve">the segment-level authentication markers are embedded using distributed non-rendering Unicode code points within each segment; and</w:t>
      </w:r>
    </w:p>
    <w:p>
      <w:pPr>
        <w:spacing w:before="120" w:after="120"/>
        <w:ind w:left="720"/>
      </w:pPr>
      <w:r>
        <w:t xml:space="preserve">the document-level manifest is embedded as a contiguous block appended to an end of the text.</w:t>
      </w:r>
    </w:p>
    <w:p>
      <w:pPr>
        <w:spacing w:before="300" w:after="100"/>
      </w:pPr>
      <w:r>
        <w:rPr>
          <w:b/>
          <w:bCs/>
        </w:rPr>
        <w:t xml:space="preserve">63. The system of claim 61, wherein the segment-level markers enable verification of excerpted content when the document-level manifest is unavailable due to truncation of the text.</w:t>
      </w:r>
    </w:p>
    <w:p>
      <w:r>
        <w:br w:type="page"/>
      </w:r>
    </w:p>
    <w:p>
      <w:pPr>
        <w:pStyle w:val="Heading2"/>
      </w:pPr>
      <w:r>
        <w:t xml:space="preserve">7.5 Error-Correcting Distributed Embedding Claims (64-66)</w:t>
      </w:r>
    </w:p>
    <w:p>
      <w:pPr>
        <w:shd w:fill="DBEAFE" w:val="clear"/>
        <w:spacing w:before="200" w:after="200"/>
        <w:ind w:left="360" w:right="360"/>
      </w:pPr>
      <w:r>
        <w:rPr>
          <w:b/>
          <w:bCs/>
          <w:color w:val="1E40AF"/>
        </w:rPr>
        <w:t xml:space="preserve">[NEW CONTENT: Add as Claims 64-66]</w:t>
      </w:r>
    </w:p>
    <w:p>
      <w:pPr>
        <w:spacing w:before="200" w:after="100"/>
      </w:pPr>
      <w:r>
        <w:rPr>
          <w:b/>
          <w:bCs/>
        </w:rPr>
        <w:t xml:space="preserve">64. A method for robust content authentication comprising:</w:t>
      </w:r>
    </w:p>
    <w:p>
      <w:pPr>
        <w:spacing w:before="120" w:after="120"/>
        <w:ind w:left="720"/>
      </w:pPr>
      <w:r>
        <w:t xml:space="preserve">encoding authentication data using an error-correcting code to produce encoded data with redundancy, wherein the error-correcting code enables recovery of the authentication data from a subset of the encoded data;</w:t>
      </w:r>
    </w:p>
    <w:p>
      <w:pPr>
        <w:spacing w:before="120" w:after="120"/>
        <w:ind w:left="720"/>
      </w:pPr>
      <w:r>
        <w:t xml:space="preserve">identifying a plurality of carrier positions within text content;</w:t>
      </w:r>
    </w:p>
    <w:p>
      <w:pPr>
        <w:spacing w:before="120" w:after="120"/>
        <w:ind w:left="720"/>
      </w:pPr>
      <w:r>
        <w:t xml:space="preserve">distributing the encoded data across the plurality of carrier positions using non-rendering Unicode code points; and</w:t>
      </w:r>
    </w:p>
    <w:p>
      <w:pPr>
        <w:spacing w:before="120" w:after="120"/>
        <w:ind w:left="720"/>
      </w:pPr>
      <w:r>
        <w:t xml:space="preserve">upon extraction, applying error-correction decoding to recover the authentication data even when a portion of the distributed encoded data is missing or corrupted.</w:t>
      </w:r>
    </w:p>
    <w:p>
      <w:pPr>
        <w:spacing w:before="300" w:after="100"/>
      </w:pPr>
      <w:r>
        <w:rPr>
          <w:b/>
          <w:bCs/>
        </w:rPr>
        <w:t xml:space="preserve">65. The method of claim 64, wherein the error-correcting code is selected from the group consisting of: Reed-Solomon codes, BCH codes, convolutional codes, and LDPC codes.</w:t>
      </w:r>
    </w:p>
    <w:p>
      <w:pPr>
        <w:spacing w:before="300" w:after="100"/>
      </w:pPr>
      <w:r>
        <w:rPr>
          <w:b/>
          <w:bCs/>
        </w:rPr>
        <w:t xml:space="preserve">66. The method of claim 64, wherein:</w:t>
      </w:r>
    </w:p>
    <w:p>
      <w:pPr>
        <w:spacing w:before="120" w:after="120"/>
        <w:ind w:left="720"/>
      </w:pPr>
      <w:r>
        <w:t xml:space="preserve">the encoded data includes a plurality of repeated instances of an identifier; and</w:t>
      </w:r>
    </w:p>
    <w:p>
      <w:pPr>
        <w:spacing w:before="120" w:after="120"/>
        <w:ind w:left="720"/>
      </w:pPr>
      <w:r>
        <w:t xml:space="preserve">recovery comprises majority voting across the repeated instances to determine the identifier.</w:t>
      </w:r>
    </w:p>
    <w:p>
      <w:r>
        <w:br w:type="page"/>
      </w:r>
    </w:p>
    <w:p>
      <w:pPr>
        <w:pStyle w:val="Heading2"/>
      </w:pPr>
      <w:r>
        <w:t xml:space="preserve">7.6 Keyed Pseudorandom Carrier Placement Claims (67-69)</w:t>
      </w:r>
    </w:p>
    <w:p>
      <w:pPr>
        <w:shd w:fill="DBEAFE" w:val="clear"/>
        <w:spacing w:before="200" w:after="200"/>
        <w:ind w:left="360" w:right="360"/>
      </w:pPr>
      <w:r>
        <w:rPr>
          <w:b/>
          <w:bCs/>
          <w:color w:val="1E40AF"/>
        </w:rPr>
        <w:t xml:space="preserve">[NEW CONTENT: Add as Claims 67-69]</w:t>
      </w:r>
    </w:p>
    <w:p>
      <w:pPr>
        <w:spacing w:before="200" w:after="100"/>
      </w:pPr>
      <w:r>
        <w:rPr>
          <w:b/>
          <w:bCs/>
        </w:rPr>
        <w:t xml:space="preserve">67. A method for tamper-resistant content authentication comprising:</w:t>
      </w:r>
    </w:p>
    <w:p>
      <w:pPr>
        <w:spacing w:before="120" w:after="120"/>
        <w:ind w:left="720"/>
      </w:pPr>
      <w:r>
        <w:t xml:space="preserve">generating a pseudorandom sequence of carrier positions within text content using a cryptographic key as a seed for a pseudorandom number generator;</w:t>
      </w:r>
    </w:p>
    <w:p>
      <w:pPr>
        <w:spacing w:before="120" w:after="120"/>
        <w:ind w:left="720"/>
      </w:pPr>
      <w:r>
        <w:t xml:space="preserve">embedding authentication data at the pseudorandom carrier positions using non-rendering Unicode code points; and</w:t>
      </w:r>
    </w:p>
    <w:p>
      <w:pPr>
        <w:spacing w:before="120" w:after="120"/>
        <w:ind w:left="720"/>
      </w:pPr>
      <w:r>
        <w:t xml:space="preserve">wherein extraction of the authentication data requires knowledge of the cryptographic key to regenerate the pseudorandom sequence of carrier positions.</w:t>
      </w:r>
    </w:p>
    <w:p>
      <w:pPr>
        <w:spacing w:before="300" w:after="100"/>
      </w:pPr>
      <w:r>
        <w:rPr>
          <w:b/>
          <w:bCs/>
        </w:rPr>
        <w:t xml:space="preserve">68. The method of claim 67, wherein the cryptographic key is derived from a combination of a signer identity and a document identifier, enabling authorized parties having access to the signer identity and document identifier to extract the authentication data.</w:t>
      </w:r>
    </w:p>
    <w:p>
      <w:pPr>
        <w:spacing w:before="300" w:after="100"/>
      </w:pPr>
      <w:r>
        <w:rPr>
          <w:b/>
          <w:bCs/>
        </w:rPr>
        <w:t xml:space="preserve">69. The method of claim 67, wherein an unauthorized party lacking the cryptographic key cannot distinguish carrier positions containing authentication data from non-carrier positions.</w:t>
      </w:r>
    </w:p>
    <w:p>
      <w:r>
        <w:br w:type="page"/>
      </w:r>
    </w:p>
    <w:p>
      <w:pPr>
        <w:pStyle w:val="Heading2"/>
      </w:pPr>
      <w:r>
        <w:t xml:space="preserve">7.7 Robust Fingerprinting Claims (70-72)</w:t>
      </w:r>
    </w:p>
    <w:p>
      <w:pPr>
        <w:shd w:fill="FEE2E2" w:val="clear"/>
        <w:spacing w:before="200" w:after="200"/>
        <w:ind w:left="360" w:right="360"/>
      </w:pPr>
      <w:r>
        <w:rPr>
          <w:b/>
          <w:bCs/>
          <w:color w:val="DC2626"/>
        </w:rPr>
        <w:t xml:space="preserve">CRITICAL PRIORITY: These claims represent the most significant competitive moat. Robust fingerprinting survives paraphrasing and editorial modification, which standard cryptographic hashing cannot.</w:t>
      </w:r>
    </w:p>
    <w:p>
      <w:pPr>
        <w:shd w:fill="DBEAFE" w:val="clear"/>
        <w:spacing w:before="200" w:after="200"/>
        <w:ind w:left="360" w:right="360"/>
      </w:pPr>
      <w:r>
        <w:rPr>
          <w:b/>
          <w:bCs/>
          <w:color w:val="1E40AF"/>
        </w:rPr>
        <w:t xml:space="preserve">[NEW CONTENT: Add as Claims 70-72]</w:t>
      </w:r>
    </w:p>
    <w:p>
      <w:pPr>
        <w:spacing w:before="200" w:after="100"/>
      </w:pPr>
      <w:r>
        <w:rPr>
          <w:b/>
          <w:bCs/>
        </w:rPr>
        <w:t xml:space="preserve">70. A method for robust content fingerprinting comprising:</w:t>
      </w:r>
    </w:p>
    <w:p>
      <w:pPr>
        <w:spacing w:before="120" w:after="120"/>
        <w:ind w:left="720"/>
      </w:pPr>
      <w:r>
        <w:t xml:space="preserve">computing a fingerprint value from text content using a fingerprinting function, wherein the fingerprinting function is configured to produce similar fingerprint values for semantically similar text inputs;</w:t>
      </w:r>
    </w:p>
    <w:p>
      <w:pPr>
        <w:spacing w:before="120" w:after="120"/>
        <w:ind w:left="720"/>
      </w:pPr>
      <w:r>
        <w:t xml:space="preserve">embedding the fingerprint value in the text using distributed non-rendering Unicode code points;</w:t>
      </w:r>
    </w:p>
    <w:p>
      <w:pPr>
        <w:spacing w:before="120" w:after="120"/>
        <w:ind w:left="720"/>
      </w:pPr>
      <w:r>
        <w:t xml:space="preserve">upon detection, extracting candidate fingerprint values from target text and computing a similarity score between each candidate fingerprint value and a database of known fingerprint values; and</w:t>
      </w:r>
    </w:p>
    <w:p>
      <w:pPr>
        <w:spacing w:before="120" w:after="120"/>
        <w:ind w:left="720"/>
      </w:pPr>
      <w:r>
        <w:t xml:space="preserve">determining a match when the similarity score exceeds a predetermined threshold.</w:t>
      </w:r>
    </w:p>
    <w:p>
      <w:pPr>
        <w:spacing w:before="300" w:after="100"/>
      </w:pPr>
      <w:r>
        <w:rPr>
          <w:b/>
          <w:bCs/>
        </w:rPr>
        <w:t xml:space="preserve">71. The method of claim 70, wherein the fingerprinting function comprises:</w:t>
      </w:r>
    </w:p>
    <w:p>
      <w:pPr>
        <w:spacing w:before="120" w:after="120"/>
        <w:ind w:left="720"/>
      </w:pPr>
      <w:r>
        <w:t xml:space="preserve">extracting n-gram shingles from the text content; and</w:t>
      </w:r>
    </w:p>
    <w:p>
      <w:pPr>
        <w:spacing w:before="120" w:after="120"/>
        <w:ind w:left="720"/>
      </w:pPr>
      <w:r>
        <w:t xml:space="preserve">computing a locality-sensitive hash over the n-gram shingles.</w:t>
      </w:r>
    </w:p>
    <w:p>
      <w:pPr>
        <w:spacing w:before="300" w:after="100"/>
      </w:pPr>
      <w:r>
        <w:rPr>
          <w:b/>
          <w:bCs/>
        </w:rPr>
        <w:t xml:space="preserve">72. The method of claim 70, wherein the detection tolerates modifications to the text including at least one of: synonym substitution, word reordering, sentence restructuring, and partial deletion.</w:t>
      </w:r>
    </w:p>
    <w:p>
      <w:r>
        <w:br w:type="page"/>
      </w:r>
    </w:p>
    <w:p>
      <w:pPr>
        <w:pStyle w:val="Heading2"/>
      </w:pPr>
      <w:r>
        <w:t xml:space="preserve">7.8 Minimal Payload Reference Claims (73-75)</w:t>
      </w:r>
    </w:p>
    <w:p>
      <w:pPr>
        <w:shd w:fill="DBEAFE" w:val="clear"/>
        <w:spacing w:before="200" w:after="200"/>
        <w:ind w:left="360" w:right="360"/>
      </w:pPr>
      <w:r>
        <w:rPr>
          <w:b/>
          <w:bCs/>
          <w:color w:val="1E40AF"/>
        </w:rPr>
        <w:t xml:space="preserve">[NEW CONTENT: Add as Claims 73-75]</w:t>
      </w:r>
    </w:p>
    <w:p>
      <w:pPr>
        <w:spacing w:before="200" w:after="100"/>
      </w:pPr>
      <w:r>
        <w:rPr>
          <w:b/>
          <w:bCs/>
        </w:rPr>
        <w:t xml:space="preserve">73. A method for space-efficient content authentication comprising:</w:t>
      </w:r>
    </w:p>
    <w:p>
      <w:pPr>
        <w:spacing w:before="120" w:after="120"/>
        <w:ind w:left="720"/>
      </w:pPr>
      <w:r>
        <w:t xml:space="preserve">generating a compact reference identifier of N bits from content, where N is less than 128 bits;</w:t>
      </w:r>
    </w:p>
    <w:p>
      <w:pPr>
        <w:spacing w:before="120" w:after="120"/>
        <w:ind w:left="720"/>
      </w:pPr>
      <w:r>
        <w:t xml:space="preserve">embedding the compact reference identifier in text using non-rendering Unicode code points;</w:t>
      </w:r>
    </w:p>
    <w:p>
      <w:pPr>
        <w:spacing w:before="120" w:after="120"/>
        <w:ind w:left="720"/>
      </w:pPr>
      <w:r>
        <w:t xml:space="preserve">storing, in an external database, a mapping from the compact reference identifier to a full authentication record, wherein the full authentication record includes at least a cryptographic signature and a content hash; and</w:t>
      </w:r>
    </w:p>
    <w:p>
      <w:pPr>
        <w:spacing w:before="120" w:after="120"/>
        <w:ind w:left="720"/>
      </w:pPr>
      <w:r>
        <w:t xml:space="preserve">upon verification, extracting the compact reference identifier from the text and retrieving the full authentication record from the external database using the compact reference identifier as a lookup key.</w:t>
      </w:r>
    </w:p>
    <w:p>
      <w:pPr>
        <w:spacing w:before="300" w:after="100"/>
      </w:pPr>
      <w:r>
        <w:rPr>
          <w:b/>
          <w:bCs/>
        </w:rPr>
        <w:t xml:space="preserve">74. The method of claim 73, wherein N is between 32 and 64 bits, enabling human-readable representation of the compact reference identifier as 8 to 16 hexadecimal characters.</w:t>
      </w:r>
    </w:p>
    <w:p>
      <w:pPr>
        <w:spacing w:before="300" w:after="100"/>
      </w:pPr>
      <w:r>
        <w:rPr>
          <w:b/>
          <w:bCs/>
        </w:rPr>
        <w:t xml:space="preserve">75. The method of claim 73, wherein the compact reference identifier is derived by truncating a cryptographic hash of the content to N bits.</w:t>
      </w:r>
    </w:p>
    <w:p>
      <w:r>
        <w:br w:type="page"/>
      </w:r>
    </w:p>
    <w:p>
      <w:pPr>
        <w:pStyle w:val="Heading1"/>
        <w:spacing w:before="400" w:after="200"/>
      </w:pPr>
      <w:r>
        <w:rPr>
          <w:b/>
          <w:bCs/>
        </w:rPr>
        <w:t xml:space="preserve">SECTION 8: SPECIFICATION ADDITIONS FOR NEW CLAIMS</w:t>
      </w:r>
    </w:p>
    <w:p>
      <w:pPr>
        <w:pStyle w:val="Heading2"/>
      </w:pPr>
      <w:r>
        <w:t xml:space="preserve">8.1 Per-Document Revocation System</w:t>
      </w:r>
    </w:p>
    <w:p>
      <w:pPr>
        <w:shd w:fill="DBEAFE" w:val="clear"/>
        <w:spacing w:before="200" w:after="200"/>
        <w:ind w:left="360" w:right="360"/>
      </w:pPr>
      <w:r>
        <w:rPr>
          <w:b/>
          <w:bCs/>
          <w:color w:val="1E40AF"/>
        </w:rPr>
        <w:t xml:space="preserve">[NEW CONTENT: Insert in Detailed Description, after discussion of authentication methods]</w:t>
      </w:r>
    </w:p>
    <w:p>
      <w:pPr>
        <w:spacing w:before="200" w:after="200"/>
      </w:pPr>
      <w:r>
        <w:t xml:space="preserve">Referring to FIG. 12, a per-document revocation system 1200 enables granular revocation of individual authenticated documents without invalidating other documents signed by the same certificate. Traditional certificate revocation (via Certificate Revocation Lists or OCSP) operates at the certificate level, meaning revocation of a certificate invalidates all documents signed with that certificate. The present system instead maintains document-level revocation status.</w:t>
      </w:r>
    </w:p>
    <w:p>
      <w:pPr>
        <w:spacing w:after="200"/>
      </w:pPr>
      <w:r>
        <w:t xml:space="preserve">The system 1200 includes a status registry 1210 comprising a bitstring 1212 wherein each bit position corresponds to a uniquely identified signed document. For example, a bitstring of 131,072 bits (16 KB) can track revocation status for 131,072 documents. Multiple bitstrings may be organized into status lists 1214, each identified by an organization identifier and list index.</w:t>
      </w:r>
    </w:p>
    <w:p>
      <w:pPr>
        <w:spacing w:after="200"/>
      </w:pPr>
      <w:r>
        <w:t xml:space="preserve">When a document is signed at step 1220, it is assigned a position in a status list. The position is recorded in the document's manifest or in an external database associated with the document identifier. At step 1230, a revocation request specifies a document identifier and optionally a revocation reason from a predefined taxonomy (e.g., factual_error, legal_takedown, copyright_claim, privacy_request, publisher_request, security_concern, content_policy). At step 1240, the bit corresponding to the document is set to indicate revocation.</w:t>
      </w:r>
    </w:p>
    <w:p>
      <w:pPr>
        <w:spacing w:after="200"/>
      </w:pPr>
      <w:r>
        <w:t xml:space="preserve">At step 1250, the updated bitstring is published to a content distribution network (CDN) with appropriate cache headers (e.g., 5-minute TTL). Verifiers retrieve the status list and check the relevant bit during verification at step 1260. If the bit is set, verification fails with a revocation status code. Importantly, other documents signed by the same certificate remain valid.</w:t>
      </w:r>
    </w:p>
    <w:p>
      <w:pPr>
        <w:spacing w:after="200"/>
      </w:pPr>
      <w:r>
        <w:t xml:space="preserve">In some embodiments, the system supports reinstatement at step 1270, wherein a previously revoked document can be restored by clearing its bit in the status bitstring. This enables correction of erroneous revocations without requiring re-signing of the document.</w:t>
      </w:r>
    </w:p>
    <w:p>
      <w:r>
        <w:br w:type="page"/>
      </w:r>
    </w:p>
    <w:p>
      <w:pPr>
        <w:pStyle w:val="Heading2"/>
      </w:pPr>
      <w:r>
        <w:t xml:space="preserve">8.2 Distributed Embedding with Carrier Selection</w:t>
      </w:r>
    </w:p>
    <w:p>
      <w:pPr>
        <w:shd w:fill="DBEAFE" w:val="clear"/>
        <w:spacing w:before="200" w:after="200"/>
        <w:ind w:left="360" w:right="360"/>
      </w:pPr>
      <w:r>
        <w:rPr>
          <w:b/>
          <w:bCs/>
          <w:color w:val="1E40AF"/>
        </w:rPr>
        <w:t xml:space="preserve">[NEW CONTENT: Insert in Detailed Description, after discussion of UUID embedding]</w:t>
      </w:r>
    </w:p>
    <w:p>
      <w:pPr>
        <w:spacing w:before="200" w:after="200"/>
      </w:pPr>
      <w:r>
        <w:t xml:space="preserve">Referring to FIG. 13, a distributed embedding method 1300 improves resilience against partial deletion or truncation by distributing authentication data across multiple carrier positions within text, rather than embedding as a single contiguous block.</w:t>
      </w:r>
    </w:p>
    <w:p>
      <w:pPr>
        <w:spacing w:after="200"/>
      </w:pPr>
      <w:r>
        <w:t xml:space="preserve">At step 1310, a carrier selection criterion defines which character positions are eligible for embedding. Exemplary carrier selection criteria include: (a) all characters, providing maximum capacity but potentially affecting rendering of variation sequences; (b) whitespace characters only, providing moderate capacity with minimal impact; (c) punctuation characters only; (d) word boundaries; or (e) sentence boundaries. The choice involves a tradeoff between embedding capacity (more carriers enable larger payloads) and steganographic properties (fewer carriers are less detectable).</w:t>
      </w:r>
    </w:p>
    <w:p>
      <w:pPr>
        <w:spacing w:after="200"/>
      </w:pPr>
      <w:r>
        <w:t xml:space="preserve">At step 1320, authentication data is encoded as a sequence of non-rendering Unicode code points. In one embodiment, each byte of the authentication data is converted to a Unicode variation selector: bytes 0-15 map to U+FE00 through U+FE0F; bytes 16-255 map to U+E0100 through U+E01EF. This encoding produces one variation selector per byte of payload.</w:t>
      </w:r>
    </w:p>
    <w:p>
      <w:pPr>
        <w:spacing w:after="200"/>
      </w:pPr>
      <w:r>
        <w:t xml:space="preserve">At step 1330, the sequence of code points is distributed across the carrier positions by inserting one code point after each respective carrier character. For example, if the payload is 32 bytes and whitespace carrier selection identifies 40 whitespace characters, each of the first 32 whitespace characters receives one variation selector after it.</w:t>
      </w:r>
    </w:p>
    <w:p>
      <w:pPr>
        <w:spacing w:after="200"/>
      </w:pPr>
      <w:r>
        <w:t xml:space="preserve">At step 1340, the system determines whether the number of available carrier positions meets a minimum threshold based on payload size. If insufficient carriers exist, the system may: (a) fall back to single-point embedding at step 1350, wherein all code points are inserted after the first carrier as a contiguous block; (b) raise an error; or (c) use a smaller payload format. This fallback ensures embedding succeeds even when text is too short for full distribution.</w:t>
      </w:r>
    </w:p>
    <w:p>
      <w:pPr>
        <w:spacing w:after="200"/>
      </w:pPr>
      <w:r>
        <w:t xml:space="preserve">The distributed approach provides resilience because partial deletion of text preserves code points at carrier positions not affected by the deletion. For example, truncation of the final 20% of text loses only the code points distributed in that region, while code points in the remaining 80% survive. Extraction can proceed with partial data when combined with error-correcting encoding as described below.</w:t>
      </w:r>
    </w:p>
    <w:p>
      <w:r>
        <w:br w:type="page"/>
      </w:r>
    </w:p>
    <w:p>
      <w:pPr>
        <w:pStyle w:val="Heading2"/>
      </w:pPr>
      <w:r>
        <w:t xml:space="preserve">8.3 Two-Layer Embedding Architecture</w:t>
      </w:r>
    </w:p>
    <w:p>
      <w:pPr>
        <w:shd w:fill="DBEAFE" w:val="clear"/>
        <w:spacing w:before="200" w:after="200"/>
        <w:ind w:left="360" w:right="360"/>
      </w:pPr>
      <w:r>
        <w:rPr>
          <w:b/>
          <w:bCs/>
          <w:color w:val="1E40AF"/>
        </w:rPr>
        <w:t xml:space="preserve">[NEW CONTENT: Insert in Detailed Description, after distributed embedding section]</w:t>
      </w:r>
    </w:p>
    <w:p>
      <w:pPr>
        <w:spacing w:before="200" w:after="200"/>
      </w:pPr>
      <w:r>
        <w:t xml:space="preserve">Referring to FIG. 14, a two-layer embedding architecture 1400 provides complementary authentication at both segment level and document level, enabling verification under different conditions.</w:t>
      </w:r>
    </w:p>
    <w:p>
      <w:pPr>
        <w:spacing w:after="200"/>
      </w:pPr>
      <w:r>
        <w:t xml:space="preserve">At layer one 1410, the system embeds segment-level authentication markers for each text segment (e.g., each sentence). Each segment-level marker includes at least: a segment identifier (e.g., a leaf index in a Merkle tree), a reference to the parent document, and optionally a truncated hash or signature. These markers are embedded using distributed non-rendering code points within each segment as described above.</w:t>
      </w:r>
    </w:p>
    <w:p>
      <w:pPr>
        <w:spacing w:after="200"/>
      </w:pPr>
      <w:r>
        <w:t xml:space="preserve">At layer two 1420, after all segment-level markers are embedded, the system embeds a document-level manifest for the complete text. The document-level manifest conforms to a content authenticity standard (e.g., C2PA) and includes a full cryptographic signature, complete Merkle root, and detailed assertions. This manifest is typically embedded as a contiguous block appended to the end of the text.</w:t>
      </w:r>
    </w:p>
    <w:p>
      <w:pPr>
        <w:spacing w:after="200"/>
      </w:pPr>
      <w:r>
        <w:t xml:space="preserve">The two-layer architecture enables verification under multiple scenarios: (a) When the complete document is available, verification proceeds using the document-level manifest, providing full cryptographic verification with standards compliance. (b) When only an excerpt is available (e.g., due to truncation, copy-paste of a portion, or snippet extraction), verification can proceed using segment-level markers, enabling identification of the source document and verification of individual segments. (c) When both layers are available, cross-verification can confirm consistency between segment-level and document-level authentication.</w:t>
      </w:r>
    </w:p>
    <w:p>
      <w:pPr>
        <w:spacing w:after="200"/>
      </w:pPr>
      <w:r>
        <w:t xml:space="preserve">This architecture is particularly valuable for: publishers needing to track licensing of excerpted content; AI companies needing to attribute training data at sentence granularity; and enterprises requiring audit trails that survive document transformation.</w:t>
      </w:r>
    </w:p>
    <w:p>
      <w:r>
        <w:br w:type="page"/>
      </w:r>
    </w:p>
    <w:p>
      <w:pPr>
        <w:pStyle w:val="Heading2"/>
      </w:pPr>
      <w:r>
        <w:t xml:space="preserve">8.4 Error-Correcting Distributed Embedding</w:t>
      </w:r>
    </w:p>
    <w:p>
      <w:pPr>
        <w:shd w:fill="DBEAFE" w:val="clear"/>
        <w:spacing w:before="200" w:after="200"/>
        <w:ind w:left="360" w:right="360"/>
      </w:pPr>
      <w:r>
        <w:rPr>
          <w:b/>
          <w:bCs/>
          <w:color w:val="1E40AF"/>
        </w:rPr>
        <w:t xml:space="preserve">[NEW CONTENT: Insert in Detailed Description, after two-layer architecture section]</w:t>
      </w:r>
    </w:p>
    <w:p>
      <w:pPr>
        <w:spacing w:before="200" w:after="200"/>
      </w:pPr>
      <w:r>
        <w:t xml:space="preserve">To further improve resilience against partial data loss, embodiments may employ error-correcting codes (ECCs) to add redundancy before distribution. Error correction enables recovery of authentication data even when a fraction of the distributed code points are lost or corrupted.</w:t>
      </w:r>
    </w:p>
    <w:p>
      <w:pPr>
        <w:spacing w:after="200"/>
      </w:pPr>
      <w:r>
        <w:t xml:space="preserve">In one embodiment, authentication data is encoded using a Reed-Solomon code before distribution. Reed-Solomon codes can recover original data when up to (n-k)/2 symbols are lost, where n is the total encoded length and k is the original data length. For example, encoding a 32-byte identifier with Reed-Solomon(64,32) produces 64 bytes of encoded data that can be fully recovered if any 32 bytes survive.</w:t>
      </w:r>
    </w:p>
    <w:p>
      <w:pPr>
        <w:spacing w:after="200"/>
      </w:pPr>
      <w:r>
        <w:t xml:space="preserve">In another embodiment, a simpler repetition code provides redundancy by repeating the authentication data multiple times. Recovery proceeds by majority voting: if the identifier is repeated 5 times and 3 copies survive intact, the identifier is recovered. This approach is computationally simpler than Reed-Solomon but requires more capacity.</w:t>
      </w:r>
    </w:p>
    <w:p>
      <w:pPr>
        <w:spacing w:after="200"/>
      </w:pPr>
      <w:r>
        <w:t xml:space="preserve">Other suitable error-correcting codes include BCH codes, convolutional codes, and LDPC codes. The choice of code involves tradeoffs between redundancy overhead, computational complexity, and recovery capability. In some embodiments, the ECC parameters are selected based on expected data loss patterns for a target deployment environment.</w:t>
      </w:r>
    </w:p>
    <w:p>
      <w:r>
        <w:br w:type="page"/>
      </w:r>
    </w:p>
    <w:p>
      <w:pPr>
        <w:pStyle w:val="Heading2"/>
      </w:pPr>
      <w:r>
        <w:t xml:space="preserve">8.5 Keyed Pseudorandom Carrier Placement</w:t>
      </w:r>
    </w:p>
    <w:p>
      <w:pPr>
        <w:shd w:fill="DBEAFE" w:val="clear"/>
        <w:spacing w:before="200" w:after="200"/>
        <w:ind w:left="360" w:right="360"/>
      </w:pPr>
      <w:r>
        <w:rPr>
          <w:b/>
          <w:bCs/>
          <w:color w:val="1E40AF"/>
        </w:rPr>
        <w:t xml:space="preserve">[NEW CONTENT: Insert in Detailed Description, after error-correcting section]</w:t>
      </w:r>
    </w:p>
    <w:p>
      <w:pPr>
        <w:spacing w:before="200" w:after="200"/>
      </w:pPr>
      <w:r>
        <w:t xml:space="preserve">In embodiments requiring resistance to adversarial removal, carrier positions may be selected using a pseudorandom number generator (PRNG) seeded with a cryptographic key. This keyed placement prevents adversaries from identifying and selectively removing embedded data.</w:t>
      </w:r>
    </w:p>
    <w:p>
      <w:pPr>
        <w:spacing w:after="200"/>
      </w:pPr>
      <w:r>
        <w:t xml:space="preserve">At embedding time, the system derives a cryptographic key from a combination of signer identity and document identifier (or other context). The key seeds a cryptographically secure PRNG (e.g., HMAC-DRBG, ChaCha20). The PRNG generates a pseudorandom sequence of carrier positions from among eligible positions in the text. Authentication data is then embedded at these pseudorandom positions.</w:t>
      </w:r>
    </w:p>
    <w:p>
      <w:pPr>
        <w:spacing w:after="200"/>
      </w:pPr>
      <w:r>
        <w:t xml:space="preserve">At extraction time, an authorized party regenerates the same pseudorandom sequence using the same key derivation inputs. The party can then locate and extract the embedded data. An unauthorized party lacking the key cannot distinguish carrier positions from non-carrier positions and therefore cannot selectively remove the embedding without removing all variation selectors (which may corrupt legitimate variation sequences in the text).</w:t>
      </w:r>
    </w:p>
    <w:p>
      <w:pPr>
        <w:spacing w:after="200"/>
      </w:pPr>
      <w:r>
        <w:t xml:space="preserve">In some embodiments, the key may be published or shared with verification parties after a delay, enabling eventual public verification while maintaining temporary protection against removal. In other embodiments, the key remains private, and verification requires interaction with an authorized verification service.</w:t>
      </w:r>
    </w:p>
    <w:p>
      <w:r>
        <w:br w:type="page"/>
      </w:r>
    </w:p>
    <w:p>
      <w:pPr>
        <w:pStyle w:val="Heading2"/>
      </w:pPr>
      <w:r>
        <w:t xml:space="preserve">8.6 Robust Fingerprinting for Semantic Similarity</w:t>
      </w:r>
    </w:p>
    <w:p>
      <w:pPr>
        <w:shd w:fill="DBEAFE" w:val="clear"/>
        <w:spacing w:before="200" w:after="200"/>
        <w:ind w:left="360" w:right="360"/>
      </w:pPr>
      <w:r>
        <w:rPr>
          <w:b/>
          <w:bCs/>
          <w:color w:val="1E40AF"/>
        </w:rPr>
        <w:t xml:space="preserve">[NEW CONTENT: Insert in Detailed Description, after keyed placement section]</w:t>
      </w:r>
    </w:p>
    <w:p>
      <w:pPr>
        <w:spacing w:before="200" w:after="200"/>
      </w:pPr>
      <w:r>
        <w:t xml:space="preserve">Certain embodiments employ robust fingerprinting techniques that produce similar fingerprint values for semantically similar texts. Unlike cryptographic hashes (which produce completely different outputs for any input change), robust fingerprints enable detection even after paraphrasing, synonym substitution, or editorial modification.</w:t>
      </w:r>
    </w:p>
    <w:p>
      <w:pPr>
        <w:spacing w:after="200"/>
      </w:pPr>
      <w:r>
        <w:t xml:space="preserve">Referring to FIG. 15, a robust fingerprinting method 1500 proceeds as follows. At step 1510, the text content is preprocessed by normalization (lowercasing, removing punctuation, stemming or lemmatization). At step 1520, n-gram shingles are extracted from the normalized text. An n-gram shingle is a contiguous sequence of n tokens (e.g., 3-word shingles: "the quick brown", "quick brown fox", etc.).</w:t>
      </w:r>
    </w:p>
    <w:p>
      <w:pPr>
        <w:spacing w:after="200"/>
      </w:pPr>
      <w:r>
        <w:t xml:space="preserve">At step 1530, a locality-sensitive hash (LSH) is computed over the shingles. LSH functions have the property that similar inputs produce similar (or identical) hash outputs with high probability. Suitable LSH functions include MinHash (for Jaccard similarity), SimHash (for cosine similarity), and random hyperplane projections. The LSH output forms the fingerprint value.</w:t>
      </w:r>
    </w:p>
    <w:p>
      <w:pPr>
        <w:spacing w:after="200"/>
      </w:pPr>
      <w:r>
        <w:t xml:space="preserve">At step 1540, the fingerprint is embedded in the original text using distributed non-rendering code points. Because the fingerprint is designed for similarity matching rather than exact recovery, the embedding may use higher redundancy and tolerate partial loss.</w:t>
      </w:r>
    </w:p>
    <w:p>
      <w:pPr>
        <w:spacing w:after="200"/>
      </w:pPr>
      <w:r>
        <w:t xml:space="preserve">At detection time (step 1550), candidate fingerprints are extracted from target text. At step 1560, each candidate is compared against a database of known fingerprints. Comparison produces a similarity score (e.g., Jaccard index, cosine similarity, Hamming distance of hash bits). At step 1570, a match is reported when similarity exceeds a predetermined threshold.</w:t>
      </w:r>
    </w:p>
    <w:p>
      <w:pPr>
        <w:spacing w:after="200"/>
      </w:pPr>
      <w:r>
        <w:t xml:space="preserve">This approach enables detection even when text has been: paraphrased (synonyms change some shingles but not all); restructured (sentence order changes but local shingle patterns survive); partially deleted (remaining text retains characteristic shingles); or combined with other text (matching shingles indicate presence of original content).</w:t>
      </w:r>
    </w:p>
    <w:p>
      <w:r>
        <w:br w:type="page"/>
      </w:r>
    </w:p>
    <w:p>
      <w:pPr>
        <w:pStyle w:val="Heading1"/>
        <w:spacing w:before="400" w:after="200"/>
      </w:pPr>
      <w:r>
        <w:rPr>
          <w:b/>
          <w:bCs/>
        </w:rPr>
        <w:t xml:space="preserve">SECTION 9: ADDITIONAL FIGURE DESCRIPTIONS</w:t>
      </w:r>
    </w:p>
    <w:p>
      <w:pPr>
        <w:shd w:fill="DBEAFE" w:val="clear"/>
        <w:spacing w:before="200" w:after="200"/>
        <w:ind w:left="360" w:right="360"/>
      </w:pPr>
      <w:r>
        <w:rPr>
          <w:b/>
          <w:bCs/>
          <w:color w:val="1E40AF"/>
        </w:rPr>
        <w:t xml:space="preserve">[NEW CONTENT: Insert after existing FIG. 11 description in 'Brief Description of the Drawings' section]</w:t>
      </w:r>
    </w:p>
    <w:p>
      <w:pPr>
        <w:spacing w:before="200" w:after="200"/>
      </w:pPr>
      <w:r>
        <w:rPr>
          <w:b/>
          <w:bCs/>
        </w:rPr>
        <w:t xml:space="preserve">FIG. 12</w:t>
      </w:r>
      <w:r>
        <w:t xml:space="preserve"> illustrates a per-document revocation system 1200 including status registry 1210 with bitstring 1212 and status lists 1214, showing document signing step 1220, revocation request step 1230, bit setting step 1240, CDN publication step 1250, verification step 1260, and optional reinstatement step 1270.</w:t>
      </w:r>
    </w:p>
    <w:p>
      <w:pPr>
        <w:spacing w:after="200"/>
      </w:pPr>
      <w:r>
        <w:rPr>
          <w:b/>
          <w:bCs/>
        </w:rPr>
        <w:t xml:space="preserve">FIG. 13</w:t>
      </w:r>
      <w:r>
        <w:t xml:space="preserve"> illustrates a distributed embedding method 1300 showing carrier selection step 1310, code point encoding step 1320, distribution step 1330, capacity check step 1340, and fallback step 1350.</w:t>
      </w:r>
    </w:p>
    <w:p>
      <w:pPr>
        <w:spacing w:after="200"/>
      </w:pPr>
      <w:r>
        <w:rPr>
          <w:b/>
          <w:bCs/>
        </w:rPr>
        <w:t xml:space="preserve">FIG. 14</w:t>
      </w:r>
      <w:r>
        <w:t xml:space="preserve"> illustrates a two-layer embedding architecture 1400 showing segment-level embedding layer 1410 and document-level embedding layer 1420, with verification paths for complete documents and excerpts.</w:t>
      </w:r>
    </w:p>
    <w:p>
      <w:pPr>
        <w:spacing w:after="200"/>
      </w:pPr>
      <w:r>
        <w:rPr>
          <w:b/>
          <w:bCs/>
        </w:rPr>
        <w:t xml:space="preserve">FIG. 15</w:t>
      </w:r>
      <w:r>
        <w:t xml:space="preserve"> illustrates a robust fingerprinting method 1500 showing preprocessing step 1510, shingle extraction step 1520, LSH computation step 1530, embedding step 1540, extraction step 1550, comparison step 1560, and match determination step 1570.</w:t>
      </w:r>
    </w:p>
    <w:p>
      <w:r>
        <w:br w:type="page"/>
      </w:r>
    </w:p>
    <w:p>
      <w:pPr>
        <w:pStyle w:val="Heading1"/>
        <w:spacing w:before="400" w:after="200"/>
      </w:pPr>
      <w:r>
        <w:rPr>
          <w:b/>
          <w:bCs/>
        </w:rPr>
        <w:t xml:space="preserve">SECTION 10: ADDITIONAL REFERENCE NUMERAL TABLE</w:t>
      </w:r>
    </w:p>
    <w:p>
      <w:pPr>
        <w:spacing w:before="200" w:after="200"/>
      </w:pPr>
      <w:r>
        <w:t xml:space="preserve">The following reference numerals are used in FIGS. 12-15 and should be added to the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5E7EB" w:val="clear"/>
          </w:tcPr>
          <w:p>
            <w:r>
              <w:rPr>
                <w:b/>
                <w:bCs/>
              </w:rPr>
              <w:t xml:space="preserve">Reference</w:t>
            </w:r>
          </w:p>
        </w:tc>
        <w:tc>
          <w:tcPr>
            <w:tcW w:type="dxa" w:w="7360"/>
            <w:tcBorders>
              <w:top w:val="single" w:color="CCCCCC" w:sz="1"/>
              <w:left w:val="single" w:color="CCCCCC" w:sz="1"/>
              <w:bottom w:val="single" w:color="CCCCCC" w:sz="1"/>
              <w:right w:val="single" w:color="CCCCCC" w:sz="1"/>
            </w:tcBorders>
            <w:shd w:fill="E5E7EB" w:val="clear"/>
          </w:tcPr>
          <w:p>
            <w:r>
              <w:rPr>
                <w:b/>
                <w:bCs/>
              </w:rPr>
              <w:t xml:space="preserve">Description</w:t>
            </w:r>
          </w:p>
        </w:tc>
      </w:tr>
      <w:tr>
        <w:tc>
          <w:tcPr>
            <w:tcW w:type="dxa" w:w="2000"/>
            <w:tcBorders>
              <w:top w:val="single" w:color="CCCCCC" w:sz="1"/>
              <w:left w:val="single" w:color="CCCCCC" w:sz="1"/>
              <w:bottom w:val="single" w:color="CCCCCC" w:sz="1"/>
              <w:right w:val="single" w:color="CCCCCC" w:sz="1"/>
            </w:tcBorders>
          </w:tcPr>
          <w:p>
            <w:r>
              <w:t xml:space="preserve">1200</w:t>
            </w:r>
          </w:p>
        </w:tc>
        <w:tc>
          <w:tcPr>
            <w:tcW w:type="dxa" w:w="7360"/>
            <w:tcBorders>
              <w:top w:val="single" w:color="CCCCCC" w:sz="1"/>
              <w:left w:val="single" w:color="CCCCCC" w:sz="1"/>
              <w:bottom w:val="single" w:color="CCCCCC" w:sz="1"/>
              <w:right w:val="single" w:color="CCCCCC" w:sz="1"/>
            </w:tcBorders>
          </w:tcPr>
          <w:p>
            <w:r>
              <w:t xml:space="preserve">Per-document revocation system</w:t>
            </w:r>
          </w:p>
        </w:tc>
      </w:tr>
      <w:tr>
        <w:tc>
          <w:tcPr>
            <w:tcW w:type="dxa" w:w="2000"/>
            <w:tcBorders>
              <w:top w:val="single" w:color="CCCCCC" w:sz="1"/>
              <w:left w:val="single" w:color="CCCCCC" w:sz="1"/>
              <w:bottom w:val="single" w:color="CCCCCC" w:sz="1"/>
              <w:right w:val="single" w:color="CCCCCC" w:sz="1"/>
            </w:tcBorders>
          </w:tcPr>
          <w:p>
            <w:r>
              <w:t xml:space="preserve">1210</w:t>
            </w:r>
          </w:p>
        </w:tc>
        <w:tc>
          <w:tcPr>
            <w:tcW w:type="dxa" w:w="7360"/>
            <w:tcBorders>
              <w:top w:val="single" w:color="CCCCCC" w:sz="1"/>
              <w:left w:val="single" w:color="CCCCCC" w:sz="1"/>
              <w:bottom w:val="single" w:color="CCCCCC" w:sz="1"/>
              <w:right w:val="single" w:color="CCCCCC" w:sz="1"/>
            </w:tcBorders>
          </w:tcPr>
          <w:p>
            <w:r>
              <w:t xml:space="preserve">Status registry</w:t>
            </w:r>
          </w:p>
        </w:tc>
      </w:tr>
      <w:tr>
        <w:tc>
          <w:tcPr>
            <w:tcW w:type="dxa" w:w="2000"/>
            <w:tcBorders>
              <w:top w:val="single" w:color="CCCCCC" w:sz="1"/>
              <w:left w:val="single" w:color="CCCCCC" w:sz="1"/>
              <w:bottom w:val="single" w:color="CCCCCC" w:sz="1"/>
              <w:right w:val="single" w:color="CCCCCC" w:sz="1"/>
            </w:tcBorders>
          </w:tcPr>
          <w:p>
            <w:r>
              <w:t xml:space="preserve">1212</w:t>
            </w:r>
          </w:p>
        </w:tc>
        <w:tc>
          <w:tcPr>
            <w:tcW w:type="dxa" w:w="7360"/>
            <w:tcBorders>
              <w:top w:val="single" w:color="CCCCCC" w:sz="1"/>
              <w:left w:val="single" w:color="CCCCCC" w:sz="1"/>
              <w:bottom w:val="single" w:color="CCCCCC" w:sz="1"/>
              <w:right w:val="single" w:color="CCCCCC" w:sz="1"/>
            </w:tcBorders>
          </w:tcPr>
          <w:p>
            <w:r>
              <w:t xml:space="preserve">Bitstring for revocation status</w:t>
            </w:r>
          </w:p>
        </w:tc>
      </w:tr>
      <w:tr>
        <w:tc>
          <w:tcPr>
            <w:tcW w:type="dxa" w:w="2000"/>
            <w:tcBorders>
              <w:top w:val="single" w:color="CCCCCC" w:sz="1"/>
              <w:left w:val="single" w:color="CCCCCC" w:sz="1"/>
              <w:bottom w:val="single" w:color="CCCCCC" w:sz="1"/>
              <w:right w:val="single" w:color="CCCCCC" w:sz="1"/>
            </w:tcBorders>
          </w:tcPr>
          <w:p>
            <w:r>
              <w:t xml:space="preserve">1214</w:t>
            </w:r>
          </w:p>
        </w:tc>
        <w:tc>
          <w:tcPr>
            <w:tcW w:type="dxa" w:w="7360"/>
            <w:tcBorders>
              <w:top w:val="single" w:color="CCCCCC" w:sz="1"/>
              <w:left w:val="single" w:color="CCCCCC" w:sz="1"/>
              <w:bottom w:val="single" w:color="CCCCCC" w:sz="1"/>
              <w:right w:val="single" w:color="CCCCCC" w:sz="1"/>
            </w:tcBorders>
          </w:tcPr>
          <w:p>
            <w:r>
              <w:t xml:space="preserve">Status lists</w:t>
            </w:r>
          </w:p>
        </w:tc>
      </w:tr>
      <w:tr>
        <w:tc>
          <w:tcPr>
            <w:tcW w:type="dxa" w:w="2000"/>
            <w:tcBorders>
              <w:top w:val="single" w:color="CCCCCC" w:sz="1"/>
              <w:left w:val="single" w:color="CCCCCC" w:sz="1"/>
              <w:bottom w:val="single" w:color="CCCCCC" w:sz="1"/>
              <w:right w:val="single" w:color="CCCCCC" w:sz="1"/>
            </w:tcBorders>
          </w:tcPr>
          <w:p>
            <w:r>
              <w:t xml:space="preserve">1220-1270</w:t>
            </w:r>
          </w:p>
        </w:tc>
        <w:tc>
          <w:tcPr>
            <w:tcW w:type="dxa" w:w="7360"/>
            <w:tcBorders>
              <w:top w:val="single" w:color="CCCCCC" w:sz="1"/>
              <w:left w:val="single" w:color="CCCCCC" w:sz="1"/>
              <w:bottom w:val="single" w:color="CCCCCC" w:sz="1"/>
              <w:right w:val="single" w:color="CCCCCC" w:sz="1"/>
            </w:tcBorders>
          </w:tcPr>
          <w:p>
            <w:r>
              <w:t xml:space="preserve">Revocation system process steps</w:t>
            </w:r>
          </w:p>
        </w:tc>
      </w:tr>
      <w:tr>
        <w:tc>
          <w:tcPr>
            <w:tcW w:type="dxa" w:w="2000"/>
            <w:tcBorders>
              <w:top w:val="single" w:color="CCCCCC" w:sz="1"/>
              <w:left w:val="single" w:color="CCCCCC" w:sz="1"/>
              <w:bottom w:val="single" w:color="CCCCCC" w:sz="1"/>
              <w:right w:val="single" w:color="CCCCCC" w:sz="1"/>
            </w:tcBorders>
          </w:tcPr>
          <w:p>
            <w:r>
              <w:t xml:space="preserve">1300</w:t>
            </w:r>
          </w:p>
        </w:tc>
        <w:tc>
          <w:tcPr>
            <w:tcW w:type="dxa" w:w="7360"/>
            <w:tcBorders>
              <w:top w:val="single" w:color="CCCCCC" w:sz="1"/>
              <w:left w:val="single" w:color="CCCCCC" w:sz="1"/>
              <w:bottom w:val="single" w:color="CCCCCC" w:sz="1"/>
              <w:right w:val="single" w:color="CCCCCC" w:sz="1"/>
            </w:tcBorders>
          </w:tcPr>
          <w:p>
            <w:r>
              <w:t xml:space="preserve">Distributed embedding method</w:t>
            </w:r>
          </w:p>
        </w:tc>
      </w:tr>
      <w:tr>
        <w:tc>
          <w:tcPr>
            <w:tcW w:type="dxa" w:w="2000"/>
            <w:tcBorders>
              <w:top w:val="single" w:color="CCCCCC" w:sz="1"/>
              <w:left w:val="single" w:color="CCCCCC" w:sz="1"/>
              <w:bottom w:val="single" w:color="CCCCCC" w:sz="1"/>
              <w:right w:val="single" w:color="CCCCCC" w:sz="1"/>
            </w:tcBorders>
          </w:tcPr>
          <w:p>
            <w:r>
              <w:t xml:space="preserve">1310-1350</w:t>
            </w:r>
          </w:p>
        </w:tc>
        <w:tc>
          <w:tcPr>
            <w:tcW w:type="dxa" w:w="7360"/>
            <w:tcBorders>
              <w:top w:val="single" w:color="CCCCCC" w:sz="1"/>
              <w:left w:val="single" w:color="CCCCCC" w:sz="1"/>
              <w:bottom w:val="single" w:color="CCCCCC" w:sz="1"/>
              <w:right w:val="single" w:color="CCCCCC" w:sz="1"/>
            </w:tcBorders>
          </w:tcPr>
          <w:p>
            <w:r>
              <w:t xml:space="preserve">Distributed embedding process steps</w:t>
            </w:r>
          </w:p>
        </w:tc>
      </w:tr>
      <w:tr>
        <w:tc>
          <w:tcPr>
            <w:tcW w:type="dxa" w:w="2000"/>
            <w:tcBorders>
              <w:top w:val="single" w:color="CCCCCC" w:sz="1"/>
              <w:left w:val="single" w:color="CCCCCC" w:sz="1"/>
              <w:bottom w:val="single" w:color="CCCCCC" w:sz="1"/>
              <w:right w:val="single" w:color="CCCCCC" w:sz="1"/>
            </w:tcBorders>
          </w:tcPr>
          <w:p>
            <w:r>
              <w:t xml:space="preserve">1400</w:t>
            </w:r>
          </w:p>
        </w:tc>
        <w:tc>
          <w:tcPr>
            <w:tcW w:type="dxa" w:w="7360"/>
            <w:tcBorders>
              <w:top w:val="single" w:color="CCCCCC" w:sz="1"/>
              <w:left w:val="single" w:color="CCCCCC" w:sz="1"/>
              <w:bottom w:val="single" w:color="CCCCCC" w:sz="1"/>
              <w:right w:val="single" w:color="CCCCCC" w:sz="1"/>
            </w:tcBorders>
          </w:tcPr>
          <w:p>
            <w:r>
              <w:t xml:space="preserve">Two-layer embedding architecture</w:t>
            </w:r>
          </w:p>
        </w:tc>
      </w:tr>
      <w:tr>
        <w:tc>
          <w:tcPr>
            <w:tcW w:type="dxa" w:w="2000"/>
            <w:tcBorders>
              <w:top w:val="single" w:color="CCCCCC" w:sz="1"/>
              <w:left w:val="single" w:color="CCCCCC" w:sz="1"/>
              <w:bottom w:val="single" w:color="CCCCCC" w:sz="1"/>
              <w:right w:val="single" w:color="CCCCCC" w:sz="1"/>
            </w:tcBorders>
          </w:tcPr>
          <w:p>
            <w:r>
              <w:t xml:space="preserve">1410</w:t>
            </w:r>
          </w:p>
        </w:tc>
        <w:tc>
          <w:tcPr>
            <w:tcW w:type="dxa" w:w="7360"/>
            <w:tcBorders>
              <w:top w:val="single" w:color="CCCCCC" w:sz="1"/>
              <w:left w:val="single" w:color="CCCCCC" w:sz="1"/>
              <w:bottom w:val="single" w:color="CCCCCC" w:sz="1"/>
              <w:right w:val="single" w:color="CCCCCC" w:sz="1"/>
            </w:tcBorders>
          </w:tcPr>
          <w:p>
            <w:r>
              <w:t xml:space="preserve">Segment-level embedding layer</w:t>
            </w:r>
          </w:p>
        </w:tc>
      </w:tr>
      <w:tr>
        <w:tc>
          <w:tcPr>
            <w:tcW w:type="dxa" w:w="2000"/>
            <w:tcBorders>
              <w:top w:val="single" w:color="CCCCCC" w:sz="1"/>
              <w:left w:val="single" w:color="CCCCCC" w:sz="1"/>
              <w:bottom w:val="single" w:color="CCCCCC" w:sz="1"/>
              <w:right w:val="single" w:color="CCCCCC" w:sz="1"/>
            </w:tcBorders>
          </w:tcPr>
          <w:p>
            <w:r>
              <w:t xml:space="preserve">1420</w:t>
            </w:r>
          </w:p>
        </w:tc>
        <w:tc>
          <w:tcPr>
            <w:tcW w:type="dxa" w:w="7360"/>
            <w:tcBorders>
              <w:top w:val="single" w:color="CCCCCC" w:sz="1"/>
              <w:left w:val="single" w:color="CCCCCC" w:sz="1"/>
              <w:bottom w:val="single" w:color="CCCCCC" w:sz="1"/>
              <w:right w:val="single" w:color="CCCCCC" w:sz="1"/>
            </w:tcBorders>
          </w:tcPr>
          <w:p>
            <w:r>
              <w:t xml:space="preserve">Document-level embedding layer</w:t>
            </w:r>
          </w:p>
        </w:tc>
      </w:tr>
      <w:tr>
        <w:tc>
          <w:tcPr>
            <w:tcW w:type="dxa" w:w="2000"/>
            <w:tcBorders>
              <w:top w:val="single" w:color="CCCCCC" w:sz="1"/>
              <w:left w:val="single" w:color="CCCCCC" w:sz="1"/>
              <w:bottom w:val="single" w:color="CCCCCC" w:sz="1"/>
              <w:right w:val="single" w:color="CCCCCC" w:sz="1"/>
            </w:tcBorders>
          </w:tcPr>
          <w:p>
            <w:r>
              <w:t xml:space="preserve">1500</w:t>
            </w:r>
          </w:p>
        </w:tc>
        <w:tc>
          <w:tcPr>
            <w:tcW w:type="dxa" w:w="7360"/>
            <w:tcBorders>
              <w:top w:val="single" w:color="CCCCCC" w:sz="1"/>
              <w:left w:val="single" w:color="CCCCCC" w:sz="1"/>
              <w:bottom w:val="single" w:color="CCCCCC" w:sz="1"/>
              <w:right w:val="single" w:color="CCCCCC" w:sz="1"/>
            </w:tcBorders>
          </w:tcPr>
          <w:p>
            <w:r>
              <w:t xml:space="preserve">Robust fingerprinting method</w:t>
            </w:r>
          </w:p>
        </w:tc>
      </w:tr>
      <w:tr>
        <w:tc>
          <w:tcPr>
            <w:tcW w:type="dxa" w:w="2000"/>
            <w:tcBorders>
              <w:top w:val="single" w:color="CCCCCC" w:sz="1"/>
              <w:left w:val="single" w:color="CCCCCC" w:sz="1"/>
              <w:bottom w:val="single" w:color="CCCCCC" w:sz="1"/>
              <w:right w:val="single" w:color="CCCCCC" w:sz="1"/>
            </w:tcBorders>
          </w:tcPr>
          <w:p>
            <w:r>
              <w:t xml:space="preserve">1510-1570</w:t>
            </w:r>
          </w:p>
        </w:tc>
        <w:tc>
          <w:tcPr>
            <w:tcW w:type="dxa" w:w="7360"/>
            <w:tcBorders>
              <w:top w:val="single" w:color="CCCCCC" w:sz="1"/>
              <w:left w:val="single" w:color="CCCCCC" w:sz="1"/>
              <w:bottom w:val="single" w:color="CCCCCC" w:sz="1"/>
              <w:right w:val="single" w:color="CCCCCC" w:sz="1"/>
            </w:tcBorders>
          </w:tcPr>
          <w:p>
            <w:r>
              <w:t xml:space="preserve">Robust fingerprinting process steps</w:t>
            </w:r>
          </w:p>
        </w:tc>
      </w:tr>
    </w:tbl>
    <w:p>
      <w:r>
        <w:br w:type="page"/>
      </w:r>
    </w:p>
    <w:p>
      <w:pPr>
        <w:pStyle w:val="Heading1"/>
        <w:spacing w:before="400" w:after="200"/>
      </w:pPr>
      <w:r>
        <w:rPr>
          <w:b/>
          <w:bCs/>
        </w:rPr>
        <w:t xml:space="preserve">SECTION 11: TRADE SECRET vs. PATENT GUIDANCE</w:t>
      </w:r>
    </w:p>
    <w:p>
      <w:pPr>
        <w:shd w:fill="FEF3C7" w:val="clear"/>
        <w:spacing w:before="200" w:after="200"/>
        <w:ind w:left="360" w:right="360"/>
      </w:pPr>
      <w:r>
        <w:rPr>
          <w:b/>
          <w:bCs/>
          <w:color w:val="92400E"/>
        </w:rPr>
        <w:t xml:space="preserve">INTERNAL NOTE: The following guidance identifies what should NOT be included in the patent application and should instead be protected as trade secrets.</w:t>
      </w:r>
    </w:p>
    <w:p>
      <w:pPr>
        <w:pStyle w:val="Heading2"/>
      </w:pPr>
      <w:r>
        <w:t xml:space="preserve">11.1 Keep as Trade Secrets (Do NOT Patent)</w:t>
      </w:r>
    </w:p>
    <w:p>
      <w:pPr>
        <w:spacing w:before="200" w:after="100"/>
      </w:pPr>
      <w:r>
        <w:rPr>
          <w:b/>
          <w:bCs/>
        </w:rPr>
        <w:t xml:space="preserve">Coalition Revenue Algorithms:</w:t>
      </w:r>
    </w:p>
    <w:p>
      <w:pPr>
        <w:spacing w:after="100"/>
        <w:ind w:left="360"/>
      </w:pPr>
      <w:r>
        <w:t xml:space="preserve">• Revenue split calculations and formulas</w:t>
      </w:r>
    </w:p>
    <w:p>
      <w:pPr>
        <w:spacing w:after="100"/>
        <w:ind w:left="360"/>
      </w:pPr>
      <w:r>
        <w:t xml:space="preserve">• Access tracking granularity and methods</w:t>
      </w:r>
    </w:p>
    <w:p>
      <w:pPr>
        <w:spacing w:after="200"/>
        <w:ind w:left="360"/>
      </w:pPr>
      <w:r>
        <w:t xml:space="preserve">• Payout timing algorithms</w:t>
      </w:r>
    </w:p>
    <w:p>
      <w:pPr>
        <w:spacing w:after="100"/>
      </w:pPr>
      <w:r>
        <w:rPr>
          <w:b/>
          <w:bCs/>
        </w:rPr>
        <w:t xml:space="preserve">Similarity Scoring Parameters:</w:t>
      </w:r>
    </w:p>
    <w:p>
      <w:pPr>
        <w:spacing w:after="100"/>
        <w:ind w:left="360"/>
      </w:pPr>
      <w:r>
        <w:t xml:space="preserve">• Specific threshold values (0.80, 0.85, 0.95)</w:t>
      </w:r>
    </w:p>
    <w:p>
      <w:pPr>
        <w:spacing w:after="100"/>
        <w:ind w:left="360"/>
      </w:pPr>
      <w:r>
        <w:t xml:space="preserve">• Contiguity weighting algorithms</w:t>
      </w:r>
    </w:p>
    <w:p>
      <w:pPr>
        <w:spacing w:after="200"/>
        <w:ind w:left="360"/>
      </w:pPr>
      <w:r>
        <w:t xml:space="preserve">• False positive filtering heuristics</w:t>
      </w:r>
    </w:p>
    <w:p>
      <w:pPr>
        <w:spacing w:after="100"/>
      </w:pPr>
      <w:r>
        <w:rPr>
          <w:b/>
          <w:bCs/>
        </w:rPr>
        <w:t xml:space="preserve">Database Optimizations:</w:t>
      </w:r>
    </w:p>
    <w:p>
      <w:pPr>
        <w:spacing w:after="100"/>
        <w:ind w:left="360"/>
      </w:pPr>
      <w:r>
        <w:t xml:space="preserve">• Specific index structures and sharding strategies</w:t>
      </w:r>
    </w:p>
    <w:p>
      <w:pPr>
        <w:spacing w:after="100"/>
        <w:ind w:left="360"/>
      </w:pPr>
      <w:r>
        <w:t xml:space="preserve">• Query optimization techniques</w:t>
      </w:r>
    </w:p>
    <w:p>
      <w:pPr>
        <w:spacing w:after="200"/>
        <w:ind w:left="360"/>
      </w:pPr>
      <w:r>
        <w:t xml:space="preserve">• Caching policies and TTL values</w:t>
      </w:r>
    </w:p>
    <w:p>
      <w:pPr>
        <w:spacing w:after="100"/>
      </w:pPr>
      <w:r>
        <w:rPr>
          <w:b/>
          <w:bCs/>
        </w:rPr>
        <w:t xml:space="preserve">Carrier Selection Regex Patterns:</w:t>
      </w:r>
    </w:p>
    <w:p>
      <w:pPr>
        <w:spacing w:after="200"/>
        <w:ind w:left="360"/>
      </w:pPr>
      <w:r>
        <w:t xml:space="preserve">• Specific REGEX_PATTERNS used in UnicodeMetadata implementation</w:t>
      </w:r>
    </w:p>
    <w:p>
      <w:pPr>
        <w:pStyle w:val="Heading2"/>
      </w:pPr>
      <w:r>
        <w:t xml:space="preserve">11.2 Use Generic Language in Claims</w:t>
      </w:r>
    </w:p>
    <w:p>
      <w:pPr>
        <w:spacing w:before="200" w:after="200"/>
      </w:pPr>
      <w:r>
        <w:t xml:space="preserve">Claims use "predetermined threshold" rather than specific values. This patents the METHOD while keeping specific parameters as trade secrets. Example:</w:t>
      </w:r>
    </w:p>
    <w:p>
      <w:pPr>
        <w:shd w:fill="FEE2E2" w:val="clear"/>
        <w:spacing w:after="100"/>
        <w:ind w:left="360"/>
      </w:pPr>
      <w:r>
        <w:rPr>
          <w:color w:val="DC2626"/>
        </w:rPr>
        <w:t xml:space="preserve">WRONG: "comparing the similarity score to a threshold of 0.85"</w:t>
      </w:r>
    </w:p>
    <w:p>
      <w:pPr>
        <w:shd w:fill="DCFCE7" w:val="clear"/>
        <w:spacing w:after="200"/>
        <w:ind w:left="360"/>
      </w:pPr>
      <w:r>
        <w:rPr>
          <w:color w:val="16A34A"/>
        </w:rPr>
        <w:t xml:space="preserve">CORRECT: "comparing the similarity score to a predetermined threshold"</w:t>
      </w:r>
    </w:p>
    <w:p>
      <w:r>
        <w:br w:type="page"/>
      </w:r>
    </w:p>
    <w:p>
      <w:pPr>
        <w:pStyle w:val="Heading1"/>
        <w:spacing w:before="400" w:after="200"/>
      </w:pPr>
      <w:r>
        <w:rPr>
          <w:b/>
          <w:bCs/>
        </w:rPr>
        <w:t xml:space="preserve">DOCUMENT CONTROL</w:t>
      </w:r>
    </w:p>
    <w:p>
      <w:pPr>
        <w:spacing w:before="200" w:after="100"/>
      </w:pPr>
      <w:r>
        <w:rPr>
          <w:b/>
          <w:bCs/>
        </w:rPr>
        <w:t xml:space="preserve">Version: </w:t>
      </w:r>
      <w:r>
        <w:t xml:space="preserve">2.0</w:t>
      </w:r>
    </w:p>
    <w:p>
      <w:pPr>
        <w:spacing w:after="100"/>
      </w:pPr>
      <w:r>
        <w:rPr>
          <w:b/>
          <w:bCs/>
        </w:rPr>
        <w:t xml:space="preserve">Date: </w:t>
      </w:r>
      <w:r>
        <w:t xml:space="preserve">December 30, 2025</w:t>
      </w:r>
    </w:p>
    <w:p>
      <w:pPr>
        <w:spacing w:after="100"/>
      </w:pPr>
      <w:r>
        <w:rPr>
          <w:b/>
          <w:bCs/>
        </w:rPr>
        <w:t xml:space="preserve">Status: </w:t>
      </w:r>
      <w:r>
        <w:t xml:space="preserve">DRAFT - For Attorney Review</w:t>
      </w:r>
    </w:p>
    <w:p>
      <w:pPr>
        <w:spacing w:after="100"/>
      </w:pPr>
      <w:r>
        <w:rPr>
          <w:b/>
          <w:bCs/>
        </w:rPr>
        <w:t xml:space="preserve">Author: </w:t>
      </w:r>
      <w:r>
        <w:t xml:space="preserve">Erik Svilich, CEO</w:t>
      </w:r>
    </w:p>
    <w:p>
      <w:pPr>
        <w:spacing w:after="200"/>
      </w:pPr>
      <w:r>
        <w:rPr>
          <w:b/>
          <w:bCs/>
        </w:rPr>
        <w:t xml:space="preserve">Distribution: </w:t>
      </w:r>
      <w:r>
        <w:t xml:space="preserve">Kassim Ferris (Patent Attorney)</w:t>
      </w:r>
    </w:p>
    <w:p>
      <w:pPr>
        <w:pStyle w:val="Heading2"/>
      </w:pPr>
      <w:r>
        <w:t xml:space="preserve">Changes from Version 1.0</w:t>
      </w:r>
    </w:p>
    <w:p>
      <w:pPr>
        <w:spacing w:before="200" w:after="100"/>
        <w:ind w:left="360"/>
      </w:pPr>
      <w:r>
        <w:t xml:space="preserve">• Added Claims 47-49 (Per-Document Revocation)</w:t>
      </w:r>
    </w:p>
    <w:p>
      <w:pPr>
        <w:spacing w:after="100"/>
        <w:ind w:left="360"/>
      </w:pPr>
      <w:r>
        <w:t xml:space="preserve">• Added Claims 58-60 (Distributed Embedding with Carrier Selection)</w:t>
      </w:r>
    </w:p>
    <w:p>
      <w:pPr>
        <w:spacing w:after="100"/>
        <w:ind w:left="360"/>
      </w:pPr>
      <w:r>
        <w:t xml:space="preserve">• Added Claims 61-63 (Two-Layer Embedding Architecture)</w:t>
      </w:r>
    </w:p>
    <w:p>
      <w:pPr>
        <w:spacing w:after="100"/>
        <w:ind w:left="360"/>
      </w:pPr>
      <w:r>
        <w:t xml:space="preserve">• Added Claims 64-66 (Error-Correcting Distributed Embedding)</w:t>
      </w:r>
    </w:p>
    <w:p>
      <w:pPr>
        <w:spacing w:after="100"/>
        <w:ind w:left="360"/>
      </w:pPr>
      <w:r>
        <w:t xml:space="preserve">• Added Claims 67-69 (Keyed Pseudorandom Carrier Placement)</w:t>
      </w:r>
    </w:p>
    <w:p>
      <w:pPr>
        <w:spacing w:after="100"/>
        <w:ind w:left="360"/>
      </w:pPr>
      <w:r>
        <w:t xml:space="preserve">• Added Claims 70-72 (Robust Fingerprinting) - CRITICAL PRIORITY</w:t>
      </w:r>
    </w:p>
    <w:p>
      <w:pPr>
        <w:spacing w:after="100"/>
        <w:ind w:left="360"/>
      </w:pPr>
      <w:r>
        <w:t xml:space="preserve">• Added Claims 73-75 (Minimal Payload Reference)</w:t>
      </w:r>
    </w:p>
    <w:p>
      <w:pPr>
        <w:spacing w:after="100"/>
        <w:ind w:left="360"/>
      </w:pPr>
      <w:r>
        <w:t xml:space="preserve">• Added specification sections 8.1-8.6 supporting new claims</w:t>
      </w:r>
    </w:p>
    <w:p>
      <w:pPr>
        <w:spacing w:after="100"/>
        <w:ind w:left="360"/>
      </w:pPr>
      <w:r>
        <w:t xml:space="preserve">• Added FIGS. 12-15 descriptions</w:t>
      </w:r>
    </w:p>
    <w:p>
      <w:pPr>
        <w:spacing w:after="100"/>
        <w:ind w:left="360"/>
      </w:pPr>
      <w:r>
        <w:t xml:space="preserve">• Added reference numeral table for new figures</w:t>
      </w:r>
    </w:p>
    <w:p>
      <w:pPr>
        <w:spacing w:after="200"/>
        <w:ind w:left="360"/>
      </w:pPr>
      <w:r>
        <w:t xml:space="preserve">• Added trade secret vs. patent guidance (Section 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47"/>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2025-12-30T18:09:24.871Z</dcterms:created>
  <dcterms:modified xsi:type="dcterms:W3CDTF">2025-12-30T18:09:24.872Z</dcterms:modified>
</cp:coreProperties>
</file>

<file path=docProps/custom.xml><?xml version="1.0" encoding="utf-8"?>
<Properties xmlns="http://schemas.openxmlformats.org/officeDocument/2006/custom-properties" xmlns:vt="http://schemas.openxmlformats.org/officeDocument/2006/docPropsVTypes"/>
</file>