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1.0 -- 2026-03-25</w:t>
      </w:r>
    </w:p>
    <w:p>
      <w:pPr>
        <w:spacing w:after="360"/>
        <w:jc w:val="center"/>
      </w:pPr>
    </w:p>
    <w:p>
      <w:pPr>
        <w:jc w:val="center"/>
      </w:pPr>
      <w:r>
        <w:rPr>
          <w:rFonts w:ascii="Calibri" w:hAnsi="Calibri"/>
          <w:b/>
          <w:color w:val="C00000"/>
          <w:sz w:val="24"/>
        </w:rPr>
        <w:t>Confidential</w:t>
      </w:r>
    </w:p>
    <w:p>
      <w:r>
        <w:br w:type="page"/>
      </w:r>
    </w:p>
    <w:p>
      <w:pPr>
        <w:pStyle w:val="Heading1"/>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1.0, 2026-03-25</w:t>
      </w:r>
    </w:p>
    <w:p>
      <w:pPr>
        <w:spacing w:before="120" w:after="120"/>
        <w:pBdr>
          <w:bottom w:val="single" w:sz="6" w:space="1" w:color="AAAAAA"/>
        </w:pBdr>
      </w:pPr>
    </w:p>
    <w:p>
      <w:pPr>
        <w:pStyle w:val="Heading2"/>
      </w:pPr>
      <w:r>
        <w:rPr>
          <w:rFonts w:ascii="Calibri" w:hAnsi="Calibri"/>
          <w:b/>
          <w:color w:val="2E74B5"/>
          <w:sz w:val="28"/>
        </w:rPr>
        <w:t>C.1. Generator Product Information</w:t>
      </w:r>
    </w:p>
    <w:p>
      <w:pPr>
        <w:pStyle w:val="Heading3"/>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Kingdom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London, United Kingdom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GB</w:t>
      </w:r>
    </w:p>
    <w:p>
      <w:pPr>
        <w:pStyle w:val="Heading3"/>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signing)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serializer)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c>
          <w:tcPr>
            <w:tcW w:type="dxa" w:w="3120"/>
            <w:shd w:val="clear" w:color="auto" w:fill="FFFFFF"/>
          </w:tcPr>
          <w:p>
            <w:pPr>
              <w:spacing w:before="60" w:after="60"/>
            </w:pPr>
            <w:r>
              <w:rPr>
                <w:rFonts w:ascii="Calibri" w:hAnsi="Calibri"/>
                <w:sz w:val="20"/>
              </w:rPr>
              <w:t>c2pa_signer.py</w:t>
            </w:r>
          </w:p>
        </w:tc>
        <w:tc>
          <w:tcPr>
            <w:tcW w:type="dxa" w:w="3120"/>
            <w:shd w:val="clear" w:color="auto" w:fill="FFFFFF"/>
          </w:tcPr>
          <w:p>
            <w:pPr>
              <w:spacing w:before="60" w:after="60"/>
            </w:pPr>
            <w:r>
              <w:rPr>
                <w:rFonts w:ascii="Calibri" w:hAnsi="Calibri"/>
                <w:sz w:val="20"/>
              </w:rPr>
              <w:t>Creates c2pa.Signer from PEM credentials</w:t>
            </w:r>
          </w:p>
        </w:tc>
        <w:tc>
          <w:tcPr>
            <w:tcW w:type="dxa" w:w="3120"/>
            <w:shd w:val="clear" w:color="auto" w:fill="FFFFFF"/>
          </w:tcPr>
          <w:p>
            <w:pPr>
              <w:spacing w:before="60" w:after="60"/>
            </w:pPr>
            <w:r>
              <w:rPr>
                <w:rFonts w:ascii="Calibri" w:hAnsi="Calibri"/>
                <w:sz w:val="20"/>
              </w:rPr>
              <w:t>Encypher proprietary</w:t>
            </w:r>
          </w:p>
        </w:tc>
      </w:tr>
      <w:tr>
        <w:tc>
          <w:tcPr>
            <w:tcW w:type="dxa" w:w="3120"/>
            <w:shd w:val="clear" w:color="auto" w:fill="F2F2F2"/>
          </w:tcPr>
          <w:p>
            <w:pPr>
              <w:spacing w:before="60" w:after="60"/>
            </w:pPr>
            <w:r>
              <w:rPr>
                <w:rFonts w:ascii="Calibri" w:hAnsi="Calibri"/>
                <w:sz w:val="20"/>
              </w:rPr>
              <w:t>cose_signer.py</w:t>
            </w:r>
          </w:p>
        </w:tc>
        <w:tc>
          <w:tcPr>
            <w:tcW w:type="dxa" w:w="3120"/>
            <w:shd w:val="clear" w:color="auto" w:fill="F2F2F2"/>
          </w:tcPr>
          <w:p>
            <w:pPr>
              <w:spacing w:before="60" w:after="60"/>
            </w:pPr>
            <w:r>
              <w:rPr>
                <w:rFonts w:ascii="Calibri" w:hAnsi="Calibri"/>
                <w:sz w:val="20"/>
              </w:rPr>
              <w:t>COSE_Sign1_Tagged signing (RFC 9052) for custom pipeline</w:t>
            </w:r>
          </w:p>
        </w:tc>
        <w:tc>
          <w:tcPr>
            <w:tcW w:type="dxa" w:w="3120"/>
            <w:shd w:val="clear" w:color="auto" w:fill="F2F2F2"/>
          </w:tcPr>
          <w:p>
            <w:pPr>
              <w:spacing w:before="60" w:after="60"/>
            </w:pPr>
            <w:r>
              <w:rPr>
                <w:rFonts w:ascii="Calibri" w:hAnsi="Calibri"/>
                <w:sz w:val="20"/>
              </w:rPr>
              <w:t>Encypher proprietary</w:t>
            </w:r>
          </w:p>
        </w:tc>
      </w:tr>
      <w:tr>
        <w:tc>
          <w:tcPr>
            <w:tcW w:type="dxa" w:w="3120"/>
            <w:shd w:val="clear" w:color="auto" w:fill="FFFFFF"/>
          </w:tcPr>
          <w:p>
            <w:pPr>
              <w:spacing w:before="60" w:after="60"/>
            </w:pPr>
            <w:r>
              <w:rPr>
                <w:rFonts w:ascii="Calibri" w:hAnsi="Calibri"/>
                <w:sz w:val="20"/>
              </w:rPr>
              <w:t>c2pa_claim_builder.py</w:t>
            </w:r>
          </w:p>
        </w:tc>
        <w:tc>
          <w:tcPr>
            <w:tcW w:type="dxa" w:w="3120"/>
            <w:shd w:val="clear" w:color="auto" w:fill="FFFFFF"/>
          </w:tcPr>
          <w:p>
            <w:pPr>
              <w:spacing w:before="60" w:after="60"/>
            </w:pPr>
            <w:r>
              <w:rPr>
                <w:rFonts w:ascii="Calibri" w:hAnsi="Calibri"/>
                <w:sz w:val="20"/>
              </w:rPr>
              <w:t>C2PA Claim v2 CBOR construction for custom pipeline</w:t>
            </w:r>
          </w:p>
        </w:tc>
        <w:tc>
          <w:tcPr>
            <w:tcW w:type="dxa" w:w="3120"/>
            <w:shd w:val="clear" w:color="auto" w:fill="FFFFFF"/>
          </w:tcPr>
          <w:p>
            <w:pPr>
              <w:spacing w:before="60" w:after="60"/>
            </w:pPr>
            <w:r>
              <w:rPr>
                <w:rFonts w:ascii="Calibri" w:hAnsi="Calibri"/>
                <w:sz w:val="20"/>
              </w:rPr>
              <w:t>Encypher proprietary</w:t>
            </w:r>
          </w:p>
        </w:tc>
      </w:tr>
      <w:tr>
        <w:tc>
          <w:tcPr>
            <w:tcW w:type="dxa" w:w="3120"/>
            <w:shd w:val="clear" w:color="auto" w:fill="F2F2F2"/>
          </w:tcPr>
          <w:p>
            <w:pPr>
              <w:spacing w:before="60" w:after="60"/>
            </w:pPr>
            <w:r>
              <w:rPr>
                <w:rFonts w:ascii="Calibri" w:hAnsi="Calibri"/>
                <w:sz w:val="20"/>
              </w:rPr>
              <w:t>jumbf.py</w:t>
            </w:r>
          </w:p>
        </w:tc>
        <w:tc>
          <w:tcPr>
            <w:tcW w:type="dxa" w:w="3120"/>
            <w:shd w:val="clear" w:color="auto" w:fill="F2F2F2"/>
          </w:tcPr>
          <w:p>
            <w:pPr>
              <w:spacing w:before="60" w:after="60"/>
            </w:pPr>
            <w:r>
              <w:rPr>
                <w:rFonts w:ascii="Calibri" w:hAnsi="Calibri"/>
                <w:sz w:val="20"/>
              </w:rPr>
              <w:t>ISO 19566-5 JUMBF box serializer for custom pipeline</w:t>
            </w:r>
          </w:p>
        </w:tc>
        <w:tc>
          <w:tcPr>
            <w:tcW w:type="dxa" w:w="3120"/>
            <w:shd w:val="clear" w:color="auto" w:fill="F2F2F2"/>
          </w:tcPr>
          <w:p>
            <w:pPr>
              <w:spacing w:before="60" w:after="60"/>
            </w:pPr>
            <w:r>
              <w:rPr>
                <w:rFonts w:ascii="Calibri" w:hAnsi="Calibri"/>
                <w:sz w:val="20"/>
              </w:rPr>
              <w:t>Encypher proprietary</w:t>
            </w:r>
          </w:p>
        </w:tc>
      </w:tr>
      <w:tr>
        <w:tc>
          <w:tcPr>
            <w:tcW w:type="dxa" w:w="3120"/>
            <w:shd w:val="clear" w:color="auto" w:fill="FFFFFF"/>
          </w:tcPr>
          <w:p>
            <w:pPr>
              <w:spacing w:before="60" w:after="60"/>
            </w:pPr>
            <w:r>
              <w:rPr>
                <w:rFonts w:ascii="Calibri" w:hAnsi="Calibri"/>
                <w:sz w:val="20"/>
              </w:rPr>
              <w:t>c2pa_trust_list.py</w:t>
            </w:r>
          </w:p>
        </w:tc>
        <w:tc>
          <w:tcPr>
            <w:tcW w:type="dxa" w:w="3120"/>
            <w:shd w:val="clear" w:color="auto" w:fill="FFFFFF"/>
          </w:tcPr>
          <w:p>
            <w:pPr>
              <w:spacing w:before="60" w:after="60"/>
            </w:pPr>
            <w:r>
              <w:rPr>
                <w:rFonts w:ascii="Calibri" w:hAnsi="Calibri"/>
                <w:sz w:val="20"/>
              </w:rPr>
              <w:t>Trust anchor loading, chain validation, OCSP, denylist</w:t>
            </w:r>
          </w:p>
        </w:tc>
        <w:tc>
          <w:tcPr>
            <w:tcW w:type="dxa" w:w="3120"/>
            <w:shd w:val="clear" w:color="auto" w:fill="FFFFFF"/>
          </w:tcPr>
          <w:p>
            <w:pPr>
              <w:spacing w:before="60" w:after="60"/>
            </w:pPr>
            <w:r>
              <w:rPr>
                <w:rFonts w:ascii="Calibri" w:hAnsi="Calibri"/>
                <w:sz w:val="20"/>
              </w:rPr>
              <w:t>Encypher proprietary</w:t>
            </w:r>
          </w:p>
        </w:tc>
      </w:tr>
      <w:tr>
        <w:tc>
          <w:tcPr>
            <w:tcW w:type="dxa" w:w="3120"/>
            <w:shd w:val="clear" w:color="auto" w:fill="F2F2F2"/>
          </w:tcPr>
          <w:p>
            <w:pPr>
              <w:spacing w:before="60" w:after="60"/>
            </w:pPr>
            <w:r>
              <w:rPr>
                <w:rFonts w:ascii="Calibri" w:hAnsi="Calibri"/>
                <w:sz w:val="20"/>
              </w:rPr>
              <w:t>c2pa-python</w:t>
            </w:r>
          </w:p>
        </w:tc>
        <w:tc>
          <w:tcPr>
            <w:tcW w:type="dxa" w:w="3120"/>
            <w:shd w:val="clear" w:color="auto" w:fill="F2F2F2"/>
          </w:tcPr>
          <w:p>
            <w:pPr>
              <w:spacing w:before="60" w:after="60"/>
            </w:pPr>
            <w:r>
              <w:rPr>
                <w:rFonts w:ascii="Calibri" w:hAnsi="Calibri"/>
                <w:sz w:val="20"/>
              </w:rPr>
              <w:t>C2PA manifest builder/signer/reader (wraps c2pa-rs)</w:t>
            </w:r>
          </w:p>
        </w:tc>
        <w:tc>
          <w:tcPr>
            <w:tcW w:type="dxa" w:w="3120"/>
            <w:shd w:val="clear" w:color="auto" w:fill="F2F2F2"/>
          </w:tcPr>
          <w:p>
            <w:pPr>
              <w:spacing w:before="60" w:after="60"/>
            </w:pPr>
            <w:r>
              <w:rPr>
                <w:rFonts w:ascii="Calibri" w:hAnsi="Calibri"/>
                <w:sz w:val="20"/>
              </w:rPr>
              <w:t>Open-source (pypi)</w:t>
            </w:r>
          </w:p>
        </w:tc>
      </w:tr>
      <w:tr>
        <w:tc>
          <w:tcPr>
            <w:tcW w:type="dxa" w:w="3120"/>
            <w:shd w:val="clear" w:color="auto" w:fill="FFFFFF"/>
          </w:tcPr>
          <w:p>
            <w:pPr>
              <w:spacing w:before="60" w:after="60"/>
            </w:pPr>
            <w:r>
              <w:rPr>
                <w:rFonts w:ascii="Calibri" w:hAnsi="Calibri"/>
                <w:sz w:val="20"/>
              </w:rPr>
              <w:t>cryptography</w:t>
            </w:r>
          </w:p>
        </w:tc>
        <w:tc>
          <w:tcPr>
            <w:tcW w:type="dxa" w:w="3120"/>
            <w:shd w:val="clear" w:color="auto" w:fill="FFFFFF"/>
          </w:tcPr>
          <w:p>
            <w:pPr>
              <w:spacing w:before="60" w:after="60"/>
            </w:pPr>
            <w:r>
              <w:rPr>
                <w:rFonts w:ascii="Calibri" w:hAnsi="Calibri"/>
                <w:sz w:val="20"/>
              </w:rPr>
              <w:t>Private key loading, ECDSA/RSA/EdDSA signing, X.509</w:t>
            </w:r>
          </w:p>
        </w:tc>
        <w:tc>
          <w:tcPr>
            <w:tcW w:type="dxa" w:w="3120"/>
            <w:shd w:val="clear" w:color="auto" w:fill="FFFFFF"/>
          </w:tcPr>
          <w:p>
            <w:pPr>
              <w:spacing w:before="60" w:after="60"/>
            </w:pPr>
            <w:r>
              <w:rPr>
                <w:rFonts w:ascii="Calibri" w:hAnsi="Calibri"/>
                <w:sz w:val="20"/>
              </w:rPr>
              <w:t>Open-source (pypi)</w:t>
            </w:r>
          </w:p>
        </w:tc>
      </w:tr>
      <w:tr>
        <w:tc>
          <w:tcPr>
            <w:tcW w:type="dxa" w:w="3120"/>
            <w:shd w:val="clear" w:color="auto" w:fill="F2F2F2"/>
          </w:tcPr>
          <w:p>
            <w:pPr>
              <w:spacing w:before="60" w:after="60"/>
            </w:pPr>
            <w:r>
              <w:rPr>
                <w:rFonts w:ascii="Calibri" w:hAnsi="Calibri"/>
                <w:sz w:val="20"/>
              </w:rPr>
              <w:t>cbor2</w:t>
            </w:r>
          </w:p>
        </w:tc>
        <w:tc>
          <w:tcPr>
            <w:tcW w:type="dxa" w:w="3120"/>
            <w:shd w:val="clear" w:color="auto" w:fill="F2F2F2"/>
          </w:tcPr>
          <w:p>
            <w:pPr>
              <w:spacing w:before="60" w:after="60"/>
            </w:pPr>
            <w:r>
              <w:rPr>
                <w:rFonts w:ascii="Calibri" w:hAnsi="Calibri"/>
                <w:sz w:val="20"/>
              </w:rPr>
              <w:t>CBOR encoding/decoding for claims and assertions</w:t>
            </w:r>
          </w:p>
        </w:tc>
        <w:tc>
          <w:tcPr>
            <w:tcW w:type="dxa" w:w="3120"/>
            <w:shd w:val="clear" w:color="auto" w:fill="F2F2F2"/>
          </w:tcPr>
          <w:p>
            <w:pPr>
              <w:spacing w:before="60" w:after="60"/>
            </w:pPr>
            <w:r>
              <w:rPr>
                <w:rFonts w:ascii="Calibri" w:hAnsi="Calibri"/>
                <w:sz w:val="20"/>
              </w:rPr>
              <w:t>Open-source (pypi)</w:t>
            </w:r>
          </w:p>
        </w:tc>
      </w:tr>
      <w:tr>
        <w:tc>
          <w:tcPr>
            <w:tcW w:type="dxa" w:w="3120"/>
            <w:shd w:val="clear" w:color="auto" w:fill="FFFFFF"/>
          </w:tcPr>
          <w:p>
            <w:pPr>
              <w:spacing w:before="60" w:after="60"/>
            </w:pPr>
            <w:r>
              <w:rPr>
                <w:rFonts w:ascii="Calibri" w:hAnsi="Calibri"/>
                <w:sz w:val="20"/>
              </w:rPr>
              <w:t>Traefik</w:t>
            </w:r>
          </w:p>
        </w:tc>
        <w:tc>
          <w:tcPr>
            <w:tcW w:type="dxa" w:w="3120"/>
            <w:shd w:val="clear" w:color="auto" w:fill="FFFFFF"/>
          </w:tcPr>
          <w:p>
            <w:pPr>
              <w:spacing w:before="60" w:after="60"/>
            </w:pPr>
            <w:r>
              <w:rPr>
                <w:rFonts w:ascii="Calibri" w:hAnsi="Calibri"/>
                <w:sz w:val="20"/>
              </w:rPr>
              <w:t>Reverse proxy, TLS termination</w:t>
            </w:r>
          </w:p>
        </w:tc>
        <w:tc>
          <w:tcPr>
            <w:tcW w:type="dxa" w:w="3120"/>
            <w:shd w:val="clear" w:color="auto" w:fill="FFFFFF"/>
          </w:tcPr>
          <w:p>
            <w:pPr>
              <w:spacing w:before="60" w:after="60"/>
            </w:pPr>
            <w:r>
              <w:rPr>
                <w:rFonts w:ascii="Calibri" w:hAnsi="Calibri"/>
                <w:sz w:val="20"/>
              </w:rPr>
              <w:t>Open-source</w:t>
            </w:r>
          </w:p>
        </w:tc>
      </w:tr>
      <w:tr>
        <w:tc>
          <w:tcPr>
            <w:tcW w:type="dxa" w:w="3120"/>
            <w:shd w:val="clear" w:color="auto" w:fill="F2F2F2"/>
          </w:tcPr>
          <w:p>
            <w:pPr>
              <w:spacing w:before="60" w:after="60"/>
            </w:pPr>
            <w:r>
              <w:rPr>
                <w:rFonts w:ascii="Calibri" w:hAnsi="Calibri"/>
                <w:sz w:val="20"/>
              </w:rPr>
              <w:t>Docker + Linux</w:t>
            </w:r>
          </w:p>
        </w:tc>
        <w:tc>
          <w:tcPr>
            <w:tcW w:type="dxa" w:w="3120"/>
            <w:shd w:val="clear" w:color="auto" w:fill="F2F2F2"/>
          </w:tcPr>
          <w:p>
            <w:pPr>
              <w:spacing w:before="60" w:after="60"/>
            </w:pPr>
            <w:r>
              <w:rPr>
                <w:rFonts w:ascii="Calibri" w:hAnsi="Calibri"/>
                <w:sz w:val="20"/>
              </w:rPr>
              <w:t>Container runtime, process isolation</w:t>
            </w:r>
          </w:p>
        </w:tc>
        <w:tc>
          <w:tcPr>
            <w:tcW w:type="dxa" w:w="3120"/>
            <w:shd w:val="clear" w:color="auto" w:fill="F2F2F2"/>
          </w:tcPr>
          <w:p>
            <w:pPr>
              <w:spacing w:before="60" w:after="60"/>
            </w:pPr>
            <w:r>
              <w:rPr>
                <w:rFonts w:ascii="Calibri" w:hAnsi="Calibri"/>
                <w:sz w:val="20"/>
              </w:rPr>
              <w:t>Open-source</w:t>
            </w:r>
          </w:p>
        </w:tc>
      </w:tr>
    </w:tbl>
    <w:p/>
    <w:p>
      <w:pPr>
        <w:pStyle w:val="Heading3"/>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pPr>
      <w:r>
        <w:rPr>
          <w:rFonts w:ascii="Calibri" w:hAnsi="Calibri"/>
          <w:b/>
          <w:color w:val="2E74B5"/>
          <w:sz w:val="28"/>
        </w:rPr>
        <w:t>C.2. Security Architecture Details</w:t>
      </w:r>
    </w:p>
    <w:p>
      <w:pPr>
        <w:pStyle w:val="Heading3"/>
      </w:pPr>
      <w:r>
        <w:rPr>
          <w:rFonts w:ascii="Calibri" w:hAnsi="Calibri"/>
          <w:b/>
          <w:color w:val="4472C4"/>
          <w:sz w:val="24"/>
        </w:rPr>
        <w:t>C.2.1. Authentication for Certificate Enrollment</w:t>
      </w:r>
    </w:p>
    <w:p>
      <w:pPr>
        <w:pStyle w:val="Heading4"/>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pPr>
      <w:r>
        <w:rPr>
          <w:rFonts w:ascii="Calibri" w:hAnsi="Calibri"/>
          <w:b/>
          <w:color w:val="4472C4"/>
          <w:sz w:val="24"/>
        </w:rPr>
        <w:t>C.2.2. Key Generation, Storage, and Usage</w:t>
      </w:r>
    </w:p>
    <w:p>
      <w:pPr>
        <w:pStyle w:val="Heading4"/>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pPr>
      <w:r>
        <w:rPr>
          <w:rFonts w:ascii="Calibri" w:hAnsi="Calibri"/>
          <w:b/>
          <w:color w:val="4472C4"/>
          <w:sz w:val="24"/>
        </w:rPr>
        <w:t>C.2.3. Protections Against Claim Generator Misconfiguration and Abuse</w:t>
      </w:r>
    </w:p>
    <w:p>
      <w:pPr>
        <w:pStyle w:val="Heading4"/>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Pr>
          <w:p>
            <w:pPr>
              <w:spacing w:before="60" w:after="60"/>
            </w:pPr>
            <w:r>
              <w:rPr>
                <w:rFonts w:ascii="Calibri" w:hAnsi="Calibri"/>
                <w:b/>
                <w:color w:val="FFFFFF"/>
                <w:sz w:val="20"/>
              </w:rPr>
              <w:t>Dependency</w:t>
            </w:r>
          </w:p>
        </w:tc>
        <w:tc>
          <w:tcPr>
            <w:tcW w:type="dxa" w:w="3120"/>
            <w:shd w:val="clear" w:color="auto" w:fill="1F497D"/>
          </w:tcPr>
          <w:p>
            <w:pPr>
              <w:spacing w:before="60" w:after="60"/>
            </w:pPr>
            <w:r>
              <w:rPr>
                <w:rFonts w:ascii="Calibri" w:hAnsi="Calibri"/>
                <w:b/>
                <w:color w:val="FFFFFF"/>
                <w:sz w:val="20"/>
              </w:rPr>
              <w:t>Version</w:t>
            </w:r>
          </w:p>
        </w:tc>
        <w:tc>
          <w:tcPr>
            <w:tcW w:type="dxa" w:w="3120"/>
            <w:shd w:val="clear" w:color="auto" w:fill="1F497D"/>
          </w:tcPr>
          <w:p>
            <w:pPr>
              <w:spacing w:before="60" w:after="60"/>
            </w:pPr>
            <w:r>
              <w:rPr>
                <w:rFonts w:ascii="Calibri" w:hAnsi="Calibri"/>
                <w:b/>
                <w:color w:val="FFFFFF"/>
                <w:sz w:val="20"/>
              </w:rPr>
              <w:t>Role</w:t>
            </w:r>
          </w:p>
        </w:tc>
      </w:tr>
      <w:tr>
        <w:tc>
          <w:tcPr>
            <w:tcW w:type="dxa" w:w="3120"/>
            <w:shd w:val="clear" w:color="auto" w:fill="FFFFFF"/>
          </w:tcPr>
          <w:p>
            <w:pPr>
              <w:spacing w:before="60" w:after="60"/>
            </w:pPr>
            <w:r>
              <w:rPr>
                <w:rFonts w:ascii="Calibri" w:hAnsi="Calibri"/>
                <w:sz w:val="20"/>
              </w:rPr>
              <w:t>c2pa-python</w:t>
            </w:r>
          </w:p>
        </w:tc>
        <w:tc>
          <w:tcPr>
            <w:tcW w:type="dxa" w:w="3120"/>
            <w:shd w:val="clear" w:color="auto" w:fill="FFFFFF"/>
          </w:tcPr>
          <w:p>
            <w:pPr>
              <w:spacing w:before="60" w:after="60"/>
            </w:pPr>
            <w:r>
              <w:rPr>
                <w:rFonts w:ascii="Calibri" w:hAnsi="Calibri"/>
                <w:sz w:val="20"/>
              </w:rPr>
              <w:t>&gt;=0.6.0</w:t>
            </w:r>
          </w:p>
        </w:tc>
        <w:tc>
          <w:tcPr>
            <w:tcW w:type="dxa" w:w="3120"/>
            <w:shd w:val="clear" w:color="auto" w:fill="FFFFFF"/>
          </w:tcPr>
          <w:p>
            <w:pPr>
              <w:spacing w:before="60" w:after="60"/>
            </w:pPr>
            <w:r>
              <w:rPr>
                <w:rFonts w:ascii="Calibri" w:hAnsi="Calibri"/>
                <w:sz w:val="20"/>
              </w:rPr>
              <w:t>C2PA manifest building, signing, reading (wraps c2pa-rs compiled to native code via PyO3)</w:t>
            </w:r>
          </w:p>
        </w:tc>
      </w:tr>
      <w:tr>
        <w:tc>
          <w:tcPr>
            <w:tcW w:type="dxa" w:w="3120"/>
            <w:shd w:val="clear" w:color="auto" w:fill="F2F2F2"/>
          </w:tcPr>
          <w:p>
            <w:pPr>
              <w:spacing w:before="60" w:after="60"/>
            </w:pPr>
            <w:r>
              <w:rPr>
                <w:rFonts w:ascii="Calibri" w:hAnsi="Calibri"/>
                <w:sz w:val="20"/>
              </w:rPr>
              <w:t>cryptography</w:t>
            </w:r>
          </w:p>
        </w:tc>
        <w:tc>
          <w:tcPr>
            <w:tcW w:type="dxa" w:w="3120"/>
            <w:shd w:val="clear" w:color="auto" w:fill="F2F2F2"/>
          </w:tcPr>
          <w:p>
            <w:pPr>
              <w:spacing w:before="60" w:after="60"/>
            </w:pPr>
            <w:r>
              <w:rPr>
                <w:rFonts w:ascii="Calibri" w:hAnsi="Calibri"/>
                <w:sz w:val="20"/>
              </w:rPr>
              <w:t>&gt;=46.0.5</w:t>
            </w:r>
          </w:p>
        </w:tc>
        <w:tc>
          <w:tcPr>
            <w:tcW w:type="dxa" w:w="3120"/>
            <w:shd w:val="clear" w:color="auto" w:fill="F2F2F2"/>
          </w:tcPr>
          <w:p>
            <w:pPr>
              <w:spacing w:before="60" w:after="60"/>
            </w:pPr>
            <w:r>
              <w:rPr>
                <w:rFonts w:ascii="Calibri" w:hAnsi="Calibri"/>
                <w:sz w:val="20"/>
              </w:rPr>
              <w:t>Private key loading, ECDSA/RSA/EdDSA signing, X.509 certificate parsing, OCSP</w:t>
            </w:r>
          </w:p>
        </w:tc>
      </w:tr>
      <w:tr>
        <w:tc>
          <w:tcPr>
            <w:tcW w:type="dxa" w:w="3120"/>
            <w:shd w:val="clear" w:color="auto" w:fill="FFFFFF"/>
          </w:tcPr>
          <w:p>
            <w:pPr>
              <w:spacing w:before="60" w:after="60"/>
            </w:pPr>
            <w:r>
              <w:rPr>
                <w:rFonts w:ascii="Calibri" w:hAnsi="Calibri"/>
                <w:sz w:val="20"/>
              </w:rPr>
              <w:t>cbor2</w:t>
            </w:r>
          </w:p>
        </w:tc>
        <w:tc>
          <w:tcPr>
            <w:tcW w:type="dxa" w:w="3120"/>
            <w:shd w:val="clear" w:color="auto" w:fill="FFFFFF"/>
          </w:tcPr>
          <w:p>
            <w:pPr>
              <w:spacing w:before="60" w:after="60"/>
            </w:pPr>
            <w:r>
              <w:rPr>
                <w:rFonts w:ascii="Calibri" w:hAnsi="Calibri"/>
                <w:sz w:val="20"/>
              </w:rPr>
              <w:t>&gt;=5.8.0</w:t>
            </w:r>
          </w:p>
        </w:tc>
        <w:tc>
          <w:tcPr>
            <w:tcW w:type="dxa" w:w="3120"/>
            <w:shd w:val="clear" w:color="auto" w:fill="FFFFFF"/>
          </w:tcPr>
          <w:p>
            <w:pPr>
              <w:spacing w:before="60" w:after="60"/>
            </w:pPr>
            <w:r>
              <w:rPr>
                <w:rFonts w:ascii="Calibri" w:hAnsi="Calibri"/>
                <w:sz w:val="20"/>
              </w:rPr>
              <w:t>CBOR encoding/decoding for C2PA claims and assertions</w:t>
            </w:r>
          </w:p>
        </w:tc>
      </w:tr>
      <w:tr>
        <w:tc>
          <w:tcPr>
            <w:tcW w:type="dxa" w:w="3120"/>
            <w:shd w:val="clear" w:color="auto" w:fill="F2F2F2"/>
          </w:tcPr>
          <w:p>
            <w:pPr>
              <w:spacing w:before="60" w:after="60"/>
            </w:pPr>
            <w:r>
              <w:rPr>
                <w:rFonts w:ascii="Calibri" w:hAnsi="Calibri"/>
                <w:sz w:val="20"/>
              </w:rPr>
              <w:t>Pillow</w:t>
            </w:r>
          </w:p>
        </w:tc>
        <w:tc>
          <w:tcPr>
            <w:tcW w:type="dxa" w:w="3120"/>
            <w:shd w:val="clear" w:color="auto" w:fill="F2F2F2"/>
          </w:tcPr>
          <w:p>
            <w:pPr>
              <w:spacing w:before="60" w:after="60"/>
            </w:pPr>
            <w:r>
              <w:rPr>
                <w:rFonts w:ascii="Calibri" w:hAnsi="Calibri"/>
                <w:sz w:val="20"/>
              </w:rPr>
              <w:t>&gt;=12.1.1</w:t>
            </w:r>
          </w:p>
        </w:tc>
        <w:tc>
          <w:tcPr>
            <w:tcW w:type="dxa" w:w="3120"/>
            <w:shd w:val="clear" w:color="auto" w:fill="F2F2F2"/>
          </w:tcPr>
          <w:p>
            <w:pPr>
              <w:spacing w:before="60" w:after="60"/>
            </w:pPr>
            <w:r>
              <w:rPr>
                <w:rFonts w:ascii="Calibri" w:hAnsi="Calibri"/>
                <w:sz w:val="20"/>
              </w:rPr>
              <w:t>Image decoding, EXIF stripping, format conversion</w:t>
            </w:r>
          </w:p>
        </w:tc>
      </w:tr>
      <w:tr>
        <w:tc>
          <w:tcPr>
            <w:tcW w:type="dxa" w:w="3120"/>
            <w:shd w:val="clear" w:color="auto" w:fill="FFFFFF"/>
          </w:tcPr>
          <w:p>
            <w:pPr>
              <w:spacing w:before="60" w:after="60"/>
            </w:pPr>
            <w:r>
              <w:rPr>
                <w:rFonts w:ascii="Calibri" w:hAnsi="Calibri"/>
                <w:sz w:val="20"/>
              </w:rPr>
              <w:t>pillow-heif</w:t>
            </w:r>
          </w:p>
        </w:tc>
        <w:tc>
          <w:tcPr>
            <w:tcW w:type="dxa" w:w="3120"/>
            <w:shd w:val="clear" w:color="auto" w:fill="FFFFFF"/>
          </w:tcPr>
          <w:p>
            <w:pPr>
              <w:spacing w:before="60" w:after="60"/>
            </w:pPr>
            <w:r>
              <w:rPr>
                <w:rFonts w:ascii="Calibri" w:hAnsi="Calibri"/>
                <w:sz w:val="20"/>
              </w:rPr>
              <w:t>&gt;=0.18.0</w:t>
            </w:r>
          </w:p>
        </w:tc>
        <w:tc>
          <w:tcPr>
            <w:tcW w:type="dxa" w:w="3120"/>
            <w:shd w:val="clear" w:color="auto" w:fill="FFFFFF"/>
          </w:tcPr>
          <w:p>
            <w:pPr>
              <w:spacing w:before="60" w:after="60"/>
            </w:pPr>
            <w:r>
              <w:rPr>
                <w:rFonts w:ascii="Calibri" w:hAnsi="Calibri"/>
                <w:sz w:val="20"/>
              </w:rPr>
              <w:t>HEIC/HEIF image format support</w:t>
            </w:r>
          </w:p>
        </w:tc>
      </w:tr>
      <w:tr>
        <w:tc>
          <w:tcPr>
            <w:tcW w:type="dxa" w:w="3120"/>
            <w:shd w:val="clear" w:color="auto" w:fill="F2F2F2"/>
          </w:tcPr>
          <w:p>
            <w:pPr>
              <w:spacing w:before="60" w:after="60"/>
            </w:pPr>
            <w:r>
              <w:rPr>
                <w:rFonts w:ascii="Calibri" w:hAnsi="Calibri"/>
                <w:sz w:val="20"/>
              </w:rPr>
              <w:t>piexif</w:t>
            </w:r>
          </w:p>
        </w:tc>
        <w:tc>
          <w:tcPr>
            <w:tcW w:type="dxa" w:w="3120"/>
            <w:shd w:val="clear" w:color="auto" w:fill="F2F2F2"/>
          </w:tcPr>
          <w:p>
            <w:pPr>
              <w:spacing w:before="60" w:after="60"/>
            </w:pPr>
            <w:r>
              <w:rPr>
                <w:rFonts w:ascii="Calibri" w:hAnsi="Calibri"/>
                <w:sz w:val="20"/>
              </w:rPr>
              <w:t>&gt;=1.1.3</w:t>
            </w:r>
          </w:p>
        </w:tc>
        <w:tc>
          <w:tcPr>
            <w:tcW w:type="dxa" w:w="3120"/>
            <w:shd w:val="clear" w:color="auto" w:fill="F2F2F2"/>
          </w:tcPr>
          <w:p>
            <w:pPr>
              <w:spacing w:before="60" w:after="60"/>
            </w:pPr>
            <w:r>
              <w:rPr>
                <w:rFonts w:ascii="Calibri" w:hAnsi="Calibri"/>
                <w:sz w:val="20"/>
              </w:rPr>
              <w:t>EXIF metadata extraction and removal</w:t>
            </w:r>
          </w:p>
        </w:tc>
      </w:tr>
      <w:tr>
        <w:tc>
          <w:tcPr>
            <w:tcW w:type="dxa" w:w="3120"/>
            <w:shd w:val="clear" w:color="auto" w:fill="FFFFFF"/>
          </w:tcPr>
          <w:p>
            <w:pPr>
              <w:spacing w:before="60" w:after="60"/>
            </w:pPr>
            <w:r>
              <w:rPr>
                <w:rFonts w:ascii="Calibri" w:hAnsi="Calibri"/>
                <w:sz w:val="20"/>
              </w:rPr>
              <w:t>pypdf</w:t>
            </w:r>
          </w:p>
        </w:tc>
        <w:tc>
          <w:tcPr>
            <w:tcW w:type="dxa" w:w="3120"/>
            <w:shd w:val="clear" w:color="auto" w:fill="FFFFFF"/>
          </w:tcPr>
          <w:p>
            <w:pPr>
              <w:spacing w:before="60" w:after="60"/>
            </w:pPr>
            <w:r>
              <w:rPr>
                <w:rFonts w:ascii="Calibri" w:hAnsi="Calibri"/>
                <w:sz w:val="20"/>
              </w:rPr>
              <w:t>&gt;=6.7.5</w:t>
            </w:r>
          </w:p>
        </w:tc>
        <w:tc>
          <w:tcPr>
            <w:tcW w:type="dxa" w:w="3120"/>
            <w:shd w:val="clear" w:color="auto" w:fill="FFFFFF"/>
          </w:tcPr>
          <w:p>
            <w:pPr>
              <w:spacing w:before="60" w:after="60"/>
            </w:pPr>
            <w:r>
              <w:rPr>
                <w:rFonts w:ascii="Calibri" w:hAnsi="Calibri"/>
                <w:sz w:val="20"/>
              </w:rPr>
              <w:t>PDF parsing for C2PA manifest embedding</w:t>
            </w:r>
          </w:p>
        </w:tc>
      </w:tr>
      <w:t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pPr>
      <w:r>
        <w:rPr>
          <w:rFonts w:ascii="Calibri" w:hAnsi="Calibri"/>
          <w:b/>
          <w:color w:val="4472C4"/>
          <w:sz w:val="24"/>
        </w:rPr>
        <w:t>C.2.5. Protections Against Interception and/or Modification of Traffic</w:t>
      </w:r>
    </w:p>
    <w:p>
      <w:pPr>
        <w:pStyle w:val="Heading4"/>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Pr>
          <w:p>
            <w:pPr>
              <w:spacing w:before="60" w:after="60"/>
            </w:pPr>
            <w:r>
              <w:rPr>
                <w:rFonts w:ascii="Calibri" w:hAnsi="Calibri"/>
                <w:b/>
                <w:color w:val="FFFFFF"/>
                <w:sz w:val="20"/>
              </w:rPr>
              <w:t>Resource</w:t>
            </w:r>
          </w:p>
        </w:tc>
        <w:tc>
          <w:tcPr>
            <w:tcW w:type="dxa" w:w="3120"/>
            <w:shd w:val="clear" w:color="auto" w:fill="1F497D"/>
          </w:tcPr>
          <w:p>
            <w:pPr>
              <w:spacing w:before="60" w:after="60"/>
            </w:pPr>
            <w:r>
              <w:rPr>
                <w:rFonts w:ascii="Calibri" w:hAnsi="Calibri"/>
                <w:b/>
                <w:color w:val="FFFFFF"/>
                <w:sz w:val="20"/>
              </w:rPr>
              <w:t>Access Control</w:t>
            </w:r>
          </w:p>
        </w:tc>
        <w:tc>
          <w:tcPr>
            <w:tcW w:type="dxa" w:w="3120"/>
            <w:shd w:val="clear" w:color="auto" w:fill="1F497D"/>
          </w:tcPr>
          <w:p>
            <w:pPr>
              <w:spacing w:before="60" w:after="60"/>
            </w:pPr>
            <w:r>
              <w:rPr>
                <w:rFonts w:ascii="Calibri" w:hAnsi="Calibri"/>
                <w:b/>
                <w:color w:val="FFFFFF"/>
                <w:sz w:val="20"/>
              </w:rPr>
              <w:t>Principals</w:t>
            </w:r>
          </w:p>
        </w:tc>
      </w:tr>
      <w:tr>
        <w:tc>
          <w:tcPr>
            <w:tcW w:type="dxa" w:w="3120"/>
            <w:shd w:val="clear" w:color="auto" w:fill="FFFFFF"/>
          </w:tcPr>
          <w:p>
            <w:pPr>
              <w:spacing w:before="60" w:after="60"/>
            </w:pPr>
            <w:r>
              <w:rPr>
                <w:rFonts w:ascii="Calibri" w:hAnsi="Calibri"/>
                <w:sz w:val="20"/>
              </w:rPr>
              <w:t>Compute (containers)</w:t>
            </w:r>
          </w:p>
        </w:tc>
        <w:tc>
          <w:tcPr>
            <w:tcW w:type="dxa" w:w="3120"/>
            <w:shd w:val="clear" w:color="auto" w:fill="FFFFFF"/>
          </w:tcPr>
          <w:p>
            <w:pPr>
              <w:spacing w:before="60" w:after="60"/>
            </w:pPr>
            <w:r>
              <w:rPr>
                <w:rFonts w:ascii="Calibri" w:hAnsi="Calibri"/>
                <w:sz w:val="20"/>
              </w:rPr>
              <w:t>Railway project membership + role</w:t>
            </w:r>
          </w:p>
        </w:tc>
        <w:tc>
          <w:tcPr>
            <w:tcW w:type="dxa" w:w="3120"/>
            <w:shd w:val="clear" w:color="auto" w:fill="FFFFFF"/>
          </w:tcPr>
          <w:p>
            <w:pPr>
              <w:spacing w:before="60" w:after="60"/>
            </w:pPr>
            <w:r>
              <w:rPr>
                <w:rFonts w:ascii="Calibri" w:hAnsi="Calibri"/>
                <w:sz w:val="20"/>
              </w:rPr>
              <w:t>Owner, Admin roles can deploy; Member role is read-only</w:t>
            </w:r>
          </w:p>
        </w:tc>
      </w:tr>
      <w:tr>
        <w:tc>
          <w:tcPr>
            <w:tcW w:type="dxa" w:w="3120"/>
            <w:shd w:val="clear" w:color="auto" w:fill="F2F2F2"/>
          </w:tcPr>
          <w:p>
            <w:pPr>
              <w:spacing w:before="60" w:after="60"/>
            </w:pPr>
            <w:r>
              <w:rPr>
                <w:rFonts w:ascii="Calibri" w:hAnsi="Calibri"/>
                <w:sz w:val="20"/>
              </w:rPr>
              <w:t>Environment variables (signing keys, secrets)</w:t>
            </w:r>
          </w:p>
        </w:tc>
        <w:tc>
          <w:tcPr>
            <w:tcW w:type="dxa" w:w="3120"/>
            <w:shd w:val="clear" w:color="auto" w:fill="F2F2F2"/>
          </w:tcPr>
          <w:p>
            <w:pPr>
              <w:spacing w:before="60" w:after="60"/>
            </w:pPr>
            <w:r>
              <w:rPr>
                <w:rFonts w:ascii="Calibri" w:hAnsi="Calibri"/>
                <w:sz w:val="20"/>
              </w:rPr>
              <w:t>Railway project-level, role-gated</w:t>
            </w:r>
          </w:p>
        </w:tc>
        <w:tc>
          <w:tcPr>
            <w:tcW w:type="dxa" w:w="3120"/>
            <w:shd w:val="clear" w:color="auto" w:fill="F2F2F2"/>
          </w:tcPr>
          <w:p>
            <w:pPr>
              <w:spacing w:before="60" w:after="60"/>
            </w:pPr>
            <w:r>
              <w:rPr>
                <w:rFonts w:ascii="Calibri" w:hAnsi="Calibri"/>
                <w:sz w:val="20"/>
              </w:rPr>
              <w:t>Owner and Admin roles only; Members cannot view or edit</w:t>
            </w:r>
          </w:p>
        </w:tc>
      </w:tr>
      <w:tr>
        <w:tc>
          <w:tcPr>
            <w:tcW w:type="dxa" w:w="3120"/>
            <w:shd w:val="clear" w:color="auto" w:fill="FFFFFF"/>
          </w:tcPr>
          <w:p>
            <w:pPr>
              <w:spacing w:before="60" w:after="60"/>
            </w:pPr>
            <w:r>
              <w:rPr>
                <w:rFonts w:ascii="Calibri" w:hAnsi="Calibri"/>
                <w:sz w:val="20"/>
              </w:rPr>
              <w:t>PostgreSQL databases</w:t>
            </w:r>
          </w:p>
        </w:tc>
        <w:tc>
          <w:tcPr>
            <w:tcW w:type="dxa" w:w="3120"/>
            <w:shd w:val="clear" w:color="auto" w:fill="FFFFFF"/>
          </w:tcPr>
          <w:p>
            <w:pPr>
              <w:spacing w:before="60" w:after="60"/>
            </w:pPr>
            <w:r>
              <w:rPr>
                <w:rFonts w:ascii="Calibri" w:hAnsi="Calibri"/>
                <w:sz w:val="20"/>
              </w:rPr>
              <w:t>Railway-managed, connection string in env vars</w:t>
            </w:r>
          </w:p>
        </w:tc>
        <w:tc>
          <w:tcPr>
            <w:tcW w:type="dxa" w:w="3120"/>
            <w:shd w:val="clear" w:color="auto" w:fill="FFFFFF"/>
          </w:tcPr>
          <w:p>
            <w:pPr>
              <w:spacing w:before="60" w:after="60"/>
            </w:pPr>
            <w:r>
              <w:rPr>
                <w:rFonts w:ascii="Calibri" w:hAnsi="Calibri"/>
                <w:sz w:val="20"/>
              </w:rPr>
              <w:t>Application container (via DATABASE_URL); Owner/Admin via Railway CLI</w:t>
            </w:r>
          </w:p>
        </w:tc>
      </w:tr>
      <w:tr>
        <w:tc>
          <w:tcPr>
            <w:tcW w:type="dxa" w:w="3120"/>
            <w:shd w:val="clear" w:color="auto" w:fill="F2F2F2"/>
          </w:tcPr>
          <w:p>
            <w:pPr>
              <w:spacing w:before="60" w:after="60"/>
            </w:pPr>
            <w:r>
              <w:rPr>
                <w:rFonts w:ascii="Calibri" w:hAnsi="Calibri"/>
                <w:sz w:val="20"/>
              </w:rPr>
              <w:t>Redis</w:t>
            </w:r>
          </w:p>
        </w:tc>
        <w:tc>
          <w:tcPr>
            <w:tcW w:type="dxa" w:w="3120"/>
            <w:shd w:val="clear" w:color="auto" w:fill="F2F2F2"/>
          </w:tcPr>
          <w:p>
            <w:pPr>
              <w:spacing w:before="60" w:after="60"/>
            </w:pPr>
            <w:r>
              <w:rPr>
                <w:rFonts w:ascii="Calibri" w:hAnsi="Calibri"/>
                <w:sz w:val="20"/>
              </w:rPr>
              <w:t>Railway-managed, connection string in env vars</w:t>
            </w:r>
          </w:p>
        </w:tc>
        <w:tc>
          <w:tcPr>
            <w:tcW w:type="dxa" w:w="3120"/>
            <w:shd w:val="clear" w:color="auto" w:fill="F2F2F2"/>
          </w:tcPr>
          <w:p>
            <w:pPr>
              <w:spacing w:before="60" w:after="60"/>
            </w:pPr>
            <w:r>
              <w:rPr>
                <w:rFonts w:ascii="Calibri" w:hAnsi="Calibri"/>
                <w:sz w:val="20"/>
              </w:rPr>
              <w:t>Application container (via REDIS_URL); Owner/Admin via Railway CLI</w:t>
            </w:r>
          </w:p>
        </w:tc>
      </w:tr>
      <w:tr>
        <w:tc>
          <w:tcPr>
            <w:tcW w:type="dxa" w:w="3120"/>
            <w:shd w:val="clear" w:color="auto" w:fill="FFFFFF"/>
          </w:tcPr>
          <w:p>
            <w:pPr>
              <w:spacing w:before="60" w:after="60"/>
            </w:pPr>
            <w:r>
              <w:rPr>
                <w:rFonts w:ascii="Calibri" w:hAnsi="Calibri"/>
                <w:sz w:val="20"/>
              </w:rPr>
              <w:t>Application logs</w:t>
            </w:r>
          </w:p>
        </w:tc>
        <w:tc>
          <w:tcPr>
            <w:tcW w:type="dxa" w:w="3120"/>
            <w:shd w:val="clear" w:color="auto" w:fill="FFFFFF"/>
          </w:tcPr>
          <w:p>
            <w:pPr>
              <w:spacing w:before="60" w:after="60"/>
            </w:pPr>
            <w:r>
              <w:rPr>
                <w:rFonts w:ascii="Calibri" w:hAnsi="Calibri"/>
                <w:sz w:val="20"/>
              </w:rPr>
              <w:t>Railway dashboard</w:t>
            </w:r>
          </w:p>
        </w:tc>
        <w:tc>
          <w:tcPr>
            <w:tcW w:type="dxa" w:w="3120"/>
            <w:shd w:val="clear" w:color="auto" w:fill="FFFFFF"/>
          </w:tcPr>
          <w:p>
            <w:pPr>
              <w:spacing w:before="60" w:after="60"/>
            </w:pPr>
            <w:r>
              <w:rPr>
                <w:rFonts w:ascii="Calibri" w:hAnsi="Calibri"/>
                <w:sz w:val="20"/>
              </w:rPr>
              <w:t>All team members (Owner, Admin, Member)</w:t>
            </w:r>
          </w:p>
        </w:tc>
      </w:tr>
      <w:tr>
        <w:tc>
          <w:tcPr>
            <w:tcW w:type="dxa" w:w="3120"/>
            <w:shd w:val="clear" w:color="auto" w:fill="F2F2F2"/>
          </w:tcPr>
          <w:p>
            <w:pPr>
              <w:spacing w:before="60" w:after="60"/>
            </w:pPr>
            <w:r>
              <w:rPr>
                <w:rFonts w:ascii="Calibri" w:hAnsi="Calibri"/>
                <w:sz w:val="20"/>
              </w:rPr>
              <w:t>Deployment controls</w:t>
            </w:r>
          </w:p>
        </w:tc>
        <w:tc>
          <w:tcPr>
            <w:tcW w:type="dxa" w:w="3120"/>
            <w:shd w:val="clear" w:color="auto" w:fill="F2F2F2"/>
          </w:tcPr>
          <w:p>
            <w:pPr>
              <w:spacing w:before="60" w:after="60"/>
            </w:pPr>
            <w:r>
              <w:rPr>
                <w:rFonts w:ascii="Calibri" w:hAnsi="Calibri"/>
                <w:sz w:val="20"/>
              </w:rPr>
              <w:t>Railway dashboard/CLI</w:t>
            </w:r>
          </w:p>
        </w:tc>
        <w:tc>
          <w:tcPr>
            <w:tcW w:type="dxa" w:w="3120"/>
            <w:shd w:val="clear" w:color="auto" w:fill="F2F2F2"/>
          </w:tcPr>
          <w:p>
            <w:pPr>
              <w:spacing w:before="60" w:after="60"/>
            </w:pPr>
            <w:r>
              <w:rPr>
                <w:rFonts w:ascii="Calibri" w:hAnsi="Calibri"/>
                <w:sz w:val="20"/>
              </w:rPr>
              <w:t>Owner and Admin roles only</w:t>
            </w:r>
          </w:p>
        </w:tc>
      </w:tr>
      <w:t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Purpose</w:t>
            </w:r>
          </w:p>
        </w:tc>
        <w:tc>
          <w:tcPr>
            <w:tcW w:type="dxa" w:w="2340"/>
            <w:shd w:val="clear" w:color="auto" w:fill="1F497D"/>
          </w:tcPr>
          <w:p>
            <w:pPr>
              <w:spacing w:before="60" w:after="60"/>
            </w:pPr>
            <w:r>
              <w:rPr>
                <w:rFonts w:ascii="Calibri" w:hAnsi="Calibri"/>
                <w:b/>
                <w:color w:val="FFFFFF"/>
                <w:sz w:val="20"/>
              </w:rPr>
              <w:t>Algorithm</w:t>
            </w:r>
          </w:p>
        </w:tc>
        <w:tc>
          <w:tcPr>
            <w:tcW w:type="dxa" w:w="2340"/>
            <w:shd w:val="clear" w:color="auto" w:fill="1F497D"/>
          </w:tcPr>
          <w:p>
            <w:pPr>
              <w:spacing w:before="60" w:after="60"/>
            </w:pPr>
            <w:r>
              <w:rPr>
                <w:rFonts w:ascii="Calibri" w:hAnsi="Calibri"/>
                <w:b/>
                <w:color w:val="FFFFFF"/>
                <w:sz w:val="20"/>
              </w:rPr>
              <w:t>Key Size</w:t>
            </w:r>
          </w:p>
        </w:tc>
        <w:tc>
          <w:tcPr>
            <w:tcW w:type="dxa" w:w="2340"/>
            <w:shd w:val="clear" w:color="auto" w:fill="1F497D"/>
          </w:tcPr>
          <w:p>
            <w:pPr>
              <w:spacing w:before="60" w:after="60"/>
            </w:pPr>
            <w:r>
              <w:rPr>
                <w:rFonts w:ascii="Calibri" w:hAnsi="Calibri"/>
                <w:b/>
                <w:color w:val="FFFFFF"/>
                <w:sz w:val="20"/>
              </w:rPr>
              <w:t>Standard</w:t>
            </w:r>
          </w:p>
        </w:tc>
      </w:tr>
      <w:tr>
        <w:tc>
          <w:tcPr>
            <w:tcW w:type="dxa" w:w="2340"/>
            <w:shd w:val="clear" w:color="auto" w:fill="FFFFFF"/>
          </w:tcPr>
          <w:p>
            <w:pPr>
              <w:spacing w:before="60" w:after="60"/>
            </w:pPr>
            <w:r>
              <w:rPr>
                <w:rFonts w:ascii="Calibri" w:hAnsi="Calibri"/>
                <w:sz w:val="20"/>
              </w:rPr>
              <w:t>Claim signing (primary)</w:t>
            </w:r>
          </w:p>
        </w:tc>
        <w:tc>
          <w:tcPr>
            <w:tcW w:type="dxa" w:w="2340"/>
            <w:shd w:val="clear" w:color="auto" w:fill="FFFFFF"/>
          </w:tcPr>
          <w:p>
            <w:pPr>
              <w:spacing w:before="60" w:after="60"/>
            </w:pPr>
            <w:r>
              <w:rPr>
                <w:rFonts w:ascii="Calibri" w:hAnsi="Calibri"/>
                <w:sz w:val="20"/>
              </w:rPr>
              <w:t>ECDSA (ES256)</w:t>
            </w:r>
          </w:p>
        </w:tc>
        <w:tc>
          <w:tcPr>
            <w:tcW w:type="dxa" w:w="2340"/>
            <w:shd w:val="clear" w:color="auto" w:fill="FFFFFF"/>
          </w:tcPr>
          <w:p>
            <w:pPr>
              <w:spacing w:before="60" w:after="60"/>
            </w:pPr>
            <w:r>
              <w:rPr>
                <w:rFonts w:ascii="Calibri" w:hAnsi="Calibri"/>
                <w:sz w:val="20"/>
              </w:rPr>
              <w:t>P-256 (256-bit)</w:t>
            </w:r>
          </w:p>
        </w:tc>
        <w:tc>
          <w:tcPr>
            <w:tcW w:type="dxa" w:w="2340"/>
            <w:shd w:val="clear" w:color="auto" w:fill="FFFFFF"/>
          </w:tcPr>
          <w:p>
            <w:pPr>
              <w:spacing w:before="60" w:after="60"/>
            </w:pPr>
            <w:r>
              <w:rPr>
                <w:rFonts w:ascii="Calibri" w:hAnsi="Calibri"/>
                <w:sz w:val="20"/>
              </w:rPr>
              <w:t>FIPS 186-5, RFC 7518</w:t>
            </w:r>
          </w:p>
        </w:tc>
      </w:tr>
      <w:tr>
        <w:tc>
          <w:tcPr>
            <w:tcW w:type="dxa" w:w="2340"/>
            <w:shd w:val="clear" w:color="auto" w:fill="F2F2F2"/>
          </w:tcPr>
          <w:p>
            <w:pPr>
              <w:spacing w:before="60" w:after="60"/>
            </w:pPr>
            <w:r>
              <w:rPr>
                <w:rFonts w:ascii="Calibri" w:hAnsi="Calibri"/>
                <w:sz w:val="20"/>
              </w:rPr>
              <w:t>Claim signing (supported)</w:t>
            </w:r>
          </w:p>
        </w:tc>
        <w:tc>
          <w:tcPr>
            <w:tcW w:type="dxa" w:w="2340"/>
            <w:shd w:val="clear" w:color="auto" w:fill="F2F2F2"/>
          </w:tcPr>
          <w:p>
            <w:pPr>
              <w:spacing w:before="60" w:after="60"/>
            </w:pPr>
            <w:r>
              <w:rPr>
                <w:rFonts w:ascii="Calibri" w:hAnsi="Calibri"/>
                <w:sz w:val="20"/>
              </w:rPr>
              <w:t>ECDSA (ES384)</w:t>
            </w:r>
          </w:p>
        </w:tc>
        <w:tc>
          <w:tcPr>
            <w:tcW w:type="dxa" w:w="2340"/>
            <w:shd w:val="clear" w:color="auto" w:fill="F2F2F2"/>
          </w:tcPr>
          <w:p>
            <w:pPr>
              <w:spacing w:before="60" w:after="60"/>
            </w:pPr>
            <w:r>
              <w:rPr>
                <w:rFonts w:ascii="Calibri" w:hAnsi="Calibri"/>
                <w:sz w:val="20"/>
              </w:rPr>
              <w:t>P-384 (384-bit)</w:t>
            </w:r>
          </w:p>
        </w:tc>
        <w:tc>
          <w:tcPr>
            <w:tcW w:type="dxa" w:w="2340"/>
            <w:shd w:val="clear" w:color="auto" w:fill="F2F2F2"/>
          </w:tcPr>
          <w:p>
            <w:pPr>
              <w:spacing w:before="60" w:after="60"/>
            </w:pPr>
            <w:r>
              <w:rPr>
                <w:rFonts w:ascii="Calibri" w:hAnsi="Calibri"/>
                <w:sz w:val="20"/>
              </w:rPr>
              <w:t>FIPS 186-5, RFC 7518</w:t>
            </w:r>
          </w:p>
        </w:tc>
      </w:tr>
      <w:tr>
        <w:tc>
          <w:tcPr>
            <w:tcW w:type="dxa" w:w="2340"/>
            <w:shd w:val="clear" w:color="auto" w:fill="FFFFFF"/>
          </w:tcPr>
          <w:p>
            <w:pPr>
              <w:spacing w:before="60" w:after="60"/>
            </w:pPr>
            <w:r>
              <w:rPr>
                <w:rFonts w:ascii="Calibri" w:hAnsi="Calibri"/>
                <w:sz w:val="20"/>
              </w:rPr>
              <w:t>Claim signing (supported)</w:t>
            </w:r>
          </w:p>
        </w:tc>
        <w:tc>
          <w:tcPr>
            <w:tcW w:type="dxa" w:w="2340"/>
            <w:shd w:val="clear" w:color="auto" w:fill="FFFFFF"/>
          </w:tcPr>
          <w:p>
            <w:pPr>
              <w:spacing w:before="60" w:after="60"/>
            </w:pPr>
            <w:r>
              <w:rPr>
                <w:rFonts w:ascii="Calibri" w:hAnsi="Calibri"/>
                <w:sz w:val="20"/>
              </w:rPr>
              <w:t>ECDSA (ES512)</w:t>
            </w:r>
          </w:p>
        </w:tc>
        <w:tc>
          <w:tcPr>
            <w:tcW w:type="dxa" w:w="2340"/>
            <w:shd w:val="clear" w:color="auto" w:fill="FFFFFF"/>
          </w:tcPr>
          <w:p>
            <w:pPr>
              <w:spacing w:before="60" w:after="60"/>
            </w:pPr>
            <w:r>
              <w:rPr>
                <w:rFonts w:ascii="Calibri" w:hAnsi="Calibri"/>
                <w:sz w:val="20"/>
              </w:rPr>
              <w:t>P-521 (521-bit)</w:t>
            </w:r>
          </w:p>
        </w:tc>
        <w:tc>
          <w:tcPr>
            <w:tcW w:type="dxa" w:w="2340"/>
            <w:shd w:val="clear" w:color="auto" w:fill="FFFFFF"/>
          </w:tcPr>
          <w:p>
            <w:pPr>
              <w:spacing w:before="60" w:after="60"/>
            </w:pPr>
            <w:r>
              <w:rPr>
                <w:rFonts w:ascii="Calibri" w:hAnsi="Calibri"/>
                <w:sz w:val="20"/>
              </w:rPr>
              <w:t>FIPS 186-5, RFC 7518</w:t>
            </w:r>
          </w:p>
        </w:tc>
      </w:tr>
      <w:tr>
        <w:tc>
          <w:tcPr>
            <w:tcW w:type="dxa" w:w="2340"/>
            <w:shd w:val="clear" w:color="auto" w:fill="F2F2F2"/>
          </w:tcPr>
          <w:p>
            <w:pPr>
              <w:spacing w:before="60" w:after="60"/>
            </w:pPr>
            <w:r>
              <w:rPr>
                <w:rFonts w:ascii="Calibri" w:hAnsi="Calibri"/>
                <w:sz w:val="20"/>
              </w:rPr>
              <w:t>Claim signing (supported)</w:t>
            </w:r>
          </w:p>
        </w:tc>
        <w:tc>
          <w:tcPr>
            <w:tcW w:type="dxa" w:w="2340"/>
            <w:shd w:val="clear" w:color="auto" w:fill="F2F2F2"/>
          </w:tcPr>
          <w:p>
            <w:pPr>
              <w:spacing w:before="60" w:after="60"/>
            </w:pPr>
            <w:r>
              <w:rPr>
                <w:rFonts w:ascii="Calibri" w:hAnsi="Calibri"/>
                <w:sz w:val="20"/>
              </w:rPr>
              <w:t>RSASSA-PSS (PS256)</w:t>
            </w:r>
          </w:p>
        </w:tc>
        <w:tc>
          <w:tcPr>
            <w:tcW w:type="dxa" w:w="2340"/>
            <w:shd w:val="clear" w:color="auto" w:fill="F2F2F2"/>
          </w:tcPr>
          <w:p>
            <w:pPr>
              <w:spacing w:before="60" w:after="60"/>
            </w:pPr>
            <w:r>
              <w:rPr>
                <w:rFonts w:ascii="Calibri" w:hAnsi="Calibri"/>
                <w:sz w:val="20"/>
              </w:rPr>
              <w:t>&gt;= 2048-bit</w:t>
            </w:r>
          </w:p>
        </w:tc>
        <w:tc>
          <w:tcPr>
            <w:tcW w:type="dxa" w:w="2340"/>
            <w:shd w:val="clear" w:color="auto" w:fill="F2F2F2"/>
          </w:tcPr>
          <w:p>
            <w:pPr>
              <w:spacing w:before="60" w:after="60"/>
            </w:pPr>
            <w:r>
              <w:rPr>
                <w:rFonts w:ascii="Calibri" w:hAnsi="Calibri"/>
                <w:sz w:val="20"/>
              </w:rPr>
              <w:t>FIPS 186-5, RFC 7518</w:t>
            </w:r>
          </w:p>
        </w:tc>
      </w:tr>
      <w:tr>
        <w:tc>
          <w:tcPr>
            <w:tcW w:type="dxa" w:w="2340"/>
            <w:shd w:val="clear" w:color="auto" w:fill="FFFFFF"/>
          </w:tcPr>
          <w:p>
            <w:pPr>
              <w:spacing w:before="60" w:after="60"/>
            </w:pPr>
            <w:r>
              <w:rPr>
                <w:rFonts w:ascii="Calibri" w:hAnsi="Calibri"/>
                <w:sz w:val="20"/>
              </w:rPr>
              <w:t>Claim signing (supported)</w:t>
            </w:r>
          </w:p>
        </w:tc>
        <w:tc>
          <w:tcPr>
            <w:tcW w:type="dxa" w:w="2340"/>
            <w:shd w:val="clear" w:color="auto" w:fill="FFFFFF"/>
          </w:tcPr>
          <w:p>
            <w:pPr>
              <w:spacing w:before="60" w:after="60"/>
            </w:pPr>
            <w:r>
              <w:rPr>
                <w:rFonts w:ascii="Calibri" w:hAnsi="Calibri"/>
                <w:sz w:val="20"/>
              </w:rPr>
              <w:t>EdDSA (Ed25519)</w:t>
            </w:r>
          </w:p>
        </w:tc>
        <w:tc>
          <w:tcPr>
            <w:tcW w:type="dxa" w:w="2340"/>
            <w:shd w:val="clear" w:color="auto" w:fill="FFFFFF"/>
          </w:tcPr>
          <w:p>
            <w:pPr>
              <w:spacing w:before="60" w:after="60"/>
            </w:pPr>
            <w:r>
              <w:rPr>
                <w:rFonts w:ascii="Calibri" w:hAnsi="Calibri"/>
                <w:sz w:val="20"/>
              </w:rPr>
              <w:t>256-bit</w:t>
            </w:r>
          </w:p>
        </w:tc>
        <w:tc>
          <w:tcPr>
            <w:tcW w:type="dxa" w:w="2340"/>
            <w:shd w:val="clear" w:color="auto" w:fill="FFFFFF"/>
          </w:tcPr>
          <w:p>
            <w:pPr>
              <w:spacing w:before="60" w:after="60"/>
            </w:pPr>
            <w:r>
              <w:rPr>
                <w:rFonts w:ascii="Calibri" w:hAnsi="Calibri"/>
                <w:sz w:val="20"/>
              </w:rPr>
              <w:t>RFC 8032</w:t>
            </w:r>
          </w:p>
        </w:tc>
      </w:tr>
      <w:tr>
        <w:tc>
          <w:tcPr>
            <w:tcW w:type="dxa" w:w="2340"/>
            <w:shd w:val="clear" w:color="auto" w:fill="F2F2F2"/>
          </w:tcPr>
          <w:p>
            <w:pPr>
              <w:spacing w:before="60" w:after="60"/>
            </w:pPr>
            <w:r>
              <w:rPr>
                <w:rFonts w:ascii="Calibri" w:hAnsi="Calibri"/>
                <w:sz w:val="20"/>
              </w:rPr>
              <w:t>Content hashing</w:t>
            </w:r>
          </w:p>
        </w:tc>
        <w:tc>
          <w:tcPr>
            <w:tcW w:type="dxa" w:w="2340"/>
            <w:shd w:val="clear" w:color="auto" w:fill="F2F2F2"/>
          </w:tcPr>
          <w:p>
            <w:pPr>
              <w:spacing w:before="60" w:after="60"/>
            </w:pPr>
            <w:r>
              <w:rPr>
                <w:rFonts w:ascii="Calibri" w:hAnsi="Calibri"/>
                <w:sz w:val="20"/>
              </w:rPr>
              <w:t>SHA-256</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FIPS 180-4</w:t>
            </w:r>
          </w:p>
        </w:tc>
      </w:tr>
      <w:tr>
        <w:tc>
          <w:tcPr>
            <w:tcW w:type="dxa" w:w="2340"/>
            <w:shd w:val="clear" w:color="auto" w:fill="FFFFFF"/>
          </w:tcPr>
          <w:p>
            <w:pPr>
              <w:spacing w:before="60" w:after="60"/>
            </w:pPr>
            <w:r>
              <w:rPr>
                <w:rFonts w:ascii="Calibri" w:hAnsi="Calibri"/>
                <w:sz w:val="20"/>
              </w:rPr>
              <w:t>COSE structure</w:t>
            </w:r>
          </w:p>
        </w:tc>
        <w:tc>
          <w:tcPr>
            <w:tcW w:type="dxa" w:w="2340"/>
            <w:shd w:val="clear" w:color="auto" w:fill="FFFFFF"/>
          </w:tcPr>
          <w:p>
            <w:pPr>
              <w:spacing w:before="60" w:after="60"/>
            </w:pPr>
            <w:r>
              <w:rPr>
                <w:rFonts w:ascii="Calibri" w:hAnsi="Calibri"/>
                <w:sz w:val="20"/>
              </w:rPr>
              <w:t>COSE_Sign1_Tagged (tag 18)</w:t>
            </w:r>
          </w:p>
        </w:tc>
        <w:tc>
          <w:tcPr>
            <w:tcW w:type="dxa" w:w="2340"/>
            <w:shd w:val="clear" w:color="auto" w:fill="FFFFFF"/>
          </w:tcPr>
          <w:p>
            <w:pPr>
              <w:spacing w:before="60" w:after="60"/>
            </w:pPr>
            <w:r>
              <w:rPr>
                <w:rFonts w:ascii="Calibri" w:hAnsi="Calibri"/>
                <w:sz w:val="20"/>
              </w:rPr>
              <w:t>N/A</w:t>
            </w:r>
          </w:p>
        </w:tc>
        <w:tc>
          <w:tcPr>
            <w:tcW w:type="dxa" w:w="2340"/>
            <w:shd w:val="clear" w:color="auto" w:fill="FFFFFF"/>
          </w:tcPr>
          <w:p>
            <w:pPr>
              <w:spacing w:before="60" w:after="60"/>
            </w:pPr>
            <w:r>
              <w:rPr>
                <w:rFonts w:ascii="Calibri" w:hAnsi="Calibri"/>
                <w:sz w:val="20"/>
              </w:rPr>
              <w:t>RFC 9052</w:t>
            </w:r>
          </w:p>
        </w:tc>
      </w:tr>
      <w:tr>
        <w:tc>
          <w:tcPr>
            <w:tcW w:type="dxa" w:w="2340"/>
            <w:shd w:val="clear" w:color="auto" w:fill="F2F2F2"/>
          </w:tcPr>
          <w:p>
            <w:pPr>
              <w:spacing w:before="60" w:after="60"/>
            </w:pPr>
            <w:r>
              <w:rPr>
                <w:rFonts w:ascii="Calibri" w:hAnsi="Calibri"/>
                <w:sz w:val="20"/>
              </w:rPr>
              <w:t>Timestamping</w:t>
            </w:r>
          </w:p>
        </w:tc>
        <w:tc>
          <w:tcPr>
            <w:tcW w:type="dxa" w:w="2340"/>
            <w:shd w:val="clear" w:color="auto" w:fill="F2F2F2"/>
          </w:tcPr>
          <w:p>
            <w:pPr>
              <w:spacing w:before="60" w:after="60"/>
            </w:pPr>
            <w:r>
              <w:rPr>
                <w:rFonts w:ascii="Calibri" w:hAnsi="Calibri"/>
                <w:sz w:val="20"/>
              </w:rPr>
              <w:t>RFC 3161 TSA (SHA-256)</w:t>
            </w:r>
          </w:p>
        </w:tc>
        <w:tc>
          <w:tcPr>
            <w:tcW w:type="dxa" w:w="2340"/>
            <w:shd w:val="clear" w:color="auto" w:fill="F2F2F2"/>
          </w:tcPr>
          <w:p>
            <w:pPr>
              <w:spacing w:before="60" w:after="60"/>
            </w:pPr>
            <w:r>
              <w:rPr>
                <w:rFonts w:ascii="Calibri" w:hAnsi="Calibri"/>
                <w:sz w:val="20"/>
              </w:rPr>
              <w:t>N/A</w:t>
            </w:r>
          </w:p>
        </w:tc>
        <w:tc>
          <w:tcPr>
            <w:tcW w:type="dxa" w:w="2340"/>
            <w:shd w:val="clear" w:color="auto" w:fill="F2F2F2"/>
          </w:tcPr>
          <w:p>
            <w:pPr>
              <w:spacing w:before="60" w:after="60"/>
            </w:pPr>
            <w:r>
              <w:rPr>
                <w:rFonts w:ascii="Calibri" w:hAnsi="Calibri"/>
                <w:sz w:val="20"/>
              </w:rPr>
              <w:t>RFC 3161</w:t>
            </w:r>
          </w:p>
        </w:tc>
      </w:tr>
      <w:tr>
        <w:tc>
          <w:tcPr>
            <w:tcW w:type="dxa" w:w="2340"/>
            <w:shd w:val="clear" w:color="auto" w:fill="FFFFFF"/>
          </w:tcPr>
          <w:p>
            <w:pPr>
              <w:spacing w:before="60" w:after="60"/>
            </w:pPr>
            <w:r>
              <w:rPr>
                <w:rFonts w:ascii="Calibri" w:hAnsi="Calibri"/>
                <w:sz w:val="20"/>
              </w:rPr>
              <w:t>Certificate chain</w:t>
            </w:r>
          </w:p>
        </w:tc>
        <w:tc>
          <w:tcPr>
            <w:tcW w:type="dxa" w:w="2340"/>
            <w:shd w:val="clear" w:color="auto" w:fill="FFFFFF"/>
          </w:tcPr>
          <w:p>
            <w:pPr>
              <w:spacing w:before="60" w:after="60"/>
            </w:pPr>
            <w:r>
              <w:rPr>
                <w:rFonts w:ascii="Calibri" w:hAnsi="Calibri"/>
                <w:sz w:val="20"/>
              </w:rPr>
              <w:t>X.509 v3 with C2PA EKU</w:t>
            </w:r>
          </w:p>
        </w:tc>
        <w:tc>
          <w:tcPr>
            <w:tcW w:type="dxa" w:w="2340"/>
            <w:shd w:val="clear" w:color="auto" w:fill="FFFFFF"/>
          </w:tcPr>
          <w:p>
            <w:pPr>
              <w:spacing w:before="60" w:after="60"/>
            </w:pPr>
            <w:r>
              <w:rPr>
                <w:rFonts w:ascii="Calibri" w:hAnsi="Calibri"/>
                <w:sz w:val="20"/>
              </w:rPr>
              <w:t>N/A</w:t>
            </w:r>
          </w:p>
        </w:tc>
        <w:tc>
          <w:tcPr>
            <w:tcW w:type="dxa" w:w="2340"/>
            <w:shd w:val="clear" w:color="auto" w:fill="FFFFFF"/>
          </w:tcPr>
          <w:p>
            <w:pPr>
              <w:spacing w:before="60" w:after="60"/>
            </w:pPr>
            <w:r>
              <w:rPr>
                <w:rFonts w:ascii="Calibri" w:hAnsi="Calibri"/>
                <w:sz w:val="20"/>
              </w:rPr>
              <w:t>RFC 5280, C2PA Certificate Policy</w:t>
            </w:r>
          </w:p>
        </w:tc>
      </w:tr>
      <w:t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pPr>
      <w:r>
        <w:rPr>
          <w:rFonts w:ascii="Calibri" w:hAnsi="Calibri"/>
          <w:b/>
          <w:color w:val="2E74B5"/>
          <w:sz w:val="28"/>
        </w:rPr>
        <w:t>Appendix: Signing Pipeline Flow Detail</w:t>
      </w:r>
    </w:p>
    <w:p>
      <w:pPr>
        <w:pStyle w:val="Heading3"/>
      </w:pPr>
      <w:r>
        <w:rPr>
          <w:rFonts w:ascii="Calibri" w:hAnsi="Calibri"/>
          <w:b/>
          <w:color w:val="4472C4"/>
          <w:sz w:val="24"/>
        </w:rPr>
        <w:t>Pipeline A: Media formats (c2pa-python path)</w:t>
      </w:r>
    </w:p>
    <w:p>
      <w:pPr>
        <w:spacing w:before="40" w:after="80"/>
      </w:pPr>
      <w:r>
        <w:rPr>
          <w:rFonts w:ascii="Calibri" w:hAnsi="Calibri"/>
          <w:sz w:val="22"/>
        </w:rPr>
        <w:t>Used for: images (13 types), video (3 types), audio (4 types).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pPr>
      <w:r>
        <w:rPr>
          <w:rFonts w:ascii="Calibri" w:hAnsi="Calibri"/>
          <w:b/>
          <w:color w:val="4472C4"/>
          <w:sz w:val="24"/>
        </w:rPr>
        <w:t>Pipeline B: Document formats (custom JUMBF/COSE path)</w:t>
      </w:r>
    </w:p>
    <w:p>
      <w:pPr>
        <w:spacing w:before="40" w:after="80"/>
      </w:pPr>
      <w:r>
        <w:rPr>
          <w:rFonts w:ascii="Calibri" w:hAnsi="Calibri"/>
          <w:sz w:val="22"/>
        </w:rPr>
        <w:t>Used for: PDF, EPUB, DOCX, ODT, OXPS, OTF fonts.</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document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add c2pa.c2m entry to ZIP archive</w:t>
      </w:r>
    </w:p>
    <w:p>
      <w:pPr>
        <w:pStyle w:val="NoSpacing"/>
        <w:spacing w:before="0" w:after="0"/>
        <w:ind w:left="360"/>
        <w:shd w:val="clear" w:color="auto" w:fill="F2F2F2"/>
      </w:pPr>
      <w:r>
        <w:rPr>
          <w:rFonts w:ascii="Consolas" w:hAnsi="Consolas"/>
          <w:sz w:val="18"/>
        </w:rPr>
        <w:t xml:space="preserve">   - Font: add C2PA SFNT table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2"/>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/api/v1/public/verify-text` with JSON body `{"text": "signed text content"}`. Returns verification result with signer identity, timestamp, and tamper detection status.</w:t>
      </w:r>
    </w:p>
    <w:p>
      <w:pPr>
        <w:pStyle w:val="Heading3"/>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6.1.1.R1</w:t>
            </w:r>
          </w:p>
        </w:tc>
        <w:tc>
          <w:tcPr>
            <w:tcW w:type="dxa" w:w="2340"/>
            <w:shd w:val="clear" w:color="auto" w:fill="FFFFFF"/>
          </w:tcPr>
          <w:p>
            <w:pPr>
              <w:spacing w:before="60" w:after="60"/>
            </w:pPr>
            <w:r>
              <w:rPr>
                <w:rFonts w:ascii="Calibri" w:hAnsi="Calibri"/>
                <w:sz w:val="20"/>
              </w:rPr>
              <w:t>GP TOE implements secure authentication for automated certificate enrollment</w:t>
            </w:r>
          </w:p>
        </w:tc>
        <w:tc>
          <w:tcPr>
            <w:tcW w:type="dxa" w:w="2340"/>
            <w:shd w:val="clear" w:color="auto" w:fill="FFFFFF"/>
          </w:tcPr>
          <w:p>
            <w:pPr>
              <w:spacing w:before="60" w:after="60"/>
            </w:pPr>
            <w:r>
              <w:rPr>
                <w:rFonts w:ascii="Calibri" w:hAnsi="Calibri"/>
                <w:sz w:val="20"/>
              </w:rPr>
              <w:t>C.2.1</w:t>
            </w:r>
          </w:p>
        </w:tc>
        <w:tc>
          <w:tcPr>
            <w:tcW w:type="dxa" w:w="2340"/>
            <w:shd w:val="clear" w:color="auto" w:fill="FFFFFF"/>
          </w:tcPr>
          <w:p>
            <w:pPr>
              <w:spacing w:before="60" w:after="60"/>
            </w:pPr>
            <w:r>
              <w:rPr>
                <w:rFonts w:ascii="Calibri" w:hAnsi="Calibri"/>
                <w:sz w:val="20"/>
              </w:rPr>
              <w:t>Addressed (SSL.com portal-based enrollment with org validation)</w:t>
            </w:r>
          </w:p>
        </w:tc>
      </w:tr>
      <w:t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6.2.1.R1</w:t>
            </w:r>
          </w:p>
        </w:tc>
        <w:tc>
          <w:tcPr>
            <w:tcW w:type="dxa" w:w="2340"/>
            <w:shd w:val="clear" w:color="auto" w:fill="FFFFFF"/>
          </w:tcPr>
          <w:p>
            <w:pPr>
              <w:spacing w:before="60" w:after="60"/>
            </w:pPr>
            <w:r>
              <w:rPr>
                <w:rFonts w:ascii="Calibri" w:hAnsi="Calibri"/>
                <w:sz w:val="20"/>
              </w:rPr>
              <w:t>Claim signing key stored in encrypted form</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Addressed (encrypted env var store)</w:t>
            </w:r>
          </w:p>
        </w:tc>
      </w:tr>
      <w:tr>
        <w:tc>
          <w:tcPr>
            <w:tcW w:type="dxa" w:w="2340"/>
            <w:shd w:val="clear" w:color="auto" w:fill="F2F2F2"/>
          </w:tcPr>
          <w:p>
            <w:pPr>
              <w:spacing w:before="60" w:after="60"/>
            </w:pPr>
            <w:r>
              <w:rPr>
                <w:rFonts w:ascii="Calibri" w:hAnsi="Calibri"/>
                <w:sz w:val="20"/>
              </w:rPr>
              <w:t>6.2.1.R2</w:t>
            </w:r>
          </w:p>
        </w:tc>
        <w:tc>
          <w:tcPr>
            <w:tcW w:type="dxa" w:w="2340"/>
            <w:shd w:val="clear" w:color="auto" w:fill="F2F2F2"/>
          </w:tcPr>
          <w:p>
            <w:pPr>
              <w:spacing w:before="60" w:after="60"/>
            </w:pPr>
            <w:r>
              <w:rPr>
                <w:rFonts w:ascii="Calibri" w:hAnsi="Calibri"/>
                <w:sz w:val="20"/>
              </w:rPr>
              <w:t>Access to signing key follows least privilege</w:t>
            </w:r>
          </w:p>
        </w:tc>
        <w:tc>
          <w:tcPr>
            <w:tcW w:type="dxa" w:w="2340"/>
            <w:shd w:val="clear" w:color="auto" w:fill="F2F2F2"/>
          </w:tcPr>
          <w:p>
            <w:pPr>
              <w:spacing w:before="60" w:after="60"/>
            </w:pPr>
            <w:r>
              <w:rPr>
                <w:rFonts w:ascii="Calibri" w:hAnsi="Calibri"/>
                <w:sz w:val="20"/>
              </w:rPr>
              <w:t>C.2.2</w:t>
            </w:r>
          </w:p>
        </w:tc>
        <w:tc>
          <w:tcPr>
            <w:tcW w:type="dxa" w:w="2340"/>
            <w:shd w:val="clear" w:color="auto" w:fill="F2F2F2"/>
          </w:tcPr>
          <w:p>
            <w:pPr>
              <w:spacing w:before="60" w:after="60"/>
            </w:pPr>
            <w:r>
              <w:rPr>
                <w:rFonts w:ascii="Calibri" w:hAnsi="Calibri"/>
                <w:sz w:val="20"/>
              </w:rPr>
              <w:t>Addressed (non-root container, API auth, env var isolation)</w:t>
            </w:r>
          </w:p>
        </w:tc>
      </w:tr>
      <w:tr>
        <w:tc>
          <w:tcPr>
            <w:tcW w:type="dxa" w:w="2340"/>
            <w:shd w:val="clear" w:color="auto" w:fill="FFFFFF"/>
          </w:tcPr>
          <w:p>
            <w:pPr>
              <w:spacing w:before="60" w:after="60"/>
            </w:pPr>
            <w:r>
              <w:rPr>
                <w:rFonts w:ascii="Calibri" w:hAnsi="Calibri"/>
                <w:sz w:val="20"/>
              </w:rPr>
              <w:t>6.2.1.R3</w:t>
            </w:r>
          </w:p>
        </w:tc>
        <w:tc>
          <w:tcPr>
            <w:tcW w:type="dxa" w:w="2340"/>
            <w:shd w:val="clear" w:color="auto" w:fill="FFFFFF"/>
          </w:tcPr>
          <w:p>
            <w:pPr>
              <w:spacing w:before="60" w:after="60"/>
            </w:pPr>
            <w:r>
              <w:rPr>
                <w:rFonts w:ascii="Calibri" w:hAnsi="Calibri"/>
                <w:sz w:val="20"/>
              </w:rPr>
              <w:t>GP TOE capable of rotating claim signing key</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Addressed (rotation procedure documented)</w:t>
            </w:r>
          </w:p>
        </w:tc>
      </w:tr>
      <w:tr>
        <w:tc>
          <w:tcPr>
            <w:tcW w:type="dxa" w:w="2340"/>
            <w:shd w:val="clear" w:color="auto" w:fill="F2F2F2"/>
          </w:tcPr>
          <w:p>
            <w:pPr>
              <w:spacing w:before="60" w:after="60"/>
            </w:pPr>
            <w:r>
              <w:rPr>
                <w:rFonts w:ascii="Calibri" w:hAnsi="Calibri"/>
                <w:sz w:val="20"/>
              </w:rPr>
              <w:t>6.2.1.R4</w:t>
            </w:r>
          </w:p>
        </w:tc>
        <w:tc>
          <w:tcPr>
            <w:tcW w:type="dxa" w:w="2340"/>
            <w:shd w:val="clear" w:color="auto" w:fill="F2F2F2"/>
          </w:tcPr>
          <w:p>
            <w:pPr>
              <w:spacing w:before="60" w:after="60"/>
            </w:pPr>
            <w:r>
              <w:rPr>
                <w:rFonts w:ascii="Calibri" w:hAnsi="Calibri"/>
                <w:sz w:val="20"/>
              </w:rPr>
              <w:t>Edge subsystem authentication key used only for limiting access to Backend</w:t>
            </w:r>
          </w:p>
        </w:tc>
        <w:tc>
          <w:tcPr>
            <w:tcW w:type="dxa" w:w="2340"/>
            <w:shd w:val="clear" w:color="auto" w:fill="F2F2F2"/>
          </w:tcPr>
          <w:p>
            <w:pPr>
              <w:spacing w:before="60" w:after="60"/>
            </w:pPr>
            <w:r>
              <w:rPr>
                <w:rFonts w:ascii="Calibri" w:hAnsi="Calibri"/>
                <w:sz w:val="20"/>
              </w:rPr>
              <w:t>C.2.2</w:t>
            </w:r>
          </w:p>
        </w:tc>
        <w:tc>
          <w:tcPr>
            <w:tcW w:type="dxa" w:w="2340"/>
            <w:shd w:val="clear" w:color="auto" w:fill="F2F2F2"/>
          </w:tcPr>
          <w:p>
            <w:pPr>
              <w:spacing w:before="60" w:after="60"/>
            </w:pPr>
            <w:r>
              <w:rPr>
                <w:rFonts w:ascii="Calibri" w:hAnsi="Calibri"/>
                <w:sz w:val="20"/>
              </w:rPr>
              <w:t>N/A -- Backend Implementation Class (Section 2.32). No Edge subsystem exists within the TOE. See Appendix A.1 for the reference Backend class architecture.</w:t>
            </w:r>
          </w:p>
        </w:tc>
      </w:tr>
      <w:tr>
        <w:tc>
          <w:tcPr>
            <w:tcW w:type="dxa" w:w="2340"/>
            <w:shd w:val="clear" w:color="auto" w:fill="FFFFFF"/>
          </w:tcPr>
          <w:p>
            <w:pPr>
              <w:spacing w:before="60" w:after="60"/>
            </w:pPr>
            <w:r>
              <w:rPr>
                <w:rFonts w:ascii="Calibri" w:hAnsi="Calibri"/>
                <w:sz w:val="20"/>
              </w:rPr>
              <w:t>6.2.1.R5</w:t>
            </w:r>
          </w:p>
        </w:tc>
        <w:tc>
          <w:tcPr>
            <w:tcW w:type="dxa" w:w="2340"/>
            <w:shd w:val="clear" w:color="auto" w:fill="FFFFFF"/>
          </w:tcPr>
          <w:p>
            <w:pPr>
              <w:spacing w:before="60" w:after="60"/>
            </w:pPr>
            <w:r>
              <w:rPr>
                <w:rFonts w:ascii="Calibri" w:hAnsi="Calibri"/>
                <w:sz w:val="20"/>
              </w:rPr>
              <w:t>Edge and Backend subsystems mutually authenticated</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c>
          <w:tcPr>
            <w:tcW w:type="dxa" w:w="2340"/>
            <w:shd w:val="clear" w:color="auto" w:fill="F2F2F2"/>
          </w:tcPr>
          <w:p>
            <w:pPr>
              <w:spacing w:before="60" w:after="60"/>
            </w:pPr>
            <w:r>
              <w:rPr>
                <w:rFonts w:ascii="Calibri" w:hAnsi="Calibri"/>
                <w:sz w:val="20"/>
              </w:rPr>
              <w:t>6.2.1.R6</w:t>
            </w:r>
          </w:p>
        </w:tc>
        <w:tc>
          <w:tcPr>
            <w:tcW w:type="dxa" w:w="2340"/>
            <w:shd w:val="clear" w:color="auto" w:fill="F2F2F2"/>
          </w:tcPr>
          <w:p>
            <w:pPr>
              <w:spacing w:before="60" w:after="60"/>
            </w:pPr>
            <w:r>
              <w:rPr>
                <w:rFonts w:ascii="Calibri" w:hAnsi="Calibri"/>
                <w:sz w:val="20"/>
              </w:rPr>
              <w:t>Remote Backend SHALL authenticate calling client as valid Edge instance</w:t>
            </w:r>
          </w:p>
        </w:tc>
        <w:tc>
          <w:tcPr>
            <w:tcW w:type="dxa" w:w="2340"/>
            <w:shd w:val="clear" w:color="auto" w:fill="F2F2F2"/>
          </w:tcPr>
          <w:p>
            <w:pPr>
              <w:spacing w:before="60" w:after="60"/>
            </w:pPr>
            <w:r>
              <w:rPr>
                <w:rFonts w:ascii="Calibri" w:hAnsi="Calibri"/>
                <w:sz w:val="20"/>
              </w:rPr>
              <w:t>C.2.2</w:t>
            </w:r>
          </w:p>
        </w:tc>
        <w:tc>
          <w:tcPr>
            <w:tcW w:type="dxa" w:w="2340"/>
            <w:shd w:val="clear" w:color="auto" w:fill="F2F2F2"/>
          </w:tcPr>
          <w:p>
            <w:pPr>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c>
          <w:tcPr>
            <w:tcW w:type="dxa" w:w="2340"/>
            <w:shd w:val="clear" w:color="auto" w:fill="FFFFFF"/>
          </w:tcPr>
          <w:p>
            <w:pPr>
              <w:spacing w:before="60" w:after="60"/>
            </w:pPr>
            <w:r>
              <w:rPr>
                <w:rFonts w:ascii="Calibri" w:hAnsi="Calibri"/>
                <w:sz w:val="20"/>
              </w:rPr>
              <w:t>6.2.1.SE1a</w:t>
            </w:r>
          </w:p>
        </w:tc>
        <w:tc>
          <w:tcPr>
            <w:tcW w:type="dxa" w:w="2340"/>
            <w:shd w:val="clear" w:color="auto" w:fill="FFFFFF"/>
          </w:tcPr>
          <w:p>
            <w:pPr>
              <w:spacing w:before="60" w:after="60"/>
            </w:pPr>
            <w:r>
              <w:rPr>
                <w:rFonts w:ascii="Calibri" w:hAnsi="Calibri"/>
                <w:sz w:val="20"/>
              </w:rPr>
              <w:t>Document key access controls including encryption</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Addressed</w:t>
            </w:r>
          </w:p>
        </w:tc>
      </w:tr>
      <w:tr>
        <w:tc>
          <w:tcPr>
            <w:tcW w:type="dxa" w:w="2340"/>
            <w:shd w:val="clear" w:color="auto" w:fill="F2F2F2"/>
          </w:tcPr>
          <w:p>
            <w:pPr>
              <w:spacing w:before="60" w:after="60"/>
            </w:pPr>
            <w:r>
              <w:rPr>
                <w:rFonts w:ascii="Calibri" w:hAnsi="Calibri"/>
                <w:sz w:val="20"/>
              </w:rPr>
              <w:t>6.2.1.SE1b</w:t>
            </w:r>
          </w:p>
        </w:tc>
        <w:tc>
          <w:tcPr>
            <w:tcW w:type="dxa" w:w="2340"/>
            <w:shd w:val="clear" w:color="auto" w:fill="F2F2F2"/>
          </w:tcPr>
          <w:p>
            <w:pPr>
              <w:spacing w:before="60" w:after="60"/>
            </w:pPr>
            <w:r>
              <w:rPr>
                <w:rFonts w:ascii="Calibri" w:hAnsi="Calibri"/>
                <w:sz w:val="20"/>
              </w:rPr>
              <w:t>Document key rotation process</w:t>
            </w:r>
          </w:p>
        </w:tc>
        <w:tc>
          <w:tcPr>
            <w:tcW w:type="dxa" w:w="2340"/>
            <w:shd w:val="clear" w:color="auto" w:fill="F2F2F2"/>
          </w:tcPr>
          <w:p>
            <w:pPr>
              <w:spacing w:before="60" w:after="60"/>
            </w:pPr>
            <w:r>
              <w:rPr>
                <w:rFonts w:ascii="Calibri" w:hAnsi="Calibri"/>
                <w:sz w:val="20"/>
              </w:rPr>
              <w:t>C.2.2</w:t>
            </w:r>
          </w:p>
        </w:tc>
        <w:tc>
          <w:tcPr>
            <w:tcW w:type="dxa" w:w="2340"/>
            <w:shd w:val="clear" w:color="auto" w:fill="F2F2F2"/>
          </w:tcPr>
          <w:p>
            <w:pPr>
              <w:spacing w:before="60" w:after="60"/>
            </w:pPr>
            <w:r>
              <w:rPr>
                <w:rFonts w:ascii="Calibri" w:hAnsi="Calibri"/>
                <w:sz w:val="20"/>
              </w:rPr>
              <w:t>Addressed</w:t>
            </w:r>
          </w:p>
        </w:tc>
      </w:tr>
      <w:t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6.3.1.R1</w:t>
            </w:r>
          </w:p>
        </w:tc>
        <w:tc>
          <w:tcPr>
            <w:tcW w:type="dxa" w:w="2340"/>
            <w:shd w:val="clear" w:color="auto" w:fill="FFFFFF"/>
          </w:tcPr>
          <w:p>
            <w:pPr>
              <w:spacing w:before="60" w:after="60"/>
            </w:pPr>
            <w:r>
              <w:rPr>
                <w:rFonts w:ascii="Calibri" w:hAnsi="Calibri"/>
                <w:sz w:val="20"/>
              </w:rPr>
              <w:t>SCA/SBOM analysis performed</w:t>
            </w:r>
          </w:p>
        </w:tc>
        <w:tc>
          <w:tcPr>
            <w:tcW w:type="dxa" w:w="2340"/>
            <w:shd w:val="clear" w:color="auto" w:fill="FFFFFF"/>
          </w:tcPr>
          <w:p>
            <w:pPr>
              <w:spacing w:before="60" w:after="60"/>
            </w:pPr>
            <w:r>
              <w:rPr>
                <w:rFonts w:ascii="Calibri" w:hAnsi="Calibri"/>
                <w:sz w:val="20"/>
              </w:rPr>
              <w:t>C.2.3</w:t>
            </w:r>
          </w:p>
        </w:tc>
        <w:tc>
          <w:tcPr>
            <w:tcW w:type="dxa" w:w="2340"/>
            <w:shd w:val="clear" w:color="auto" w:fill="FFFFFF"/>
          </w:tcPr>
          <w:p>
            <w:pPr>
              <w:spacing w:before="60" w:after="60"/>
            </w:pPr>
            <w:r>
              <w:rPr>
                <w:rFonts w:ascii="Calibri" w:hAnsi="Calibri"/>
                <w:sz w:val="20"/>
              </w:rPr>
              <w:t>Addressed (pip-audit against OSV/NVD)</w:t>
            </w:r>
          </w:p>
        </w:tc>
      </w:tr>
      <w:tr>
        <w:tc>
          <w:tcPr>
            <w:tcW w:type="dxa" w:w="2340"/>
            <w:shd w:val="clear" w:color="auto" w:fill="F2F2F2"/>
          </w:tcPr>
          <w:p>
            <w:pPr>
              <w:spacing w:before="60" w:after="60"/>
            </w:pPr>
            <w:r>
              <w:rPr>
                <w:rFonts w:ascii="Calibri" w:hAnsi="Calibri"/>
                <w:sz w:val="20"/>
              </w:rPr>
              <w:t>6.3.1.R2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(30/90 day SLA documented)</w:t>
            </w:r>
          </w:p>
        </w:tc>
      </w:tr>
      <w:tr>
        <w:tc>
          <w:tcPr>
            <w:tcW w:type="dxa" w:w="2340"/>
            <w:shd w:val="clear" w:color="auto" w:fill="FFFFFF"/>
          </w:tcPr>
          <w:p>
            <w:pPr>
              <w:spacing w:before="60" w:after="60"/>
            </w:pPr>
            <w:r>
              <w:rPr>
                <w:rFonts w:ascii="Calibri" w:hAnsi="Calibri"/>
                <w:sz w:val="20"/>
              </w:rPr>
              <w:t>6.3.1.SE1a</w:t>
            </w:r>
          </w:p>
        </w:tc>
        <w:tc>
          <w:tcPr>
            <w:tcW w:type="dxa" w:w="2340"/>
            <w:shd w:val="clear" w:color="auto" w:fill="FFFFFF"/>
          </w:tcPr>
          <w:p>
            <w:pPr>
              <w:spacing w:before="60" w:after="60"/>
            </w:pPr>
            <w:r>
              <w:rPr>
                <w:rFonts w:ascii="Calibri" w:hAnsi="Calibri"/>
                <w:sz w:val="20"/>
              </w:rPr>
              <w:t>Document SCA/SBOM tools</w:t>
            </w:r>
          </w:p>
        </w:tc>
        <w:tc>
          <w:tcPr>
            <w:tcW w:type="dxa" w:w="2340"/>
            <w:shd w:val="clear" w:color="auto" w:fill="FFFFFF"/>
          </w:tcPr>
          <w:p>
            <w:pPr>
              <w:spacing w:before="60" w:after="60"/>
            </w:pPr>
            <w:r>
              <w:rPr>
                <w:rFonts w:ascii="Calibri" w:hAnsi="Calibri"/>
                <w:sz w:val="20"/>
              </w:rPr>
              <w:t>C.2.3</w:t>
            </w:r>
          </w:p>
        </w:tc>
        <w:tc>
          <w:tcPr>
            <w:tcW w:type="dxa" w:w="2340"/>
            <w:shd w:val="clear" w:color="auto" w:fill="FFFFFF"/>
          </w:tcPr>
          <w:p>
            <w:pPr>
              <w:spacing w:before="60" w:after="60"/>
            </w:pPr>
            <w:r>
              <w:rPr>
                <w:rFonts w:ascii="Calibri" w:hAnsi="Calibri"/>
                <w:sz w:val="20"/>
              </w:rPr>
              <w:t>Addressed (pip-audit, Dependabot)</w:t>
            </w:r>
          </w:p>
        </w:tc>
      </w:tr>
      <w:t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6.4.1.R1</w:t>
            </w:r>
          </w:p>
        </w:tc>
        <w:tc>
          <w:tcPr>
            <w:tcW w:type="dxa" w:w="2340"/>
            <w:shd w:val="clear" w:color="auto" w:fill="FFFFFF"/>
          </w:tcPr>
          <w:p>
            <w:pPr>
              <w:spacing w:before="60" w:after="60"/>
            </w:pPr>
            <w:r>
              <w:rPr>
                <w:rFonts w:ascii="Calibri" w:hAnsi="Calibri"/>
                <w:sz w:val="20"/>
              </w:rPr>
              <w:t>SCA/SBOM analysis on content-processing software</w:t>
            </w:r>
          </w:p>
        </w:tc>
        <w:tc>
          <w:tcPr>
            <w:tcW w:type="dxa" w:w="2340"/>
            <w:shd w:val="clear" w:color="auto" w:fill="FFFFFF"/>
          </w:tcPr>
          <w:p>
            <w:pPr>
              <w:spacing w:before="60" w:after="60"/>
            </w:pPr>
            <w:r>
              <w:rPr>
                <w:rFonts w:ascii="Calibri" w:hAnsi="Calibri"/>
                <w:sz w:val="20"/>
              </w:rPr>
              <w:t>C.2.4</w:t>
            </w:r>
          </w:p>
        </w:tc>
        <w:tc>
          <w:tcPr>
            <w:tcW w:type="dxa" w:w="2340"/>
            <w:shd w:val="clear" w:color="auto" w:fill="FFFFFF"/>
          </w:tcPr>
          <w:p>
            <w:pPr>
              <w:spacing w:before="60" w:after="60"/>
            </w:pPr>
            <w:r>
              <w:rPr>
                <w:rFonts w:ascii="Calibri" w:hAnsi="Calibri"/>
                <w:sz w:val="20"/>
              </w:rPr>
              <w:t>Addressed (same pip-audit process)</w:t>
            </w:r>
          </w:p>
        </w:tc>
      </w:tr>
      <w:t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6.5.1.R1</w:t>
            </w:r>
          </w:p>
        </w:tc>
        <w:tc>
          <w:tcPr>
            <w:tcW w:type="dxa" w:w="2340"/>
            <w:shd w:val="clear" w:color="auto" w:fill="FFFFFF"/>
          </w:tcPr>
          <w:p>
            <w:pPr>
              <w:spacing w:before="60" w:after="60"/>
            </w:pPr>
            <w:r>
              <w:rPr>
                <w:rFonts w:ascii="Calibri" w:hAnsi="Calibri"/>
                <w:sz w:val="20"/>
              </w:rPr>
              <w:t>Network channels encrypted with TLS v1.3 or higher</w:t>
            </w:r>
          </w:p>
        </w:tc>
        <w:tc>
          <w:tcPr>
            <w:tcW w:type="dxa" w:w="2340"/>
            <w:shd w:val="clear" w:color="auto" w:fill="FFFFFF"/>
          </w:tcPr>
          <w:p>
            <w:pPr>
              <w:spacing w:before="60" w:after="60"/>
            </w:pPr>
            <w:r>
              <w:rPr>
                <w:rFonts w:ascii="Calibri" w:hAnsi="Calibri"/>
                <w:sz w:val="20"/>
              </w:rPr>
              <w:t>C.2.5</w:t>
            </w:r>
          </w:p>
        </w:tc>
        <w:tc>
          <w:tcPr>
            <w:tcW w:type="dxa" w:w="2340"/>
            <w:shd w:val="clear" w:color="auto" w:fill="FFFFFF"/>
          </w:tcPr>
          <w:p>
            <w:pPr>
              <w:spacing w:before="60" w:after="60"/>
            </w:pPr>
            <w:r>
              <w:rPr>
                <w:rFonts w:ascii="Calibri" w:hAnsi="Calibri"/>
                <w:sz w:val="20"/>
              </w:rPr>
              <w:t>Addressed (Railway edge enforces TLS 1.3 minimum, HTTPS for all external comms)</w:t>
            </w:r>
          </w:p>
        </w:tc>
      </w:tr>
      <w:t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pPr>
              <w:spacing w:before="60" w:after="60"/>
            </w:pPr>
            <w:r>
              <w:rPr>
                <w:rFonts w:ascii="Calibri" w:hAnsi="Calibri"/>
                <w:b/>
                <w:color w:val="FFFFFF"/>
                <w:sz w:val="20"/>
              </w:rPr>
              <w:t>Req</w:t>
            </w:r>
          </w:p>
        </w:tc>
        <w:tc>
          <w:tcPr>
            <w:tcW w:type="dxa" w:w="2340"/>
            <w:shd w:val="clear" w:color="auto" w:fill="1F497D"/>
          </w:tcPr>
          <w:p>
            <w:pPr>
              <w:spacing w:before="60" w:after="60"/>
            </w:pPr>
            <w:r>
              <w:rPr>
                <w:rFonts w:ascii="Calibri" w:hAnsi="Calibri"/>
                <w:b/>
                <w:color w:val="FFFFFF"/>
                <w:sz w:val="20"/>
              </w:rPr>
              <w:t>Requirement</w:t>
            </w:r>
          </w:p>
        </w:tc>
        <w:tc>
          <w:tcPr>
            <w:tcW w:type="dxa" w:w="2340"/>
            <w:shd w:val="clear" w:color="auto" w:fill="1F497D"/>
          </w:tcPr>
          <w:p>
            <w:pPr>
              <w:spacing w:before="60" w:after="60"/>
            </w:pPr>
            <w:r>
              <w:rPr>
                <w:rFonts w:ascii="Calibri" w:hAnsi="Calibri"/>
                <w:b/>
                <w:color w:val="FFFFFF"/>
                <w:sz w:val="20"/>
              </w:rPr>
              <w:t>Section</w:t>
            </w:r>
          </w:p>
        </w:tc>
        <w:tc>
          <w:tcPr>
            <w:tcW w:type="dxa" w:w="2340"/>
            <w:shd w:val="clear" w:color="auto" w:fill="1F497D"/>
          </w:tcPr>
          <w:p>
            <w:pPr>
              <w:spacing w:before="60" w:after="60"/>
            </w:pPr>
            <w:r>
              <w:rPr>
                <w:rFonts w:ascii="Calibri" w:hAnsi="Calibri"/>
                <w:b/>
                <w:color w:val="FFFFFF"/>
                <w:sz w:val="20"/>
              </w:rPr>
              <w:t>Status</w:t>
            </w:r>
          </w:p>
        </w:tc>
      </w:tr>
      <w:tr>
        <w:tc>
          <w:tcPr>
            <w:tcW w:type="dxa" w:w="2340"/>
            <w:shd w:val="clear" w:color="auto" w:fill="FFFFFF"/>
          </w:tcPr>
          <w:p>
            <w:pPr>
              <w:spacing w:before="60" w:after="60"/>
            </w:pPr>
            <w:r>
              <w:rPr>
                <w:rFonts w:ascii="Calibri" w:hAnsi="Calibri"/>
                <w:sz w:val="20"/>
              </w:rPr>
              <w:t>6.6.1.R1</w:t>
            </w:r>
          </w:p>
        </w:tc>
        <w:tc>
          <w:tcPr>
            <w:tcW w:type="dxa" w:w="2340"/>
            <w:shd w:val="clear" w:color="auto" w:fill="FFFFFF"/>
          </w:tcPr>
          <w:p>
            <w:pPr>
              <w:spacing w:before="60" w:after="60"/>
            </w:pPr>
            <w:r>
              <w:rPr>
                <w:rFonts w:ascii="Calibri" w:hAnsi="Calibri"/>
                <w:sz w:val="20"/>
              </w:rPr>
              <w:t>IAM with RBAC for asset/assertion generation resources</w:t>
            </w:r>
          </w:p>
        </w:tc>
        <w:tc>
          <w:tcPr>
            <w:tcW w:type="dxa" w:w="2340"/>
            <w:shd w:val="clear" w:color="auto" w:fill="FFFFFF"/>
          </w:tcPr>
          <w:p>
            <w:pPr>
              <w:spacing w:before="60" w:after="60"/>
            </w:pPr>
            <w:r>
              <w:rPr>
                <w:rFonts w:ascii="Calibri" w:hAnsi="Calibri"/>
                <w:sz w:val="20"/>
              </w:rPr>
              <w:t>C.2.6</w:t>
            </w:r>
          </w:p>
        </w:tc>
        <w:tc>
          <w:tcPr>
            <w:tcW w:type="dxa" w:w="2340"/>
            <w:shd w:val="clear" w:color="auto" w:fill="FFFFFF"/>
          </w:tcPr>
          <w:p>
            <w:pPr>
              <w:spacing w:before="60" w:after="60"/>
            </w:pPr>
            <w:r>
              <w:rPr>
                <w:rFonts w:ascii="Calibri" w:hAnsi="Calibri"/>
                <w:sz w:val="20"/>
              </w:rPr>
              <w:t>Addressed (Railway team RBAC, container isolation, API key auth)</w:t>
            </w:r>
          </w:p>
        </w:tc>
      </w:tr>
      <w:tr>
        <w:tc>
          <w:tcPr>
            <w:tcW w:type="dxa" w:w="2340"/>
            <w:shd w:val="clear" w:color="auto" w:fill="F2F2F2"/>
          </w:tcPr>
          <w:p>
            <w:pPr>
              <w:spacing w:before="60" w:after="60"/>
            </w:pPr>
            <w:r>
              <w:rPr>
                <w:rFonts w:ascii="Calibri" w:hAnsi="Calibri"/>
                <w:sz w:val="20"/>
              </w:rPr>
              <w:t>6.6.1.R2</w:t>
            </w:r>
          </w:p>
        </w:tc>
        <w:tc>
          <w:tcPr>
            <w:tcW w:type="dxa" w:w="2340"/>
            <w:shd w:val="clear" w:color="auto" w:fill="F2F2F2"/>
          </w:tcPr>
          <w:p>
            <w:pPr>
              <w:spacing w:before="60" w:after="60"/>
            </w:pPr>
            <w:r>
              <w:rPr>
                <w:rFonts w:ascii="Calibri" w:hAnsi="Calibri"/>
                <w:sz w:val="20"/>
              </w:rPr>
              <w:t>Vulnerability scanning for dependencies and API surfaces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(pip-audit, OWASP mitigations)</w:t>
            </w:r>
          </w:p>
        </w:tc>
      </w:tr>
      <w:tr>
        <w:tc>
          <w:tcPr>
            <w:tcW w:type="dxa" w:w="2340"/>
            <w:shd w:val="clear" w:color="auto" w:fill="FFFFFF"/>
          </w:tcPr>
          <w:p>
            <w:pPr>
              <w:spacing w:before="60" w:after="60"/>
            </w:pPr>
            <w:r>
              <w:rPr>
                <w:rFonts w:ascii="Calibri" w:hAnsi="Calibri"/>
                <w:sz w:val="20"/>
              </w:rPr>
              <w:t>6.6.1.R3</w:t>
            </w:r>
          </w:p>
        </w:tc>
        <w:tc>
          <w:tcPr>
            <w:tcW w:type="dxa" w:w="2340"/>
            <w:shd w:val="clear" w:color="auto" w:fill="FFFFFF"/>
          </w:tcPr>
          <w:p>
            <w:pPr>
              <w:spacing w:before="60" w:after="60"/>
            </w:pPr>
            <w:r>
              <w:rPr>
                <w:rFonts w:ascii="Calibri" w:hAnsi="Calibri"/>
                <w:sz w:val="20"/>
              </w:rPr>
              <w:t>Basic exploit countermeasures, timely patching</w:t>
            </w:r>
          </w:p>
        </w:tc>
        <w:tc>
          <w:tcPr>
            <w:tcW w:type="dxa" w:w="2340"/>
            <w:shd w:val="clear" w:color="auto" w:fill="FFFFFF"/>
          </w:tcPr>
          <w:p>
            <w:pPr>
              <w:spacing w:before="60" w:after="60"/>
            </w:pPr>
            <w:r>
              <w:rPr>
                <w:rFonts w:ascii="Calibri" w:hAnsi="Calibri"/>
                <w:sz w:val="20"/>
              </w:rPr>
              <w:t>C.2.6</w:t>
            </w:r>
          </w:p>
        </w:tc>
        <w:tc>
          <w:tcPr>
            <w:tcW w:type="dxa" w:w="2340"/>
            <w:shd w:val="clear" w:color="auto" w:fill="FFFFFF"/>
          </w:tcPr>
          <w:p>
            <w:pPr>
              <w:spacing w:before="60" w:after="60"/>
            </w:pPr>
            <w:r>
              <w:rPr>
                <w:rFonts w:ascii="Calibri" w:hAnsi="Calibri"/>
                <w:sz w:val="20"/>
              </w:rPr>
              <w:t>Addressed (non-root container, minimal base image, kernel ASLR/NX)</w:t>
            </w:r>
          </w:p>
        </w:tc>
      </w:tr>
      <w:tr>
        <w:tc>
          <w:tcPr>
            <w:tcW w:type="dxa" w:w="2340"/>
            <w:shd w:val="clear" w:color="auto" w:fill="F2F2F2"/>
          </w:tcPr>
          <w:p>
            <w:pPr>
              <w:spacing w:before="60" w:after="60"/>
            </w:pPr>
            <w:r>
              <w:rPr>
                <w:rFonts w:ascii="Calibri" w:hAnsi="Calibri"/>
                <w:sz w:val="20"/>
              </w:rPr>
              <w:t>6.6.1.SE1</w:t>
            </w:r>
          </w:p>
        </w:tc>
        <w:tc>
          <w:tcPr>
            <w:tcW w:type="dxa" w:w="2340"/>
            <w:shd w:val="clear" w:color="auto" w:fill="F2F2F2"/>
          </w:tcPr>
          <w:p>
            <w:pPr>
              <w:spacing w:before="60" w:after="60"/>
            </w:pPr>
            <w:r>
              <w:rPr>
                <w:rFonts w:ascii="Calibri" w:hAnsi="Calibri"/>
                <w:sz w:val="20"/>
              </w:rPr>
              <w:t>Document IAM system and security boundaries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(Railway team RBAC: Owner/Admin/Member roles documented)</w:t>
            </w:r>
          </w:p>
        </w:tc>
      </w:tr>
      <w:tr>
        <w:tc>
          <w:tcPr>
            <w:tcW w:type="dxa" w:w="2340"/>
            <w:shd w:val="clear" w:color="auto" w:fill="FFFFFF"/>
          </w:tcPr>
          <w:p>
            <w:pPr>
              <w:spacing w:before="60" w:after="60"/>
            </w:pPr>
            <w:r>
              <w:rPr>
                <w:rFonts w:ascii="Calibri" w:hAnsi="Calibri"/>
                <w:sz w:val="20"/>
              </w:rPr>
              <w:t>6.6.1.SE2</w:t>
            </w:r>
          </w:p>
        </w:tc>
        <w:tc>
          <w:tcPr>
            <w:tcW w:type="dxa" w:w="2340"/>
            <w:shd w:val="clear" w:color="auto" w:fill="FFFFFF"/>
          </w:tcPr>
          <w:p>
            <w:pPr>
              <w:spacing w:before="60" w:after="60"/>
            </w:pPr>
            <w:r>
              <w:rPr>
                <w:rFonts w:ascii="Calibri" w:hAnsi="Calibri"/>
                <w:sz w:val="20"/>
              </w:rPr>
              <w:t>Document access policies for human/non-human principals</w:t>
            </w:r>
          </w:p>
        </w:tc>
        <w:tc>
          <w:tcPr>
            <w:tcW w:type="dxa" w:w="2340"/>
            <w:shd w:val="clear" w:color="auto" w:fill="FFFFFF"/>
          </w:tcPr>
          <w:p>
            <w:pPr>
              <w:spacing w:before="60" w:after="60"/>
            </w:pPr>
            <w:r>
              <w:rPr>
                <w:rFonts w:ascii="Calibri" w:hAnsi="Calibri"/>
                <w:sz w:val="20"/>
              </w:rPr>
              <w:t>C.2.6</w:t>
            </w:r>
          </w:p>
        </w:tc>
        <w:tc>
          <w:tcPr>
            <w:tcW w:type="dxa" w:w="2340"/>
            <w:shd w:val="clear" w:color="auto" w:fill="FFFFFF"/>
          </w:tcPr>
          <w:p>
            <w:pPr>
              <w:spacing w:before="60" w:after="60"/>
            </w:pPr>
            <w:r>
              <w:rPr>
                <w:rFonts w:ascii="Calibri" w:hAnsi="Calibri"/>
                <w:sz w:val="20"/>
              </w:rPr>
              <w:t>Addressed (human: Railway Owner/Admin roles; non-human: service tokens, API keys)</w:t>
            </w:r>
          </w:p>
        </w:tc>
      </w:tr>
      <w:tr>
        <w:tc>
          <w:tcPr>
            <w:tcW w:type="dxa" w:w="2340"/>
            <w:shd w:val="clear" w:color="auto" w:fill="F2F2F2"/>
          </w:tcPr>
          <w:p>
            <w:pPr>
              <w:spacing w:before="60" w:after="60"/>
            </w:pPr>
            <w:r>
              <w:rPr>
                <w:rFonts w:ascii="Calibri" w:hAnsi="Calibri"/>
                <w:sz w:val="20"/>
              </w:rPr>
              <w:t>6.6.1.SE3</w:t>
            </w:r>
          </w:p>
        </w:tc>
        <w:tc>
          <w:tcPr>
            <w:tcW w:type="dxa" w:w="2340"/>
            <w:shd w:val="clear" w:color="auto" w:fill="F2F2F2"/>
          </w:tcPr>
          <w:p>
            <w:pPr>
              <w:spacing w:before="60" w:after="60"/>
            </w:pPr>
            <w:r>
              <w:rPr>
                <w:rFonts w:ascii="Calibri" w:hAnsi="Calibri"/>
                <w:sz w:val="20"/>
              </w:rPr>
              <w:t>Document IAM policies for cloud resources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(Railway project-level RBAC, resource access table in C.2.6)</w:t>
            </w:r>
          </w:p>
        </w:tc>
      </w:tr>
      <w:tr>
        <w:tc>
          <w:tcPr>
            <w:tcW w:type="dxa" w:w="2340"/>
            <w:shd w:val="clear" w:color="auto" w:fill="FFFFFF"/>
          </w:tcPr>
          <w:p>
            <w:pPr>
              <w:spacing w:before="60" w:after="60"/>
            </w:pPr>
            <w:r>
              <w:rPr>
                <w:rFonts w:ascii="Calibri" w:hAnsi="Calibri"/>
                <w:sz w:val="20"/>
              </w:rPr>
              <w:t>6.6.1.SE4</w:t>
            </w:r>
          </w:p>
        </w:tc>
        <w:tc>
          <w:tcPr>
            <w:tcW w:type="dxa" w:w="2340"/>
            <w:shd w:val="clear" w:color="auto" w:fill="FFFFFF"/>
          </w:tcPr>
          <w:p>
            <w:pPr>
              <w:spacing w:before="60" w:after="60"/>
            </w:pPr>
            <w:r>
              <w:rPr>
                <w:rFonts w:ascii="Calibri" w:hAnsi="Calibri"/>
                <w:sz w:val="20"/>
              </w:rPr>
              <w:t>Document vuln scanning process</w:t>
            </w:r>
          </w:p>
        </w:tc>
        <w:tc>
          <w:tcPr>
            <w:tcW w:type="dxa" w:w="2340"/>
            <w:shd w:val="clear" w:color="auto" w:fill="FFFFFF"/>
          </w:tcPr>
          <w:p>
            <w:pPr>
              <w:spacing w:before="60" w:after="60"/>
            </w:pPr>
            <w:r>
              <w:rPr>
                <w:rFonts w:ascii="Calibri" w:hAnsi="Calibri"/>
                <w:sz w:val="20"/>
              </w:rPr>
              <w:t>C.2.6</w:t>
            </w:r>
          </w:p>
        </w:tc>
        <w:tc>
          <w:tcPr>
            <w:tcW w:type="dxa" w:w="2340"/>
            <w:shd w:val="clear" w:color="auto" w:fill="FFFFFF"/>
          </w:tcPr>
          <w:p>
            <w:pPr>
              <w:spacing w:before="60" w:after="60"/>
            </w:pPr>
            <w:r>
              <w:rPr>
                <w:rFonts w:ascii="Calibri" w:hAnsi="Calibri"/>
                <w:sz w:val="20"/>
              </w:rPr>
              <w:t>Addressed</w:t>
            </w:r>
          </w:p>
        </w:tc>
      </w:tr>
      <w:t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pStyle w:val="Heading2"/>
      </w:pPr>
      <w:r>
        <w:rPr>
          <w:rFonts w:ascii="Calibri" w:hAnsi="Calibri"/>
          <w:b/>
          <w:color w:val="2E74B5"/>
          <w:sz w:val="28"/>
        </w:rPr>
        <w:t>Summary of Resolved Items</w:t>
      </w:r>
    </w:p>
    <w:p>
      <w:pPr>
        <w:spacing w:before="40" w:after="80"/>
      </w:pPr>
      <w:r>
        <w:rPr>
          <w:rFonts w:ascii="Calibri" w:hAnsi="Calibri"/>
          <w:sz w:val="22"/>
        </w:rPr>
      </w:r>
      <w:r>
        <w:rPr>
          <w:rFonts w:ascii="Calibri" w:hAnsi="Calibri"/>
          <w:b/>
          <w:sz w:val="22"/>
        </w:rPr>
        <w:t>All 14 original placeholder items have been resolved:</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C.1.1 -- Compliance contact: Erik Svilich, CEO (erik.svilich@encypher.com)</w:t>
      </w:r>
    </w:p>
    <w:p>
      <w:pPr>
        <w:pStyle w:val="NoSpacing"/>
        <w:spacing w:before="20" w:after="40"/>
        <w:ind w:left="619" w:hanging="259"/>
      </w:pPr>
      <w:r>
        <w:rPr>
          <w:rFonts w:ascii="Calibri" w:hAnsi="Calibri"/>
          <w:sz w:val="22"/>
        </w:rPr>
        <w:t xml:space="preserve">2. </w:t>
      </w:r>
      <w:r>
        <w:rPr>
          <w:rFonts w:ascii="Calibri" w:hAnsi="Calibri"/>
          <w:sz w:val="22"/>
        </w:rPr>
        <w:t>C.2.1 -- SSL.com enrollment: Via c2pasign portal (conformance testing); CA enrollment post-conformance</w:t>
      </w:r>
    </w:p>
    <w:p>
      <w:pPr>
        <w:pStyle w:val="NoSpacing"/>
        <w:spacing w:before="20" w:after="40"/>
        <w:ind w:left="619" w:hanging="259"/>
      </w:pPr>
      <w:r>
        <w:rPr>
          <w:rFonts w:ascii="Calibri" w:hAnsi="Calibri"/>
          <w:sz w:val="22"/>
        </w:rPr>
        <w:t xml:space="preserve">3. </w:t>
      </w:r>
      <w:r>
        <w:rPr>
          <w:rFonts w:ascii="Calibri" w:hAnsi="Calibri"/>
          <w:sz w:val="22"/>
        </w:rPr>
        <w:t>C.2.1 -- Secrets management: Railway encrypted environment variables (AES-256)</w:t>
      </w:r>
    </w:p>
    <w:p>
      <w:pPr>
        <w:pStyle w:val="NoSpacing"/>
        <w:spacing w:before="20" w:after="40"/>
        <w:ind w:left="619" w:hanging="259"/>
      </w:pPr>
      <w:r>
        <w:rPr>
          <w:rFonts w:ascii="Calibri" w:hAnsi="Calibri"/>
          <w:sz w:val="22"/>
        </w:rPr>
        <w:t xml:space="preserve">4. </w:t>
      </w:r>
      <w:r>
        <w:rPr>
          <w:rFonts w:ascii="Calibri" w:hAnsi="Calibri"/>
          <w:sz w:val="22"/>
        </w:rPr>
        <w:t>C.2.1 -- MFA on SSL.com: Confirmed enabled</w:t>
      </w:r>
    </w:p>
    <w:p>
      <w:pPr>
        <w:pStyle w:val="NoSpacing"/>
        <w:spacing w:before="20" w:after="40"/>
        <w:ind w:left="619" w:hanging="259"/>
      </w:pPr>
      <w:r>
        <w:rPr>
          <w:rFonts w:ascii="Calibri" w:hAnsi="Calibri"/>
          <w:sz w:val="22"/>
        </w:rPr>
        <w:t xml:space="preserve">5. </w:t>
      </w:r>
      <w:r>
        <w:rPr>
          <w:rFonts w:ascii="Calibri" w:hAnsi="Calibri"/>
          <w:sz w:val="22"/>
        </w:rPr>
        <w:t>C.2.1 -- Personnel with access: Single individual (Erik Svilich, CEO)</w:t>
      </w:r>
    </w:p>
    <w:p>
      <w:pPr>
        <w:pStyle w:val="NoSpacing"/>
        <w:spacing w:before="20" w:after="40"/>
        <w:ind w:left="619" w:hanging="259"/>
      </w:pPr>
      <w:r>
        <w:rPr>
          <w:rFonts w:ascii="Calibri" w:hAnsi="Calibri"/>
          <w:sz w:val="22"/>
        </w:rPr>
        <w:t xml:space="preserve">6. </w:t>
      </w:r>
      <w:r>
        <w:rPr>
          <w:rFonts w:ascii="Calibri" w:hAnsi="Calibri"/>
          <w:sz w:val="22"/>
        </w:rPr>
        <w:t>C.2.1 -- Dependabot: Alerts enabled at GitHub org level; no config file for auto-PRs</w:t>
      </w:r>
    </w:p>
    <w:p>
      <w:pPr>
        <w:pStyle w:val="NoSpacing"/>
        <w:spacing w:before="20" w:after="40"/>
        <w:ind w:left="619" w:hanging="259"/>
      </w:pPr>
      <w:r>
        <w:rPr>
          <w:rFonts w:ascii="Calibri" w:hAnsi="Calibri"/>
          <w:sz w:val="22"/>
        </w:rPr>
        <w:t xml:space="preserve">7. </w:t>
      </w:r>
      <w:r>
        <w:rPr>
          <w:rFonts w:ascii="Calibri" w:hAnsi="Calibri"/>
          <w:sz w:val="22"/>
        </w:rPr>
        <w:t>C.2.2 -- Key generation: Via SSL.com c2pasign portal (conformance); CA process post-conformance</w:t>
      </w:r>
    </w:p>
    <w:p>
      <w:pPr>
        <w:pStyle w:val="NoSpacing"/>
        <w:spacing w:before="20" w:after="40"/>
        <w:ind w:left="619" w:hanging="259"/>
      </w:pPr>
      <w:r>
        <w:rPr>
          <w:rFonts w:ascii="Calibri" w:hAnsi="Calibri"/>
          <w:sz w:val="22"/>
        </w:rPr>
        <w:t xml:space="preserve">8. </w:t>
      </w:r>
      <w:r>
        <w:rPr>
          <w:rFonts w:ascii="Calibri" w:hAnsi="Calibri"/>
          <w:sz w:val="22"/>
        </w:rPr>
        <w:t>C.2.2 -- Env var encryption at rest: Railway AES-256</w:t>
      </w:r>
    </w:p>
    <w:p>
      <w:pPr>
        <w:pStyle w:val="NoSpacing"/>
        <w:spacing w:before="20" w:after="40"/>
        <w:ind w:left="619" w:hanging="259"/>
      </w:pPr>
      <w:r>
        <w:rPr>
          <w:rFonts w:ascii="Calibri" w:hAnsi="Calibri"/>
          <w:sz w:val="22"/>
        </w:rPr>
        <w:t xml:space="preserve">9. </w:t>
      </w:r>
      <w:r>
        <w:rPr>
          <w:rFonts w:ascii="Calibri" w:hAnsi="Calibri"/>
          <w:sz w:val="22"/>
        </w:rPr>
        <w:t>C.2.2 -- Key rotation frequency: Aligned with certificate validity period</w:t>
      </w:r>
    </w:p>
    <w:p>
      <w:pPr>
        <w:pStyle w:val="NoSpacing"/>
        <w:spacing w:before="20" w:after="40"/>
        <w:ind w:left="619" w:hanging="259"/>
      </w:pPr>
      <w:r>
        <w:rPr>
          <w:rFonts w:ascii="Calibri" w:hAnsi="Calibri"/>
          <w:sz w:val="22"/>
        </w:rPr>
        <w:t xml:space="preserve">10. </w:t>
      </w:r>
      <w:r>
        <w:rPr>
          <w:rFonts w:ascii="Calibri" w:hAnsi="Calibri"/>
          <w:sz w:val="22"/>
        </w:rPr>
        <w:t>C.2.3 -- pip-audit evidence: Attached (remediation plan documented)</w:t>
      </w:r>
    </w:p>
    <w:p>
      <w:pPr>
        <w:pStyle w:val="NoSpacing"/>
        <w:spacing w:before="20" w:after="40"/>
        <w:ind w:left="619" w:hanging="259"/>
      </w:pPr>
      <w:r>
        <w:rPr>
          <w:rFonts w:ascii="Calibri" w:hAnsi="Calibri"/>
          <w:sz w:val="22"/>
        </w:rPr>
        <w:t xml:space="preserve">11. </w:t>
      </w:r>
      <w:r>
        <w:rPr>
          <w:rFonts w:ascii="Calibri" w:hAnsi="Calibri"/>
          <w:sz w:val="22"/>
        </w:rPr>
        <w:t>C.2.5 -- TLS config: Railway edge proxy enforces TLS 1.3 minimum</w:t>
      </w:r>
    </w:p>
    <w:p>
      <w:pPr>
        <w:pStyle w:val="NoSpacing"/>
        <w:spacing w:before="20" w:after="40"/>
        <w:ind w:left="619" w:hanging="259"/>
      </w:pPr>
      <w:r>
        <w:rPr>
          <w:rFonts w:ascii="Calibri" w:hAnsi="Calibri"/>
          <w:sz w:val="22"/>
        </w:rPr>
        <w:t xml:space="preserve">12. </w:t>
      </w:r>
      <w:r>
        <w:rPr>
          <w:rFonts w:ascii="Calibri" w:hAnsi="Calibri"/>
          <w:sz w:val="22"/>
        </w:rPr>
        <w:t>C.2.6 -- Hosting platform IAM: Railway team RBAC (Owner -- sole administrator)</w:t>
      </w:r>
    </w:p>
    <w:p>
      <w:pPr>
        <w:pStyle w:val="NoSpacing"/>
        <w:spacing w:before="20" w:after="40"/>
        <w:ind w:left="619" w:hanging="259"/>
      </w:pPr>
      <w:r>
        <w:rPr>
          <w:rFonts w:ascii="Calibri" w:hAnsi="Calibri"/>
          <w:sz w:val="22"/>
        </w:rPr>
        <w:t xml:space="preserve">13. </w:t>
      </w:r>
      <w:r>
        <w:rPr>
          <w:rFonts w:ascii="Calibri" w:hAnsi="Calibri"/>
          <w:sz w:val="22"/>
        </w:rPr>
        <w:t>C.2.6 -- Human access: Single individual with production access (Erik Svilich, CEO)</w:t>
      </w:r>
    </w:p>
    <w:p>
      <w:pPr>
        <w:pStyle w:val="NoSpacing"/>
        <w:spacing w:before="20" w:after="40"/>
        <w:ind w:left="619" w:hanging="259"/>
      </w:pPr>
      <w:r>
        <w:rPr>
          <w:rFonts w:ascii="Calibri" w:hAnsi="Calibri"/>
          <w:sz w:val="22"/>
        </w:rPr>
        <w:t xml:space="preserve">14. </w:t>
      </w:r>
      <w:r>
        <w:rPr>
          <w:rFonts w:ascii="Calibri" w:hAnsi="Calibri"/>
          <w:sz w:val="22"/>
        </w:rPr>
        <w:t>C.2.6 -- Vuln scanning: pip-audit + Trivy + TruffleHog in security-scan.yml</w:t>
      </w:r>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