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drawing>
          <wp:inline xmlns:a="http://schemas.openxmlformats.org/drawingml/2006/main" xmlns:pic="http://schemas.openxmlformats.org/drawingml/2006/picture">
            <wp:extent cx="1463040" cy="260186"/>
            <wp:docPr id="1" name="Picture 1"/>
            <wp:cNvGraphicFramePr>
              <a:graphicFrameLocks noChangeAspect="1"/>
            </wp:cNvGraphicFramePr>
            <a:graphic>
              <a:graphicData uri="http://schemas.openxmlformats.org/drawingml/2006/picture">
                <pic:pic>
                  <pic:nvPicPr>
                    <pic:cNvPr id="0" name="encypher_full_nobg.png"/>
                    <pic:cNvPicPr/>
                  </pic:nvPicPr>
                  <pic:blipFill>
                    <a:blip r:embed="rId9"/>
                    <a:stretch>
                      <a:fillRect/>
                    </a:stretch>
                  </pic:blipFill>
                  <pic:spPr>
                    <a:xfrm>
                      <a:off x="0" y="0"/>
                      <a:ext cx="1463040" cy="260186"/>
                    </a:xfrm>
                    <a:prstGeom prst="rect"/>
                  </pic:spPr>
                </pic:pic>
              </a:graphicData>
            </a:graphic>
          </wp:inline>
        </w:drawing>
      </w:r>
    </w:p>
    <w:p>
      <w:pPr>
        <w:spacing w:before="0" w:after="40"/>
        <w:pBdr>
          <w:bottom w:val="single" w:sz="6" w:space="2" w:color="2A87C4"/>
        </w:pBdr>
      </w:pPr>
      <w:r>
        <w:rPr>
          <w:rFonts w:ascii="Roboto" w:hAnsi="Roboto"/>
          <w:b/>
          <w:color w:val="1B2F50"/>
          <w:sz w:val="32"/>
        </w:rPr>
        <w:t>Get Paid When AI Uses Your Content</w:t>
      </w:r>
    </w:p>
    <w:p>
      <w:pPr>
        <w:spacing w:after="80" w:before="0" w:line="240" w:lineRule="exact"/>
      </w:pPr>
      <w:r>
        <w:rPr>
          <w:rFonts w:ascii="Roboto" w:hAnsi="Roboto"/>
          <w:b/>
          <w:color w:val="333333"/>
          <w:sz w:val="19"/>
        </w:rPr>
        <w:t>Eliminate the "we didn't know it was yours" defense.</w:t>
      </w:r>
    </w:p>
    <w:p>
      <w:pPr>
        <w:spacing w:before="140" w:after="40"/>
      </w:pPr>
      <w:r>
        <w:rPr>
          <w:rFonts w:ascii="Roboto" w:hAnsi="Roboto"/>
          <w:b/>
          <w:color w:val="2A87C4"/>
          <w:sz w:val="21"/>
        </w:rPr>
        <w:t>The Problem</w:t>
      </w:r>
    </w:p>
    <w:p>
      <w:pPr>
        <w:spacing w:after="60" w:before="0" w:line="240" w:lineRule="exact"/>
      </w:pPr>
      <w:r>
        <w:rPr>
          <w:rFonts w:ascii="Roboto" w:hAnsi="Roboto"/>
          <w:b w:val="0"/>
          <w:color w:val="333333"/>
          <w:sz w:val="17"/>
        </w:rPr>
        <w:t>Content on the open web has no proof of origin. When your articles, images, audio, video, and documents are copy-pasted, distributed through wire services, scraped by aggregators, or used to train AI models, the connection to your organization disappears. AI companies claim they didn't know. That defense works because ownership is unprovable. Encypher makes it provable.</w:t>
      </w:r>
    </w:p>
    <w:p>
      <w:pPr>
        <w:spacing w:before="140" w:after="40"/>
      </w:pPr>
      <w:r>
        <w:rPr>
          <w:rFonts w:ascii="Roboto" w:hAnsi="Roboto"/>
          <w:b/>
          <w:color w:val="2A87C4"/>
          <w:sz w:val="21"/>
        </w:rPr>
        <w:t>The Legal Shift</w:t>
      </w:r>
    </w:p>
    <w:tbl>
      <w:tblPr>
        <w:tblW w:type="auto" w:w="0"/>
        <w:jc w:val="center"/>
        <w:tblLook w:firstColumn="1" w:firstRow="1" w:lastColumn="0" w:lastRow="0" w:noHBand="0" w:noVBand="1" w:val="04A0"/>
        <w:tblBorders>
          <w:top w:val="single" w:sz="4" w:space="0" w:color="B7D5ED"/>
          <w:left w:val="single" w:sz="4" w:space="0" w:color="B7D5ED"/>
          <w:bottom w:val="single" w:sz="4" w:space="0" w:color="B7D5ED"/>
          <w:right w:val="single" w:sz="4" w:space="0" w:color="B7D5ED"/>
          <w:insideH w:val="single" w:sz="4" w:space="0" w:color="B7D5ED"/>
          <w:insideV w:val="single" w:sz="4" w:space="0" w:color="B7D5ED"/>
        </w:tblBorders>
      </w:tblPr>
      <w:tblGrid>
        <w:gridCol w:w="4680"/>
        <w:gridCol w:w="4680"/>
      </w:tblGrid>
      <w:tr>
        <w:tc>
          <w:tcPr>
            <w:tcW w:type="dxa" w:w="4968"/>
            <w:shd w:fill="1B2F50" w:val="clear"/>
          </w:tcPr>
          <w:p>
            <w:pPr>
              <w:spacing w:before="40" w:after="40"/>
            </w:pPr>
            <w:r/>
            <w:r>
              <w:rPr>
                <w:rFonts w:ascii="Roboto" w:hAnsi="Roboto"/>
                <w:b/>
                <w:color w:val="FFFFFF"/>
                <w:sz w:val="15"/>
              </w:rPr>
              <w:t>Without Encypher</w:t>
            </w:r>
          </w:p>
        </w:tc>
        <w:tc>
          <w:tcPr>
            <w:tcW w:type="dxa" w:w="4968"/>
            <w:shd w:fill="1B2F50" w:val="clear"/>
          </w:tcPr>
          <w:p>
            <w:pPr>
              <w:spacing w:before="40" w:after="40"/>
            </w:pPr>
            <w:r/>
            <w:r>
              <w:rPr>
                <w:rFonts w:ascii="Roboto" w:hAnsi="Roboto"/>
                <w:b/>
                <w:color w:val="FFFFFF"/>
                <w:sz w:val="15"/>
              </w:rPr>
              <w:t>With Encypher</w:t>
            </w:r>
          </w:p>
        </w:tc>
      </w:tr>
      <w:tr>
        <w:tc>
          <w:tcPr>
            <w:tcW w:type="dxa" w:w="4968"/>
          </w:tcPr>
          <w:p>
            <w:pPr>
              <w:spacing w:before="20" w:after="20"/>
            </w:pPr>
            <w:r/>
            <w:r>
              <w:rPr>
                <w:rFonts w:ascii="Roboto" w:hAnsi="Roboto"/>
                <w:color w:val="333333"/>
                <w:sz w:val="15"/>
              </w:rPr>
              <w:t>Innocent infringement. AI company claims it did not know the content was protected. You face expensive discovery, forensic analysis, and uncertain outcomes.</w:t>
            </w:r>
          </w:p>
        </w:tc>
        <w:tc>
          <w:tcPr>
            <w:tcW w:type="dxa" w:w="4968"/>
          </w:tcPr>
          <w:p>
            <w:pPr>
              <w:spacing w:before="20" w:after="20"/>
            </w:pPr>
            <w:r/>
            <w:r>
              <w:rPr>
                <w:rFonts w:ascii="Roboto" w:hAnsi="Roboto"/>
                <w:color w:val="333333"/>
                <w:sz w:val="15"/>
              </w:rPr>
              <w:t>Willful infringement. Invisible proof of ownership travels with every sentence. Formal notice is on the record. Continued unauthorized use is provable and intentional.</w:t>
            </w:r>
          </w:p>
        </w:tc>
      </w:tr>
    </w:tbl>
    <w:p>
      <w:pPr>
        <w:spacing w:before="140" w:after="40"/>
      </w:pPr>
      <w:r>
        <w:rPr>
          <w:rFonts w:ascii="Roboto" w:hAnsi="Roboto"/>
          <w:b/>
          <w:color w:val="2A87C4"/>
          <w:sz w:val="21"/>
        </w:rPr>
        <w:t>Mark It. Track It. Own It.</w:t>
      </w:r>
    </w:p>
    <w:tbl>
      <w:tblPr>
        <w:tblW w:type="auto" w:w="0"/>
        <w:jc w:val="center"/>
        <w:tblLook w:firstColumn="1" w:firstRow="1" w:lastColumn="0" w:lastRow="0" w:noHBand="0" w:noVBand="1" w:val="04A0"/>
        <w:tblBorders>
          <w:top w:val="single" w:sz="4" w:space="0" w:color="B7D5ED"/>
          <w:left w:val="single" w:sz="4" w:space="0" w:color="B7D5ED"/>
          <w:bottom w:val="single" w:sz="4" w:space="0" w:color="B7D5ED"/>
          <w:right w:val="single" w:sz="4" w:space="0" w:color="B7D5ED"/>
          <w:insideH w:val="single" w:sz="4" w:space="0" w:color="B7D5ED"/>
          <w:insideV w:val="single" w:sz="4" w:space="0" w:color="B7D5ED"/>
        </w:tblBorders>
      </w:tblPr>
      <w:tblGrid>
        <w:gridCol w:w="4680"/>
        <w:gridCol w:w="4680"/>
      </w:tblGrid>
      <w:tr>
        <w:tc>
          <w:tcPr>
            <w:tcW w:type="dxa" w:w="1440"/>
            <w:shd w:fill="1B2F50" w:val="clear"/>
          </w:tcPr>
          <w:p>
            <w:pPr>
              <w:spacing w:before="40" w:after="40"/>
            </w:pPr>
            <w:r/>
            <w:r>
              <w:rPr>
                <w:rFonts w:ascii="Roboto" w:hAnsi="Roboto"/>
                <w:b/>
                <w:color w:val="FFFFFF"/>
                <w:sz w:val="15"/>
              </w:rPr>
              <w:t>Step</w:t>
            </w:r>
          </w:p>
        </w:tc>
        <w:tc>
          <w:tcPr>
            <w:tcW w:type="dxa" w:w="8064"/>
            <w:shd w:fill="1B2F50" w:val="clear"/>
          </w:tcPr>
          <w:p>
            <w:pPr>
              <w:spacing w:before="40" w:after="40"/>
            </w:pPr>
            <w:r/>
            <w:r>
              <w:rPr>
                <w:rFonts w:ascii="Roboto" w:hAnsi="Roboto"/>
                <w:b/>
                <w:color w:val="FFFFFF"/>
                <w:sz w:val="15"/>
              </w:rPr>
              <w:t>What Happens</w:t>
            </w:r>
          </w:p>
        </w:tc>
      </w:tr>
      <w:tr>
        <w:tc>
          <w:tcPr>
            <w:tcW w:type="dxa" w:w="1440"/>
          </w:tcPr>
          <w:p>
            <w:pPr>
              <w:spacing w:before="20" w:after="20"/>
            </w:pPr>
            <w:r/>
            <w:r>
              <w:rPr>
                <w:rFonts w:ascii="Roboto" w:hAnsi="Roboto"/>
                <w:color w:val="333333"/>
                <w:sz w:val="15"/>
              </w:rPr>
              <w:t>1. Mark It</w:t>
            </w:r>
          </w:p>
        </w:tc>
        <w:tc>
          <w:tcPr>
            <w:tcW w:type="dxa" w:w="8064"/>
          </w:tcPr>
          <w:p>
            <w:pPr>
              <w:spacing w:before="20" w:after="20"/>
            </w:pPr>
            <w:r/>
            <w:r>
              <w:rPr>
                <w:rFonts w:ascii="Roboto" w:hAnsi="Roboto"/>
                <w:color w:val="333333"/>
                <w:sz w:val="15"/>
              </w:rPr>
              <w:t>Invisible, tamper-evident signatures embed directly into your content - text, images, audio, video, live streams, and documents. Survives copy-paste, scraping, and syndication. Audiences see nothing different.</w:t>
            </w:r>
          </w:p>
        </w:tc>
      </w:tr>
      <w:tr>
        <w:tc>
          <w:tcPr>
            <w:tcW w:type="dxa" w:w="1440"/>
            <w:shd w:fill="EDF4F9" w:val="clear"/>
          </w:tcPr>
          <w:p>
            <w:pPr>
              <w:spacing w:before="20" w:after="20"/>
            </w:pPr>
            <w:r/>
            <w:r>
              <w:rPr>
                <w:rFonts w:ascii="Roboto" w:hAnsi="Roboto"/>
                <w:color w:val="333333"/>
                <w:sz w:val="15"/>
              </w:rPr>
              <w:t>2. Track It</w:t>
            </w:r>
          </w:p>
        </w:tc>
        <w:tc>
          <w:tcPr>
            <w:tcW w:type="dxa" w:w="8064"/>
            <w:shd w:fill="EDF4F9" w:val="clear"/>
          </w:tcPr>
          <w:p>
            <w:pPr>
              <w:spacing w:before="20" w:after="20"/>
            </w:pPr>
            <w:r/>
            <w:r>
              <w:rPr>
                <w:rFonts w:ascii="Roboto" w:hAnsi="Roboto"/>
                <w:color w:val="333333"/>
                <w:sz w:val="15"/>
              </w:rPr>
              <w:t>Your dashboard shows where signed content appears across competitor sites, aggregators, and AI outputs. Evidence trails build automatically.</w:t>
            </w:r>
          </w:p>
        </w:tc>
      </w:tr>
      <w:tr>
        <w:tc>
          <w:tcPr>
            <w:tcW w:type="dxa" w:w="1440"/>
          </w:tcPr>
          <w:p>
            <w:pPr>
              <w:spacing w:before="20" w:after="20"/>
            </w:pPr>
            <w:r/>
            <w:r>
              <w:rPr>
                <w:rFonts w:ascii="Roboto" w:hAnsi="Roboto"/>
                <w:color w:val="333333"/>
                <w:sz w:val="15"/>
              </w:rPr>
              <w:t>3. Own It</w:t>
            </w:r>
          </w:p>
        </w:tc>
        <w:tc>
          <w:tcPr>
            <w:tcW w:type="dxa" w:w="8064"/>
          </w:tcPr>
          <w:p>
            <w:pPr>
              <w:spacing w:before="20" w:after="20"/>
            </w:pPr>
            <w:r/>
            <w:r>
              <w:rPr>
                <w:rFonts w:ascii="Roboto" w:hAnsi="Roboto"/>
                <w:color w:val="333333"/>
                <w:sz w:val="15"/>
              </w:rPr>
              <w:t>Set machine-readable licensing terms. Serve formal notice to AI companies using your content. License through the coalition or negotiate directly.</w:t>
            </w:r>
          </w:p>
        </w:tc>
      </w:tr>
    </w:tbl>
    <w:p>
      <w:pPr>
        <w:spacing w:before="140" w:after="40"/>
      </w:pPr>
      <w:r>
        <w:rPr>
          <w:rFonts w:ascii="Roboto" w:hAnsi="Roboto"/>
          <w:b/>
          <w:color w:val="2A87C4"/>
          <w:sz w:val="21"/>
        </w:rPr>
        <w:t>Free to Sign. Paid to Enforce.</w:t>
      </w:r>
    </w:p>
    <w:tbl>
      <w:tblPr>
        <w:tblW w:type="auto" w:w="0"/>
        <w:jc w:val="center"/>
        <w:tblLook w:firstColumn="1" w:firstRow="1" w:lastColumn="0" w:lastRow="0" w:noHBand="0" w:noVBand="1" w:val="04A0"/>
        <w:tblBorders>
          <w:top w:val="single" w:sz="4" w:space="0" w:color="B7D5ED"/>
          <w:left w:val="single" w:sz="4" w:space="0" w:color="B7D5ED"/>
          <w:bottom w:val="single" w:sz="4" w:space="0" w:color="B7D5ED"/>
          <w:right w:val="single" w:sz="4" w:space="0" w:color="B7D5ED"/>
          <w:insideH w:val="single" w:sz="4" w:space="0" w:color="B7D5ED"/>
          <w:insideV w:val="single" w:sz="4" w:space="0" w:color="B7D5ED"/>
        </w:tblBorders>
      </w:tblPr>
      <w:tblGrid>
        <w:gridCol w:w="4680"/>
        <w:gridCol w:w="4680"/>
      </w:tblGrid>
      <w:tr>
        <w:tc>
          <w:tcPr>
            <w:tcW w:type="dxa" w:w="5040"/>
            <w:shd w:fill="1B2F50" w:val="clear"/>
          </w:tcPr>
          <w:p>
            <w:pPr>
              <w:spacing w:before="40" w:after="40"/>
            </w:pPr>
            <w:r/>
            <w:r>
              <w:rPr>
                <w:rFonts w:ascii="Roboto" w:hAnsi="Roboto"/>
                <w:b/>
                <w:color w:val="FFFFFF"/>
                <w:sz w:val="15"/>
              </w:rPr>
              <w:t>Free - Every Publisher</w:t>
            </w:r>
          </w:p>
        </w:tc>
        <w:tc>
          <w:tcPr>
            <w:tcW w:type="dxa" w:w="5040"/>
            <w:shd w:fill="1B2F50" w:val="clear"/>
          </w:tcPr>
          <w:p>
            <w:pPr>
              <w:spacing w:before="40" w:after="40"/>
            </w:pPr>
            <w:r/>
            <w:r>
              <w:rPr>
                <w:rFonts w:ascii="Roboto" w:hAnsi="Roboto"/>
                <w:b/>
                <w:color w:val="FFFFFF"/>
                <w:sz w:val="15"/>
              </w:rPr>
              <w:t>Enforcement Add-Ons</w:t>
            </w:r>
          </w:p>
        </w:tc>
      </w:tr>
      <w:tr>
        <w:tc>
          <w:tcPr>
            <w:tcW w:type="dxa" w:w="5040"/>
          </w:tcPr>
          <w:p>
            <w:pPr>
              <w:spacing w:before="20" w:after="20"/>
            </w:pPr>
            <w:r/>
            <w:r>
              <w:rPr>
                <w:rFonts w:ascii="Roboto" w:hAnsi="Roboto"/>
                <w:color w:val="333333"/>
                <w:sz w:val="15"/>
              </w:rPr>
              <w:t>Prove ownership of every piece you publish</w:t>
              <w:br/>
              <w:t>Full-stack: text, images, audio, video, streams, docs</w:t>
              <w:br/>
              <w:t>Invisible signatures that survive redistribution</w:t>
              <w:br/>
              <w:t>Machine-readable licensing terms</w:t>
              <w:br/>
              <w:t>Coalition membership</w:t>
              <w:br/>
              <w:t>WordPress plugin, Chrome extension, API</w:t>
            </w:r>
          </w:p>
        </w:tc>
        <w:tc>
          <w:tcPr>
            <w:tcW w:type="dxa" w:w="5040"/>
          </w:tcPr>
          <w:p>
            <w:pPr>
              <w:spacing w:before="20" w:after="20"/>
            </w:pPr>
            <w:r/>
            <w:r>
              <w:rPr>
                <w:rFonts w:ascii="Roboto" w:hAnsi="Roboto"/>
                <w:color w:val="333333"/>
                <w:sz w:val="15"/>
              </w:rPr>
              <w:t>Attribution Analytics (detection dashboard)</w:t>
              <w:br/>
              <w:t>Formal Notice packages</w:t>
              <w:br/>
              <w:t>Court-ready evidence packages</w:t>
              <w:br/>
              <w:t>Enterprise: unlimited volume, custom identity,</w:t>
              <w:br/>
              <w:t>dedicated SLA, bulk archive backfill ($0.01/doc)</w:t>
            </w:r>
          </w:p>
        </w:tc>
      </w:tr>
    </w:tbl>
    <w:p>
      <w:pPr>
        <w:spacing w:after="40" w:before="0" w:line="240" w:lineRule="exact"/>
      </w:pPr>
      <w:r>
        <w:rPr>
          <w:rFonts w:ascii="Roboto" w:hAnsi="Roboto"/>
          <w:b/>
          <w:color w:val="333333"/>
          <w:sz w:val="16"/>
        </w:rPr>
        <w:t xml:space="preserve">Two-Track Licensing: </w:t>
      </w:r>
      <w:r>
        <w:rPr>
          <w:rFonts w:ascii="Roboto" w:hAnsi="Roboto"/>
          <w:b w:val="0"/>
          <w:color w:val="333333"/>
          <w:sz w:val="16"/>
        </w:rPr>
        <w:t>Coalition deals (we negotiate) or self-service deals (you negotiate). Choose per deal. We only win when you win.</w:t>
      </w:r>
    </w:p>
    <w:p>
      <w:pPr>
        <w:spacing w:before="140" w:after="40"/>
      </w:pPr>
      <w:r>
        <w:rPr>
          <w:rFonts w:ascii="Roboto" w:hAnsi="Roboto"/>
          <w:b/>
          <w:color w:val="2A87C4"/>
          <w:sz w:val="21"/>
        </w:rPr>
        <w:t>What Makes Encypher Different</w:t>
      </w:r>
    </w:p>
    <w:tbl>
      <w:tblPr>
        <w:tblW w:type="auto" w:w="0"/>
        <w:jc w:val="center"/>
        <w:tblLook w:firstColumn="1" w:firstRow="1" w:lastColumn="0" w:lastRow="0" w:noHBand="0" w:noVBand="1" w:val="04A0"/>
        <w:tblBorders>
          <w:top w:val="single" w:sz="4" w:space="0" w:color="B7D5ED"/>
          <w:left w:val="single" w:sz="4" w:space="0" w:color="B7D5ED"/>
          <w:bottom w:val="single" w:sz="4" w:space="0" w:color="B7D5ED"/>
          <w:right w:val="single" w:sz="4" w:space="0" w:color="B7D5ED"/>
          <w:insideH w:val="single" w:sz="4" w:space="0" w:color="B7D5ED"/>
          <w:insideV w:val="single" w:sz="4" w:space="0" w:color="B7D5ED"/>
        </w:tblBorders>
      </w:tblPr>
      <w:tblGrid>
        <w:gridCol w:w="3120"/>
        <w:gridCol w:w="3120"/>
        <w:gridCol w:w="3120"/>
      </w:tblGrid>
      <w:tr>
        <w:tc>
          <w:tcPr>
            <w:tcW w:type="dxa" w:w="2448"/>
            <w:shd w:fill="1B2F50" w:val="clear"/>
          </w:tcPr>
          <w:p>
            <w:pPr>
              <w:spacing w:before="40" w:after="40"/>
            </w:pPr>
            <w:r/>
            <w:r>
              <w:rPr>
                <w:rFonts w:ascii="Roboto" w:hAnsi="Roboto"/>
                <w:b/>
                <w:color w:val="FFFFFF"/>
                <w:sz w:val="15"/>
              </w:rPr>
              <w:t>Approach</w:t>
            </w:r>
          </w:p>
        </w:tc>
        <w:tc>
          <w:tcPr>
            <w:tcW w:type="dxa" w:w="3888"/>
            <w:shd w:fill="1B2F50" w:val="clear"/>
          </w:tcPr>
          <w:p>
            <w:pPr>
              <w:spacing w:before="40" w:after="40"/>
            </w:pPr>
            <w:r/>
            <w:r>
              <w:rPr>
                <w:rFonts w:ascii="Roboto" w:hAnsi="Roboto"/>
                <w:b/>
                <w:color w:val="FFFFFF"/>
                <w:sz w:val="15"/>
              </w:rPr>
              <w:t>How It Works</w:t>
            </w:r>
          </w:p>
        </w:tc>
        <w:tc>
          <w:tcPr>
            <w:tcW w:type="dxa" w:w="3600"/>
            <w:shd w:fill="1B2F50" w:val="clear"/>
          </w:tcPr>
          <w:p>
            <w:pPr>
              <w:spacing w:before="40" w:after="40"/>
            </w:pPr>
            <w:r/>
            <w:r>
              <w:rPr>
                <w:rFonts w:ascii="Roboto" w:hAnsi="Roboto"/>
                <w:b/>
                <w:color w:val="FFFFFF"/>
                <w:sz w:val="15"/>
              </w:rPr>
              <w:t>Limitation</w:t>
            </w:r>
          </w:p>
        </w:tc>
      </w:tr>
      <w:tr>
        <w:tc>
          <w:tcPr>
            <w:tcW w:type="dxa" w:w="2448"/>
          </w:tcPr>
          <w:p>
            <w:pPr>
              <w:spacing w:before="20" w:after="20"/>
            </w:pPr>
            <w:r/>
            <w:r>
              <w:rPr>
                <w:rFonts w:ascii="Roboto" w:hAnsi="Roboto"/>
                <w:color w:val="333333"/>
                <w:sz w:val="15"/>
              </w:rPr>
              <w:t>Access Gates</w:t>
              <w:br/>
              <w:t>(TollBit, Cloudflare)</w:t>
            </w:r>
          </w:p>
        </w:tc>
        <w:tc>
          <w:tcPr>
            <w:tcW w:type="dxa" w:w="3888"/>
          </w:tcPr>
          <w:p>
            <w:pPr>
              <w:spacing w:before="20" w:after="20"/>
            </w:pPr>
            <w:r/>
            <w:r>
              <w:rPr>
                <w:rFonts w:ascii="Roboto" w:hAnsi="Roboto"/>
                <w:color w:val="333333"/>
                <w:sz w:val="15"/>
              </w:rPr>
              <w:t>Block or meter AI crawlers at your server.</w:t>
            </w:r>
          </w:p>
        </w:tc>
        <w:tc>
          <w:tcPr>
            <w:tcW w:type="dxa" w:w="3600"/>
          </w:tcPr>
          <w:p>
            <w:pPr>
              <w:spacing w:before="20" w:after="20"/>
            </w:pPr>
            <w:r/>
            <w:r>
              <w:rPr>
                <w:rFonts w:ascii="Roboto" w:hAnsi="Roboto"/>
                <w:color w:val="333333"/>
                <w:sz w:val="15"/>
              </w:rPr>
              <w:t>Only works when AI companies opt in. Does nothing for content already distributed.</w:t>
            </w:r>
          </w:p>
        </w:tc>
      </w:tr>
      <w:tr>
        <w:tc>
          <w:tcPr>
            <w:tcW w:type="dxa" w:w="2448"/>
            <w:shd w:fill="EDF4F9" w:val="clear"/>
          </w:tcPr>
          <w:p>
            <w:pPr>
              <w:spacing w:before="20" w:after="20"/>
            </w:pPr>
            <w:r/>
            <w:r>
              <w:rPr>
                <w:rFonts w:ascii="Roboto" w:hAnsi="Roboto"/>
                <w:color w:val="333333"/>
                <w:sz w:val="15"/>
              </w:rPr>
              <w:t>Opt-In Marketplaces</w:t>
              <w:br/>
              <w:t>(ProRata, Microsoft)</w:t>
            </w:r>
          </w:p>
        </w:tc>
        <w:tc>
          <w:tcPr>
            <w:tcW w:type="dxa" w:w="3888"/>
            <w:shd w:fill="EDF4F9" w:val="clear"/>
          </w:tcPr>
          <w:p>
            <w:pPr>
              <w:spacing w:before="20" w:after="20"/>
            </w:pPr>
            <w:r/>
            <w:r>
              <w:rPr>
                <w:rFonts w:ascii="Roboto" w:hAnsi="Roboto"/>
                <w:color w:val="333333"/>
                <w:sz w:val="15"/>
              </w:rPr>
              <w:t>Broker deals between publishers and AI companies.</w:t>
            </w:r>
          </w:p>
        </w:tc>
        <w:tc>
          <w:tcPr>
            <w:tcW w:type="dxa" w:w="3600"/>
            <w:shd w:fill="EDF4F9" w:val="clear"/>
          </w:tcPr>
          <w:p>
            <w:pPr>
              <w:spacing w:before="20" w:after="20"/>
            </w:pPr>
            <w:r/>
            <w:r>
              <w:rPr>
                <w:rFonts w:ascii="Roboto" w:hAnsi="Roboto"/>
                <w:color w:val="333333"/>
                <w:sz w:val="15"/>
              </w:rPr>
              <w:t>Revenue depends on platform adoption. Microsoft is simultaneously buyer and broker.</w:t>
            </w:r>
          </w:p>
        </w:tc>
      </w:tr>
      <w:tr>
        <w:tc>
          <w:tcPr>
            <w:tcW w:type="dxa" w:w="2448"/>
          </w:tcPr>
          <w:p>
            <w:pPr>
              <w:spacing w:before="20" w:after="20"/>
            </w:pPr>
            <w:r/>
            <w:r>
              <w:rPr>
                <w:rFonts w:ascii="Roboto" w:hAnsi="Roboto"/>
                <w:color w:val="333333"/>
                <w:sz w:val="15"/>
              </w:rPr>
              <w:t>Encypher</w:t>
              <w:br/>
              <w:t>(Content Provenance)</w:t>
            </w:r>
          </w:p>
        </w:tc>
        <w:tc>
          <w:tcPr>
            <w:tcW w:type="dxa" w:w="3888"/>
          </w:tcPr>
          <w:p>
            <w:pPr>
              <w:spacing w:before="20" w:after="20"/>
            </w:pPr>
            <w:r/>
            <w:r>
              <w:rPr>
                <w:rFonts w:ascii="Roboto" w:hAnsi="Roboto"/>
                <w:color w:val="333333"/>
                <w:sz w:val="15"/>
              </w:rPr>
              <w:t>Invisible proof of origin embedded in the content itself - text, images, audio, video, streams, and documents. Survives redistribution.</w:t>
            </w:r>
          </w:p>
        </w:tc>
        <w:tc>
          <w:tcPr>
            <w:tcW w:type="dxa" w:w="3600"/>
          </w:tcPr>
          <w:p>
            <w:pPr>
              <w:spacing w:before="20" w:after="20"/>
            </w:pPr>
            <w:r/>
            <w:r>
              <w:rPr>
                <w:rFonts w:ascii="Roboto" w:hAnsi="Roboto"/>
                <w:color w:val="333333"/>
                <w:sz w:val="15"/>
              </w:rPr>
              <w:t>Works unilaterally. No AI company</w:t>
              <w:br/>
              <w:t>cooperation required.</w:t>
            </w:r>
          </w:p>
        </w:tc>
      </w:tr>
    </w:tbl>
    <w:p>
      <w:pPr>
        <w:spacing w:after="40" w:before="0" w:line="240" w:lineRule="exact"/>
      </w:pPr>
      <w:r>
        <w:rPr>
          <w:rFonts w:ascii="Roboto" w:hAnsi="Roboto"/>
          <w:b w:val="0"/>
          <w:color w:val="333333"/>
          <w:sz w:val="16"/>
        </w:rPr>
        <w:t>These layers are complementary. Access gates handle cooperative crawlers. Marketplaces handle willing buyers. Encypher handles everything else - it is the only layer that works when AI companies do not opt in.</w:t>
      </w:r>
    </w:p>
    <w:p>
      <w:pPr>
        <w:spacing w:before="140" w:after="40"/>
      </w:pPr>
      <w:r>
        <w:rPr>
          <w:rFonts w:ascii="Roboto" w:hAnsi="Roboto"/>
          <w:b/>
          <w:color w:val="2A87C4"/>
          <w:sz w:val="21"/>
        </w:rPr>
        <w:t>Why Encypher. Why Now.</w:t>
      </w:r>
    </w:p>
    <w:p>
      <w:pPr>
        <w:spacing w:after="20" w:before="0" w:line="220" w:lineRule="exact"/>
        <w:ind w:left="340"/>
      </w:pPr>
      <w:r>
        <w:rPr>
          <w:rFonts w:ascii="Roboto" w:hAnsi="Roboto"/>
          <w:color w:val="2A87C4"/>
          <w:sz w:val="16"/>
        </w:rPr>
        <w:t xml:space="preserve">•  </w:t>
      </w:r>
      <w:r>
        <w:rPr>
          <w:rFonts w:ascii="Roboto" w:hAnsi="Roboto"/>
          <w:color w:val="333333"/>
          <w:sz w:val="16"/>
        </w:rPr>
        <w:t>We authored the standard. Erik Svilich wrote the C2PA text provenance specification and co-chairs the Text Task Force. Encypher is the reference implementation.</w:t>
      </w:r>
    </w:p>
    <w:p>
      <w:pPr>
        <w:spacing w:after="20" w:before="0" w:line="220" w:lineRule="exact"/>
        <w:ind w:left="340"/>
      </w:pPr>
      <w:r>
        <w:rPr>
          <w:rFonts w:ascii="Roboto" w:hAnsi="Roboto"/>
          <w:color w:val="2A87C4"/>
          <w:sz w:val="16"/>
        </w:rPr>
        <w:t xml:space="preserve">•  </w:t>
      </w:r>
      <w:r>
        <w:rPr>
          <w:rFonts w:ascii="Roboto" w:hAnsi="Roboto"/>
          <w:color w:val="333333"/>
          <w:sz w:val="16"/>
        </w:rPr>
        <w:t>Publishers who sign now define how AI content licensing works. Later adopters accept terms others set.</w:t>
      </w:r>
    </w:p>
    <w:p>
      <w:pPr>
        <w:spacing w:after="20" w:before="0" w:line="220" w:lineRule="exact"/>
        <w:ind w:left="340"/>
      </w:pPr>
      <w:r>
        <w:rPr>
          <w:rFonts w:ascii="Roboto" w:hAnsi="Roboto"/>
          <w:color w:val="2A87C4"/>
          <w:sz w:val="16"/>
        </w:rPr>
        <w:t xml:space="preserve">•  </w:t>
      </w:r>
      <w:r>
        <w:rPr>
          <w:rFonts w:ascii="Roboto" w:hAnsi="Roboto"/>
          <w:color w:val="333333"/>
          <w:sz w:val="16"/>
        </w:rPr>
        <w:t>Your archive is your most valuable asset. It should not exist on the open web without proof it is yours.</w:t>
      </w:r>
    </w:p>
    <w:p>
      <w:pPr>
        <w:spacing w:before="140" w:after="40"/>
      </w:pPr>
      <w:r>
        <w:rPr>
          <w:rFonts w:ascii="Roboto" w:hAnsi="Roboto"/>
          <w:b/>
          <w:color w:val="2A87C4"/>
          <w:sz w:val="21"/>
        </w:rPr>
        <w:t>Get Started in Minutes</w:t>
      </w:r>
    </w:p>
    <w:p>
      <w:pPr>
        <w:spacing w:after="40" w:before="0" w:line="240" w:lineRule="exact"/>
      </w:pPr>
      <w:r>
        <w:rPr>
          <w:rFonts w:ascii="Roboto" w:hAnsi="Roboto"/>
          <w:b w:val="0"/>
          <w:color w:val="333333"/>
          <w:sz w:val="16"/>
        </w:rPr>
        <w:t>WordPress plugin (one-click, auto-signs on publish), Ghost CMS webhook, REST API with Python and TypeScript SDKs, or bulk archive backfill at $0.01/doc. Average setup time: under 20 minutes. No engineering staff required.</w:t>
      </w:r>
    </w:p>
    <w:p>
      <w:pPr>
        <w:spacing w:before="140" w:after="40"/>
      </w:pPr>
      <w:r>
        <w:rPr>
          <w:rFonts w:ascii="Roboto" w:hAnsi="Roboto"/>
          <w:b/>
          <w:color w:val="2A87C4"/>
          <w:sz w:val="21"/>
        </w:rPr>
        <w:t>Next Step: See It In Action</w:t>
      </w:r>
    </w:p>
    <w:p>
      <w:pPr>
        <w:spacing w:after="60" w:before="0" w:line="240" w:lineRule="exact"/>
      </w:pPr>
      <w:r>
        <w:rPr>
          <w:rFonts w:ascii="Roboto" w:hAnsi="Roboto"/>
          <w:b/>
          <w:color w:val="333333"/>
          <w:sz w:val="17"/>
        </w:rPr>
        <w:t>15-minute demo. Mark a subset of your content. See results in your dashboard. No commitment required.</w:t>
      </w:r>
    </w:p>
    <w:p>
      <w:pPr>
        <w:pBdr>
          <w:top w:val="single" w:sz="4" w:space="2" w:color="B7D5ED"/>
        </w:pBdr>
        <w:spacing w:before="120" w:after="60"/>
      </w:pPr>
    </w:p>
    <w:p>
      <w:pPr>
        <w:spacing w:after="20" w:before="0"/>
        <w:jc w:val="center"/>
      </w:pPr>
      <w:r>
        <w:rPr>
          <w:rFonts w:ascii="Roboto" w:hAnsi="Roboto"/>
          <w:b/>
          <w:color w:val="1B2F50"/>
          <w:sz w:val="15"/>
        </w:rPr>
        <w:t>Erik Svilich</w:t>
      </w:r>
      <w:r>
        <w:rPr>
          <w:rFonts w:ascii="Roboto" w:hAnsi="Roboto"/>
          <w:b w:val="0"/>
          <w:color w:val="333333"/>
          <w:sz w:val="15"/>
        </w:rPr>
        <w:t xml:space="preserve"> - CEO &amp; Co-Chair, C2PA Text Task Force - erik.svilich@encypher.com</w:t>
      </w:r>
    </w:p>
    <w:p>
      <w:pPr>
        <w:spacing w:after="20" w:before="0"/>
        <w:jc w:val="center"/>
      </w:pPr>
      <w:r>
        <w:rPr>
          <w:rFonts w:ascii="Roboto" w:hAnsi="Roboto"/>
          <w:b/>
          <w:color w:val="1B2F50"/>
          <w:sz w:val="15"/>
        </w:rPr>
        <w:t>Matt Kaminsky</w:t>
      </w:r>
      <w:r>
        <w:rPr>
          <w:rFonts w:ascii="Roboto" w:hAnsi="Roboto"/>
          <w:b w:val="0"/>
          <w:color w:val="333333"/>
          <w:sz w:val="15"/>
        </w:rPr>
        <w:t xml:space="preserve"> - Chief Commercial Officer - matt.kaminsky@encypher.com</w:t>
      </w:r>
    </w:p>
    <w:p>
      <w:pPr>
        <w:spacing w:after="0" w:before="20"/>
        <w:jc w:val="center"/>
      </w:pPr>
      <w:r>
        <w:rPr>
          <w:rFonts w:ascii="Roboto" w:hAnsi="Roboto"/>
          <w:color w:val="2A87C4"/>
          <w:sz w:val="15"/>
        </w:rPr>
        <w:t>encypher.com  |  dashboard.encypher.com  |  docs.encypher.com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