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Roboto" w:cs="Roboto" w:eastAsia="Roboto" w:hAnsi="Roboto"/>
          <w:b/>
          <w:bCs/>
          <w:color w:val="1B2F50"/>
          <w:sz w:val="56"/>
          <w:szCs w:val="56"/>
        </w:rPr>
        <w:t xml:space="preserve">ENCYPHER CORPORATION</w:t>
      </w:r>
    </w:p>
    <w:p>
      <w:pPr>
        <w:spacing w:after="100"/>
        <w:jc w:val="center"/>
      </w:pPr>
      <w:r>
        <w:rPr>
          <w:rFonts w:ascii="Roboto" w:cs="Roboto" w:eastAsia="Roboto" w:hAnsi="Roboto"/>
          <w:color w:val="2A87C4"/>
          <w:sz w:val="36"/>
          <w:szCs w:val="36"/>
        </w:rPr>
        <w:t xml:space="preserve">Strategic &amp; Documentation Review</w:t>
      </w:r>
    </w:p>
    <w:p>
      <w:pPr>
        <w:spacing w:after="100"/>
        <w:jc w:val="center"/>
      </w:pPr>
      <w:r>
        <w:rPr>
          <w:rFonts w:ascii="Roboto" w:cs="Roboto" w:eastAsia="Roboto" w:hAnsi="Roboto"/>
          <w:color w:val="2A87C4"/>
          <w:sz w:val="28"/>
          <w:szCs w:val="28"/>
        </w:rPr>
        <w:t xml:space="preserve">January - March 2026 (2-Month Retrospective)</w:t>
      </w:r>
    </w:p>
    <w:p>
      <w:pPr>
        <w:spacing w:before="400"/>
      </w:pPr>
    </w:p>
    <w:p>
      <w:pPr>
        <w:pBdr>
          <w:top w:val="single" w:color="2A87C4" w:sz="2"/>
        </w:pBdr>
        <w:spacing w:before="200" w:after="200"/>
        <w:jc w:val="center"/>
      </w:pPr>
      <w:r>
        <w:rPr>
          <w:rFonts w:ascii="Roboto" w:cs="Roboto" w:eastAsia="Roboto" w:hAnsi="Roboto"/>
          <w:color w:val="1B2F50"/>
          <w:sz w:val="24"/>
          <w:szCs w:val="24"/>
        </w:rPr>
        <w:t xml:space="preserve">Head of Business Development Strategy | Confidential</w:t>
      </w:r>
    </w:p>
    <w:p>
      <w:pPr>
        <w:jc w:val="center"/>
      </w:pPr>
      <w:r>
        <w:rPr>
          <w:rFonts w:ascii="Roboto" w:cs="Roboto" w:eastAsia="Roboto" w:hAnsi="Roboto"/>
          <w:color w:val="333333"/>
          <w:sz w:val="22"/>
          <w:szCs w:val="22"/>
        </w:rPr>
        <w:t xml:space="preserve">Date: March 4, 2026</w:t>
      </w:r>
    </w:p>
    <w:p>
      <w:r>
        <w:br w:type="page"/>
      </w:r>
    </w:p>
    <w:p>
      <w:pPr>
        <w:pStyle w:val="Heading1"/>
      </w:pPr>
      <w:r>
        <w:t xml:space="preserve">1. Executive Summary</w:t>
      </w:r>
    </w:p>
    <w:p>
      <w:pPr>
        <w:spacing w:after="120"/>
      </w:pPr>
      <w:r>
        <w:rPr>
          <w:rFonts w:ascii="Roboto" w:cs="Roboto" w:eastAsia="Roboto" w:hAnsi="Roboto"/>
          <w:color w:val="333333"/>
          <w:sz w:val="22"/>
          <w:szCs w:val="22"/>
        </w:rPr>
        <w:t xml:space="preserve">This document reviews 50+ strategic conversations conducted between January 4 and March 4, 2026, alongside all 8 project knowledge documents. The review identifies what has changed operationally, what messaging and strategic insights have emerged, which internal documents are now outdated, and what new documentation should be created to maintain institutional knowledge as Encypher scales.</w:t>
      </w:r>
    </w:p>
    <w:p>
      <w:pPr>
        <w:spacing w:after="60"/>
      </w:pP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Bottom Line:  </w:t>
      </w:r>
      <w:r>
        <w:rPr>
          <w:rFonts w:ascii="Roboto" w:cs="Roboto" w:eastAsia="Roboto" w:hAnsi="Roboto"/>
          <w:color w:val="333333"/>
          <w:sz w:val="22"/>
          <w:szCs w:val="22"/>
        </w:rPr>
        <w:t xml:space="preserve">The internal documentation is 4-6 weeks behind operational reality. The company has executed significant BD activity, validated a platform distribution GTM model, built and partially deployed a second product line (Encypher Attest), and accumulated substantial competitive/market intelligence that exists only in conversation history. Without documentation updates, new team members (or Claude in new sessions) will operate on stale strategy.</w:t>
      </w:r>
    </w:p>
    <w:p>
      <w:pPr>
        <w:spacing w:after="60"/>
      </w:pPr>
    </w:p>
    <w:p>
      <w:pPr>
        <w:pStyle w:val="Heading1"/>
      </w:pPr>
      <w:r>
        <w:t xml:space="preserve">2. Business Development Activity Overview</w:t>
      </w:r>
    </w:p>
    <w:p>
      <w:pPr>
        <w:spacing w:after="120"/>
      </w:pPr>
      <w:r>
        <w:rPr>
          <w:rFonts w:ascii="Roboto" w:cs="Roboto" w:eastAsia="Roboto" w:hAnsi="Roboto"/>
          <w:color w:val="333333"/>
          <w:sz w:val="22"/>
          <w:szCs w:val="22"/>
        </w:rPr>
        <w:t xml:space="preserve">The past two months represent the highest-velocity BD period in Encypher's history. Matt Kaminsky's hiring (early February) immediately unlocked a tier of conversations that were previously blocked by Erik's bandwidth constraints.</w:t>
      </w:r>
    </w:p>
    <w:p>
      <w:pPr>
        <w:spacing w:after="60"/>
      </w:pPr>
    </w:p>
    <w:p>
      <w:pPr>
        <w:pStyle w:val="Heading2"/>
      </w:pPr>
      <w:r>
        <w:t xml:space="preserve">2.1 Active Pipeline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900"/>
        <w:gridCol w:w="900"/>
      </w:tblGrid>
      <w:tr>
        <w:tc>
          <w:tcPr>
            <w:tcW w:type="dxa" w:w="18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Organization</w:t>
            </w:r>
          </w:p>
        </w:tc>
        <w:tc>
          <w:tcPr>
            <w:tcW w:type="dxa" w:w="12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Status Summary</w:t>
            </w:r>
          </w:p>
        </w:tc>
        <w:tc>
          <w:tcPr>
            <w:tcW w:type="dxa" w:w="9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Health</w:t>
            </w:r>
          </w:p>
        </w:tc>
        <w:tc>
          <w:tcPr>
            <w:tcW w:type="dxa" w:w="9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Phase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Freestar / pubOS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Tier 1 Platform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Marketplace Partner Agreement in legal review. Miscommunication around co-promotion resolved. Kurt Donnell (CEO) enthusiastic. Tim Glenn (VP BD) primary contact.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F39C12"/>
                <w:sz w:val="20"/>
                <w:szCs w:val="20"/>
              </w:rPr>
              <w:t xml:space="preserve">Monitor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Closing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AAM / Scott Cunningham</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Tier 1 Standards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Ethical AI Certification rolling out to ~1,000 publishers with C2PA as line item. Scott mapped full standards stack. Rich Murphy CEO meeting completed.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27AE60"/>
                <w:sz w:val="20"/>
                <w:szCs w:val="20"/>
              </w:rPr>
              <w:t xml:space="preserve">Healthy</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Deepening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WordPress VIP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Tier 1 Platform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Parie Meshberg agreed to pitch internally. Matt Mullenweg outreach sent. Plugin strategy tied to NMA needs.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F39C12"/>
                <w:sz w:val="20"/>
                <w:szCs w:val="20"/>
              </w:rPr>
              <w:t xml:space="preserve">Monitor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Waiting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Valnet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Tier 2 Publisher</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Meeting completed. Shaun Decker (Senior Legal Counsel) sent detailed technical and commercial questions. Follow-up email drafted and sent.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27AE60"/>
                <w:sz w:val="20"/>
                <w:szCs w:val="20"/>
              </w:rPr>
              <w:t xml:space="preserve">Healthy</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Advancing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Mediavine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Tier 2 Channel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Meeting completed via Matt's relationship. Qualified as channel partner. Technical integration questions raised.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F39C12"/>
                <w:sz w:val="20"/>
                <w:szCs w:val="20"/>
              </w:rPr>
              <w:t xml:space="preserve">Monitor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Follow-up</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Snack-Media (UK)</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Tier 2/3 Channel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Hector (CEO) offered to host publisher webinars. Matt-led going forward. ~400 publisher partners.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F39C12"/>
                <w:sz w:val="20"/>
                <w:szCs w:val="20"/>
              </w:rPr>
              <w:t xml:space="preserve">Monitor</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Matt-led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Aditude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Tier 2 Channel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Jared Siegal meeting completed. Rich intelligence gathered. Prefers built-in rev-share over referral model. ~40% gaming publishers (poor targets).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F39C12"/>
                <w:sz w:val="20"/>
                <w:szCs w:val="20"/>
              </w:rPr>
              <w:t xml:space="preserve">Monitor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Relationship</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David Kohl / Symitri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Strategic Peer</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No Traffic, No Moat article alignment. NYC meeting scheduled. Complementary infrastructure thesis.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27AE60"/>
                <w:sz w:val="20"/>
                <w:szCs w:val="20"/>
              </w:rPr>
              <w:t xml:space="preserve">Healthy</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New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Library of Congress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Standards Credibility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Kate Murray responded positively. Conferring with G+LAM colleagues. Not revenue target.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27AE60"/>
                <w:sz w:val="20"/>
                <w:szCs w:val="20"/>
              </w:rPr>
              <w:t xml:space="preserve">Healthy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Tracking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AP / Paul Sarkis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Tier 1 Publisher</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Validated thesis. Soft deferral on pilot timing. Warm relationship maintained. Eric Dodds intro decoupled from Syracuse.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F39C12"/>
                <w:sz w:val="20"/>
                <w:szCs w:val="20"/>
              </w:rPr>
              <w:t xml:space="preserve">Monitor</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Relationship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Taylor &amp; Francis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Tier 1 Academic</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Andrew Bostjancic engaged. Syracuse attendance was being planned before postponement.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F39C12"/>
                <w:sz w:val="20"/>
                <w:szCs w:val="20"/>
              </w:rPr>
              <w:t xml:space="preserve">Monitor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Paused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NMA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Standards/Coalition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Presentation completed Feb 12. Regan Smith raised publisher-input concern. Cassie Sciortino engaged.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27AE60"/>
                <w:sz w:val="20"/>
                <w:szCs w:val="20"/>
              </w:rPr>
              <w:t xml:space="preserve">Healthy</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Active</w:t>
            </w:r>
          </w:p>
        </w:tc>
      </w:tr>
    </w:tbl>
    <w:p>
      <w:pPr>
        <w:spacing w:after="60"/>
      </w:pPr>
    </w:p>
    <w:p>
      <w:pPr>
        <w:pStyle w:val="Heading2"/>
      </w:pPr>
      <w:r>
        <w:t xml:space="preserve">2.2 Investor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960"/>
        <w:gridCol w:w="1200"/>
      </w:tblGrid>
      <w:tr>
        <w:tc>
          <w:tcPr>
            <w:tcW w:type="dxa" w:w="22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Opportunity</w:t>
            </w:r>
          </w:p>
        </w:tc>
        <w:tc>
          <w:tcPr>
            <w:tcW w:type="dxa" w:w="596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Health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Current SAFE ($250K @ $10M)</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Mike's SPV expected ~$100K. Original $150K goal not fully met. Round closing in progress.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F39C12"/>
                <w:sz w:val="20"/>
                <w:szCs w:val="20"/>
              </w:rPr>
              <w:t xml:space="preserve">Monitor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Waldo Capital ($225M fund)</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Brad Tatz meeting completed. Positioned as Series A pipeline (12-24 months). Thesis aligned but stage mismatch. Follow-up email with spec link and LoC whitepaper sent.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27AE60"/>
                <w:sz w:val="20"/>
                <w:szCs w:val="20"/>
              </w:rPr>
              <w:t xml:space="preserve">On Track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Katie Shea / Divergent Capital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Meeting pending. Strong thesis alignment. Check size ($500K min) and portfolio fit are tension points.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F39C12"/>
                <w:sz w:val="20"/>
                <w:szCs w:val="20"/>
              </w:rPr>
              <w:t xml:space="preserve">Monitor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Cannes Film Festival Panel</w:t>
            </w:r>
          </w:p>
        </w:tc>
        <w:tc>
          <w:tcPr>
            <w:tcW w:type="dxa" w:w="5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May 2026. Strongly recommended given cost-to-exposure ratio. White paper interview completed.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Roboto" w:cs="Roboto" w:eastAsia="Roboto" w:hAnsi="Roboto"/>
                <w:b/>
                <w:bCs/>
                <w:color w:val="27AE60"/>
                <w:sz w:val="20"/>
                <w:szCs w:val="20"/>
              </w:rPr>
              <w:t xml:space="preserve">On Track</w:t>
            </w:r>
          </w:p>
        </w:tc>
      </w:tr>
    </w:tbl>
    <w:p>
      <w:pPr>
        <w:spacing w:after="60"/>
      </w:pPr>
    </w:p>
    <w:p>
      <w:r>
        <w:br w:type="page"/>
      </w:r>
    </w:p>
    <w:p>
      <w:pPr>
        <w:pStyle w:val="Heading1"/>
      </w:pPr>
      <w:r>
        <w:t xml:space="preserve">3. Key Strategic &amp; Messaging Insights</w:t>
      </w:r>
    </w:p>
    <w:p>
      <w:pPr>
        <w:spacing w:after="120"/>
      </w:pPr>
      <w:r>
        <w:rPr>
          <w:rFonts w:ascii="Roboto" w:cs="Roboto" w:eastAsia="Roboto" w:hAnsi="Roboto"/>
          <w:color w:val="333333"/>
          <w:sz w:val="22"/>
          <w:szCs w:val="22"/>
        </w:rPr>
        <w:t xml:space="preserve">The following insights emerged from conversations and have operational implications. Many are not yet captured in internal documentation.</w:t>
      </w:r>
    </w:p>
    <w:p>
      <w:pPr>
        <w:spacing w:after="60"/>
      </w:pPr>
    </w:p>
    <w:p>
      <w:pPr>
        <w:pStyle w:val="Heading2"/>
      </w:pPr>
      <w:r>
        <w:t xml:space="preserve">3.1 Validated Strategic Shifts</w:t>
      </w:r>
    </w:p>
    <w:p>
      <w:pPr>
        <w:spacing w:after="120"/>
      </w:pPr>
      <w:r>
        <w:rPr>
          <w:rFonts w:ascii="Roboto" w:cs="Roboto" w:eastAsia="Roboto" w:hAnsi="Roboto"/>
          <w:b/>
          <w:bCs/>
          <w:color w:val="333333"/>
          <w:sz w:val="22"/>
          <w:szCs w:val="22"/>
        </w:rPr>
        <w:t xml:space="preserve">Platform Distribution Model (ICP 1C) Validated as Primary GTM: </w:t>
      </w:r>
      <w:r>
        <w:rPr>
          <w:rFonts w:ascii="Roboto" w:cs="Roboto" w:eastAsia="Roboto" w:hAnsi="Roboto"/>
          <w:color w:val="333333"/>
          <w:sz w:val="22"/>
          <w:szCs w:val="22"/>
        </w:rPr>
        <w:t xml:space="preserve">Freestar, Mediavine, Aditude, Snack-Media, and WordPress VIP conversations confirmed that signing infrastructure distributed through publisher-facing platforms is dramatically more capital-efficient than one-by-one publisher coalition building. Each platform partner provides access to hundreds of publishers through a single integration. This is now the primary GTM motion.</w:t>
      </w: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Doc Impact:  </w:t>
      </w:r>
      <w:r>
        <w:rPr>
          <w:rFonts w:ascii="Roboto" w:cs="Roboto" w:eastAsia="Roboto" w:hAnsi="Roboto"/>
          <w:color w:val="333333"/>
          <w:sz w:val="22"/>
          <w:szCs w:val="22"/>
        </w:rPr>
        <w:t xml:space="preserve">ICP 1C exists in docs but is underweighted relative to its actual strategic importance. Should be elevated to co-equal with ICP 1A.</w:t>
      </w:r>
    </w:p>
    <w:p>
      <w:pPr>
        <w:spacing w:after="60"/>
      </w:pPr>
    </w:p>
    <w:p>
      <w:pPr>
        <w:spacing w:after="120"/>
      </w:pPr>
      <w:r>
        <w:rPr>
          <w:rFonts w:ascii="Roboto" w:cs="Roboto" w:eastAsia="Roboto" w:hAnsi="Roboto"/>
          <w:b/>
          <w:bCs/>
          <w:color w:val="333333"/>
          <w:sz w:val="22"/>
          <w:szCs w:val="22"/>
        </w:rPr>
        <w:t xml:space="preserve">Full Standards Stack Mapping (Scott Cunningham): </w:t>
      </w:r>
      <w:r>
        <w:rPr>
          <w:rFonts w:ascii="Roboto" w:cs="Roboto" w:eastAsia="Roboto" w:hAnsi="Roboto"/>
          <w:color w:val="333333"/>
          <w:sz w:val="22"/>
          <w:szCs w:val="22"/>
        </w:rPr>
        <w:t xml:space="preserve">Scott Cunningham mapped four distinct standards layers: IAB Tech Lab CoMP (operational specifications), NMA (contract terms), AAM (quality audits), and C2PA (watermarking/tracking). C2PA is the only layer that 'travels with content' beyond publisher boundaries. This is a fundamental positioning insight.</w:t>
      </w: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Doc Impact:  </w:t>
      </w:r>
      <w:r>
        <w:rPr>
          <w:rFonts w:ascii="Roboto" w:cs="Roboto" w:eastAsia="Roboto" w:hAnsi="Roboto"/>
          <w:color w:val="333333"/>
          <w:sz w:val="22"/>
          <w:szCs w:val="22"/>
        </w:rPr>
        <w:t xml:space="preserve">Not in any document. Needs dedicated section in GTM Strategy and Marketing Guidelines.</w:t>
      </w:r>
    </w:p>
    <w:p>
      <w:pPr>
        <w:spacing w:after="60"/>
      </w:pPr>
    </w:p>
    <w:p>
      <w:pPr>
        <w:spacing w:after="120"/>
      </w:pPr>
      <w:r>
        <w:rPr>
          <w:rFonts w:ascii="Roboto" w:cs="Roboto" w:eastAsia="Roboto" w:hAnsi="Roboto"/>
          <w:b/>
          <w:bCs/>
          <w:color w:val="333333"/>
          <w:sz w:val="22"/>
          <w:szCs w:val="22"/>
        </w:rPr>
        <w:t xml:space="preserve">SPUR Coalition (UK) Connection: </w:t>
      </w:r>
      <w:r>
        <w:rPr>
          <w:rFonts w:ascii="Roboto" w:cs="Roboto" w:eastAsia="Roboto" w:hAnsi="Roboto"/>
          <w:color w:val="333333"/>
          <w:sz w:val="22"/>
          <w:szCs w:val="22"/>
        </w:rPr>
        <w:t xml:space="preserve">BBC, Financial Times, Guardian, Sky News, Telegraph forming UK coalition implementing the full standards stack. Charlie Hatford (BBC) is Encypher's connection point as the most active publisher contributor to C2PA text standard. Scott Cunningham predicts global replication in 2-3 years.</w:t>
      </w: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Doc Impact:  </w:t>
      </w:r>
      <w:r>
        <w:rPr>
          <w:rFonts w:ascii="Roboto" w:cs="Roboto" w:eastAsia="Roboto" w:hAnsi="Roboto"/>
          <w:color w:val="333333"/>
          <w:sz w:val="22"/>
          <w:szCs w:val="22"/>
        </w:rPr>
        <w:t xml:space="preserve">Not in any document. Should be added to ICP doc and GTM Strategy as international expansion vector.</w:t>
      </w:r>
    </w:p>
    <w:p>
      <w:pPr>
        <w:spacing w:after="60"/>
      </w:pPr>
    </w:p>
    <w:p>
      <w:pPr>
        <w:spacing w:after="120"/>
      </w:pPr>
      <w:r>
        <w:rPr>
          <w:rFonts w:ascii="Roboto" w:cs="Roboto" w:eastAsia="Roboto" w:hAnsi="Roboto"/>
          <w:b/>
          <w:bCs/>
          <w:color w:val="333333"/>
          <w:sz w:val="22"/>
          <w:szCs w:val="22"/>
        </w:rPr>
        <w:t xml:space="preserve">Encypher Attest Product Line: </w:t>
      </w:r>
      <w:r>
        <w:rPr>
          <w:rFonts w:ascii="Roboto" w:cs="Roboto" w:eastAsia="Roboto" w:hAnsi="Roboto"/>
          <w:color w:val="333333"/>
          <w:sz w:val="22"/>
          <w:szCs w:val="22"/>
        </w:rPr>
        <w:t xml:space="preserve">Cryptographic authentication product for enterprise AI-generated content built across three development phases. Targets legal, financial services, and healthcare markets. Word/Outlook plugins, compliance dashboards, policy engines built. Partially demoed to Waldo Capital.</w:t>
      </w: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Doc Impact:  </w:t>
      </w:r>
      <w:r>
        <w:rPr>
          <w:rFonts w:ascii="Roboto" w:cs="Roboto" w:eastAsia="Roboto" w:hAnsi="Roboto"/>
          <w:color w:val="333333"/>
          <w:sz w:val="22"/>
          <w:szCs w:val="22"/>
        </w:rPr>
        <w:t xml:space="preserve">Not in ANY project document. This is an entire product line with no internal documentation.</w:t>
      </w:r>
    </w:p>
    <w:p>
      <w:pPr>
        <w:spacing w:after="60"/>
      </w:pPr>
    </w:p>
    <w:p>
      <w:pPr>
        <w:spacing w:after="120"/>
      </w:pPr>
      <w:r>
        <w:rPr>
          <w:rFonts w:ascii="Roboto" w:cs="Roboto" w:eastAsia="Roboto" w:hAnsi="Roboto"/>
          <w:b/>
          <w:bCs/>
          <w:color w:val="333333"/>
          <w:sz w:val="22"/>
          <w:szCs w:val="22"/>
        </w:rPr>
        <w:t xml:space="preserve">Syracuse Symposium Postponed: </w:t>
      </w:r>
      <w:r>
        <w:rPr>
          <w:rFonts w:ascii="Roboto" w:cs="Roboto" w:eastAsia="Roboto" w:hAnsi="Roboto"/>
          <w:color w:val="333333"/>
          <w:sz w:val="22"/>
          <w:szCs w:val="22"/>
        </w:rPr>
        <w:t xml:space="preserve">Only three RSVPs received. Key participants had conflicts with AI Impact Summit in New Delhi. Reframed as intentional expansion. 1:1 briefings offered as substitutes.</w:t>
      </w: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Doc Impact:  </w:t>
      </w:r>
      <w:r>
        <w:rPr>
          <w:rFonts w:ascii="Roboto" w:cs="Roboto" w:eastAsia="Roboto" w:hAnsi="Roboto"/>
          <w:color w:val="333333"/>
          <w:sz w:val="22"/>
          <w:szCs w:val="22"/>
        </w:rPr>
        <w:t xml:space="preserve">All 8 documents still reference February 25 as upcoming. Every reference needs updating.</w:t>
      </w:r>
    </w:p>
    <w:p>
      <w:pPr>
        <w:spacing w:after="60"/>
      </w:pPr>
    </w:p>
    <w:p>
      <w:pPr>
        <w:spacing w:after="120"/>
      </w:pPr>
      <w:r>
        <w:rPr>
          <w:rFonts w:ascii="Roboto" w:cs="Roboto" w:eastAsia="Roboto" w:hAnsi="Roboto"/>
          <w:b/>
          <w:bCs/>
          <w:color w:val="333333"/>
          <w:sz w:val="22"/>
          <w:szCs w:val="22"/>
        </w:rPr>
        <w:t xml:space="preserve">Copyright Registration Determines Enforcement Ceiling: </w:t>
      </w:r>
      <w:r>
        <w:rPr>
          <w:rFonts w:ascii="Roboto" w:cs="Roboto" w:eastAsia="Roboto" w:hAnsi="Roboto"/>
          <w:color w:val="333333"/>
          <w:sz w:val="22"/>
          <w:szCs w:val="22"/>
        </w:rPr>
        <w:t xml:space="preserve">$150K statutory damages per work applies ONLY to registered works. '3x damages' language was corrected to '$150K per registered work' across all materials in February.</w:t>
      </w: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Doc Impact:  </w:t>
      </w:r>
      <w:r>
        <w:rPr>
          <w:rFonts w:ascii="Roboto" w:cs="Roboto" w:eastAsia="Roboto" w:hAnsi="Roboto"/>
          <w:color w:val="333333"/>
          <w:sz w:val="22"/>
          <w:szCs w:val="22"/>
        </w:rPr>
        <w:t xml:space="preserve">Correction was applied to docs in February but some residual '3x damages' references may remain. ROI Framework in Enterprise Sales doc still says '3x damages potential.'</w:t>
      </w:r>
    </w:p>
    <w:p>
      <w:pPr>
        <w:spacing w:after="60"/>
      </w:pPr>
    </w:p>
    <w:p>
      <w:pPr>
        <w:spacing w:after="120"/>
      </w:pPr>
      <w:r>
        <w:rPr>
          <w:rFonts w:ascii="Roboto" w:cs="Roboto" w:eastAsia="Roboto" w:hAnsi="Roboto"/>
          <w:b/>
          <w:bCs/>
          <w:color w:val="333333"/>
          <w:sz w:val="22"/>
          <w:szCs w:val="22"/>
        </w:rPr>
        <w:t xml:space="preserve">Detection Capability Is Web-Surface Only: </w:t>
      </w:r>
      <w:r>
        <w:rPr>
          <w:rFonts w:ascii="Roboto" w:cs="Roboto" w:eastAsia="Roboto" w:hAnsi="Roboto"/>
          <w:color w:val="333333"/>
          <w:sz w:val="22"/>
          <w:szCs w:val="22"/>
        </w:rPr>
        <w:t xml:space="preserve">Encypher cannot track content through AI training pipelines. Detection is web-surface scraping/republication. All messaging about 'finding content in AI outputs' was corrected.</w:t>
      </w: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Doc Impact:  </w:t>
      </w:r>
      <w:r>
        <w:rPr>
          <w:rFonts w:ascii="Roboto" w:cs="Roboto" w:eastAsia="Roboto" w:hAnsi="Roboto"/>
          <w:color w:val="333333"/>
          <w:sz w:val="22"/>
          <w:szCs w:val="22"/>
        </w:rPr>
        <w:t xml:space="preserve">Correction was applied in February. Needs verification that no overclaims remain.</w:t>
      </w:r>
    </w:p>
    <w:p>
      <w:pPr>
        <w:spacing w:after="60"/>
      </w:pPr>
    </w:p>
    <w:p>
      <w:pPr>
        <w:spacing w:after="120"/>
      </w:pPr>
      <w:r>
        <w:rPr>
          <w:rFonts w:ascii="Roboto" w:cs="Roboto" w:eastAsia="Roboto" w:hAnsi="Roboto"/>
          <w:b/>
          <w:bCs/>
          <w:color w:val="333333"/>
          <w:sz w:val="22"/>
          <w:szCs w:val="22"/>
        </w:rPr>
        <w:t xml:space="preserve">Publisher-First Website Messaging: </w:t>
      </w:r>
      <w:r>
        <w:rPr>
          <w:rFonts w:ascii="Roboto" w:cs="Roboto" w:eastAsia="Roboto" w:hAnsi="Roboto"/>
          <w:color w:val="333333"/>
          <w:sz w:val="22"/>
          <w:szCs w:val="22"/>
        </w:rPr>
        <w:t xml:space="preserve">Publishers don't see themselves as part of an 'AI Content Economy.' They see themselves fighting unauthorized AI use. Website audit recommended shifting from AI-first to publisher-first framing. Content theft/competitor scraping added as explicit value proposition.</w:t>
      </w: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Doc Impact:  </w:t>
      </w:r>
      <w:r>
        <w:rPr>
          <w:rFonts w:ascii="Roboto" w:cs="Roboto" w:eastAsia="Roboto" w:hAnsi="Roboto"/>
          <w:color w:val="333333"/>
          <w:sz w:val="22"/>
          <w:szCs w:val="22"/>
        </w:rPr>
        <w:t xml:space="preserve">Website messaging audit completed but documented insights need to be formalized in Marketing Guidelines.</w:t>
      </w:r>
    </w:p>
    <w:p>
      <w:pPr>
        <w:spacing w:after="60"/>
      </w:pPr>
    </w:p>
    <w:p>
      <w:r>
        <w:br w:type="page"/>
      </w:r>
    </w:p>
    <w:p>
      <w:pPr>
        <w:pStyle w:val="Heading1"/>
      </w:pPr>
      <w:r>
        <w:t xml:space="preserve">4. Messaging Evolution &amp; Corrections</w:t>
      </w:r>
    </w:p>
    <w:p>
      <w:pPr>
        <w:spacing w:after="120"/>
      </w:pPr>
      <w:r>
        <w:rPr>
          <w:rFonts w:ascii="Roboto" w:cs="Roboto" w:eastAsia="Roboto" w:hAnsi="Roboto"/>
          <w:color w:val="333333"/>
          <w:sz w:val="22"/>
          <w:szCs w:val="22"/>
        </w:rPr>
        <w:t xml:space="preserve">Several messaging corrections and evolutions occurred during this period that have direct implications for all customer-facing and internal materials.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c>
          <w:tcPr>
            <w:tcW w:type="dxa" w:w="20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Old Language</w:t>
            </w:r>
          </w:p>
        </w:tc>
        <w:tc>
          <w:tcPr>
            <w:tcW w:type="dxa" w:w="22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Corrected Language</w:t>
            </w:r>
          </w:p>
        </w:tc>
        <w:tc>
          <w:tcPr>
            <w:tcW w:type="dxa" w:w="15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Scope</w:t>
            </w:r>
          </w:p>
        </w:tc>
        <w:tc>
          <w:tcPr>
            <w:tcW w:type="dxa" w:w="366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Context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'3x damages'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'Up to $150K per registered work'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All docs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Legal precision for GC audiences. Corrected Feb 2026.</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'Class action'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'Collective licensing'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All external comms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Emerged from Snack-Media meeting. Legal term carries unwanted connotations.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'Sales house'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'SaaS platform' (for Aditude specifically)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BD materials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Aditude explicitly rejected 'sales house' framing. Jared corrected Matt in meeting.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'AI Content Economy' (hero)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'Get Paid When AI Uses Your Content'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Website, pitch</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Publisher-first sequencing for current traffic mix.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Content in AI outputs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Content on web surface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All materials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Cannot track through training pipelines. Feb correction.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Syracuse as public event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Invite-only industry roundtable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All references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Corrected Feb 2026 across all docs.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Syracuse Feb 25 (upcoming)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Syracuse (postponed/rescheduling)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All 8 docs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CRITICAL: All docs still reference Feb 25 as upcoming.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Revenue share % in externals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Removed from external materials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One-pagers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Matt's feedback. Keep in internal docs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Blog clincher sentences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Evidence-driven conclusions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Blog content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Orwell/Lewis/Economist voice. Writer and Reviewer prompts updated.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C2PA as 'W3C standard'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C2PA as 'Linux Foundation project'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All materials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Factual correction caught before Mullenweg email sent.</w:t>
            </w:r>
          </w:p>
        </w:tc>
      </w:tr>
    </w:tbl>
    <w:p>
      <w:pPr>
        <w:spacing w:after="60"/>
      </w:pPr>
    </w:p>
    <w:p>
      <w:r>
        <w:br w:type="page"/>
      </w:r>
    </w:p>
    <w:p>
      <w:pPr>
        <w:pStyle w:val="Heading1"/>
      </w:pPr>
      <w:r>
        <w:t xml:space="preserve">5. Team &amp; Operational Insights</w:t>
      </w:r>
    </w:p>
    <w:p>
      <w:pPr>
        <w:pStyle w:val="Heading2"/>
      </w:pPr>
      <w:r>
        <w:t xml:space="preserve">5.1 Matt Kaminsky Performance</w:t>
      </w:r>
    </w:p>
    <w:p>
      <w:pPr>
        <w:spacing w:after="120"/>
      </w:pPr>
      <w:r>
        <w:rPr>
          <w:rFonts w:ascii="Roboto" w:cs="Roboto" w:eastAsia="Roboto" w:hAnsi="Roboto"/>
          <w:color w:val="333333"/>
          <w:sz w:val="22"/>
          <w:szCs w:val="22"/>
        </w:rPr>
        <w:t xml:space="preserve">Matt has been a strong hire. In his first week, he generated six qualified conversations with sales houses, publishers, and ad tech companies. He successfully synthesized the value proposition in his own words during alignment calls and asked the right qualifying questions. His former employer relationships (Mediavine, broader ad-tech network) are producing warm introductions.</w:t>
      </w:r>
    </w:p>
    <w:p>
      <w:pPr>
        <w:spacing w:after="120"/>
      </w:pPr>
      <w:r>
        <w:rPr>
          <w:rFonts w:ascii="Roboto" w:cs="Roboto" w:eastAsia="Roboto" w:hAnsi="Roboto"/>
          <w:color w:val="333333"/>
          <w:sz w:val="22"/>
          <w:szCs w:val="22"/>
        </w:rPr>
        <w:t xml:space="preserve">The current operating model is intentional: Erik joins Matt's meetings during a training period (approximately six hours total), after which Matt handles Tier 2-3 conversations independently. The Snack-Media meeting was graded C+ with specific coaching notes around Erik over-presenting and missing qualification questions. Matt's strengths are social proof and relationship leverage; areas for development are deeper technical explanation and discovery discipline.</w:t>
      </w:r>
    </w:p>
    <w:p>
      <w:pPr>
        <w:spacing w:after="60"/>
      </w:pPr>
    </w:p>
    <w:p>
      <w:pPr>
        <w:pStyle w:val="Heading2"/>
      </w:pPr>
      <w:r>
        <w:t xml:space="preserve">5.2 Nate Alvord Status</w:t>
      </w:r>
    </w:p>
    <w:p>
      <w:pPr>
        <w:spacing w:after="120"/>
      </w:pPr>
      <w:r>
        <w:rPr>
          <w:rFonts w:ascii="Roboto" w:cs="Roboto" w:eastAsia="Roboto" w:hAnsi="Roboto"/>
          <w:color w:val="333333"/>
          <w:sz w:val="22"/>
          <w:szCs w:val="22"/>
        </w:rPr>
        <w:t xml:space="preserve">Nate (Contract CRO, 5% equity, 1-year cliff) underperformed relative to expectations in the first six weeks. After a performance conversation in February, he committed to outreach using Erik's C2PA contact list and his ProPublica contact, with emails reviewed by Erik first. No shares vest until the one-year cliff, giving Erik significant leverage. The situation is being managed carefully.</w:t>
      </w:r>
    </w:p>
    <w:p>
      <w:pPr>
        <w:spacing w:after="60"/>
      </w:pPr>
    </w:p>
    <w:p>
      <w:pPr>
        <w:pStyle w:val="Heading2"/>
      </w:pPr>
      <w:r>
        <w:t xml:space="preserve">5.3 Erik's Operating Patterns (Self-Assessment Themes)</w:t>
      </w:r>
    </w:p>
    <w:p>
      <w:pPr>
        <w:spacing w:after="120"/>
      </w:pPr>
      <w:r>
        <w:rPr>
          <w:rFonts w:ascii="Roboto" w:cs="Roboto" w:eastAsia="Roboto" w:hAnsi="Roboto"/>
          <w:color w:val="333333"/>
          <w:sz w:val="22"/>
          <w:szCs w:val="22"/>
        </w:rPr>
        <w:t xml:space="preserve">Multiple meeting debriefs identified a consistent pattern: Erik tends toward over-presenting rather than conducting discovery. Key qualification questions (publisher count, decision-making process, budget authority) are frequently missed when Erik is in presentation mode. The Snack-Media and Apartment Therapy debriefs both flagged this. Matt's training period is partially designed to create forcing function for Erik to practice shorter explanations.</w:t>
      </w:r>
    </w:p>
    <w:p>
      <w:pPr>
        <w:spacing w:after="120"/>
      </w:pPr>
      <w:r>
        <w:rPr>
          <w:rFonts w:ascii="Roboto" w:cs="Roboto" w:eastAsia="Roboto" w:hAnsi="Roboto"/>
          <w:color w:val="333333"/>
          <w:sz w:val="22"/>
          <w:szCs w:val="22"/>
        </w:rPr>
        <w:t xml:space="preserve">Erik also acknowledged bandwidth as the primary constraint. He is simultaneously handling product development, standards work, fundraising, BD, content marketing, investor relations, and all Tier 1 relationships. The strategic question is not 'what should we do' but 'what can Erik physically execute given 24-hour days.'</w:t>
      </w:r>
    </w:p>
    <w:p>
      <w:pPr>
        <w:spacing w:after="60"/>
      </w:pPr>
    </w:p>
    <w:p>
      <w:pPr>
        <w:pStyle w:val="Heading1"/>
      </w:pPr>
      <w:r>
        <w:t xml:space="preserve">6. Competitive &amp; Market Intelligence</w:t>
      </w:r>
    </w:p>
    <w:p>
      <w:pPr>
        <w:pStyle w:val="Heading2"/>
      </w:pPr>
      <w:r>
        <w:t xml:space="preserve">6.1 IP3 Digital Assessment</w:t>
      </w:r>
    </w:p>
    <w:p>
      <w:pPr>
        <w:spacing w:after="120"/>
      </w:pPr>
      <w:r>
        <w:rPr>
          <w:rFonts w:ascii="Roboto" w:cs="Roboto" w:eastAsia="Roboto" w:hAnsi="Roboto"/>
          <w:color w:val="333333"/>
          <w:sz w:val="22"/>
          <w:szCs w:val="22"/>
        </w:rPr>
        <w:t xml:space="preserve">Amyli McDaniel's IP3 Digital (formerly MINTangible) was assessed as architecturally inferior to Encypher for content distributed through uncontrolled channels. Encypher's approach of embedding licensing terms directly into content via C2PA manifests eliminates the marketplace friction inherent in IP3's middleware model, survives edge distribution, and benefits from standards-body backing versus IP3's proprietary framework. Recommendation: do not pursue formal partnership. Monitor for potential conflation in market.</w:t>
      </w:r>
    </w:p>
    <w:p>
      <w:pPr>
        <w:spacing w:after="60"/>
      </w:pPr>
    </w:p>
    <w:p>
      <w:pPr>
        <w:pStyle w:val="Heading2"/>
      </w:pPr>
      <w:r>
        <w:t xml:space="preserve">6.2 WordProof Distinction</w:t>
      </w:r>
    </w:p>
    <w:p>
      <w:pPr>
        <w:spacing w:after="120"/>
      </w:pPr>
      <w:r>
        <w:rPr>
          <w:rFonts w:ascii="Roboto" w:cs="Roboto" w:eastAsia="Roboto" w:hAnsi="Roboto"/>
          <w:color w:val="333333"/>
          <w:sz w:val="22"/>
          <w:szCs w:val="22"/>
        </w:rPr>
        <w:t xml:space="preserve">WordProof timestamps publication dates on blockchain. Encypher embeds provenance in text that survives copy-paste. Different problems, different mechanisms. Risk is conflation by publisher GCs who hear 'content authentication' and think they've seen this before. FAQ content recommended to address this proactively.</w:t>
      </w:r>
    </w:p>
    <w:p>
      <w:pPr>
        <w:spacing w:after="60"/>
      </w:pPr>
    </w:p>
    <w:p>
      <w:pPr>
        <w:pStyle w:val="Heading2"/>
      </w:pPr>
      <w:r>
        <w:t xml:space="preserve">6.3 Litigation Intelligence</w:t>
      </w:r>
    </w:p>
    <w:p>
      <w:pPr>
        <w:spacing w:after="120"/>
      </w:pPr>
      <w:r>
        <w:rPr>
          <w:rFonts w:ascii="Roboto" w:cs="Roboto" w:eastAsia="Roboto" w:hAnsi="Roboto"/>
          <w:color w:val="333333"/>
          <w:sz w:val="22"/>
          <w:szCs w:val="22"/>
        </w:rPr>
        <w:t xml:space="preserve">Active litigant research identified priority outreach targets: Media News Group (Alden Global Capital subsidiary, active OpenAI/Microsoft litigation), The Philadelphia Inquirer (part of 14-publisher Cohere collective action). Secondary targets with high exposure but no current litigation: Fandom, Valnet (now in active conversation), Andrews McMeel Universal (syndication model is strong fit for watermarking use case).</w:t>
      </w:r>
    </w:p>
    <w:p>
      <w:pPr>
        <w:spacing w:after="60"/>
      </w:pPr>
    </w:p>
    <w:p>
      <w:pPr>
        <w:pStyle w:val="Heading2"/>
      </w:pPr>
      <w:r>
        <w:t xml:space="preserve">6.4 Aditude Channel Intelligence</w:t>
      </w:r>
    </w:p>
    <w:p>
      <w:pPr>
        <w:spacing w:after="120"/>
      </w:pPr>
      <w:r>
        <w:rPr>
          <w:rFonts w:ascii="Roboto" w:cs="Roboto" w:eastAsia="Roboto" w:hAnsi="Roboto"/>
          <w:color w:val="333333"/>
          <w:sz w:val="22"/>
          <w:szCs w:val="22"/>
        </w:rPr>
        <w:t xml:space="preserve">Jared Siegal provided rich market intelligence during meeting. Key takeaways: LMC board meeting includes Nexstar, Tegna, Media News Group, Gray Media (Tobias Bennett is operational executor, not Scott Cunningham). Prebid.org has an AI working group with bi-weekly publisher calls. CPMStar sellers.json is a prospecting resource. Rob Beeler's publisher Slack is a community channel. Approximately 40% of Aditude's base is gaming publishers with no editorial content, making them poor Encypher targets.</w:t>
      </w:r>
    </w:p>
    <w:p>
      <w:pPr>
        <w:spacing w:after="60"/>
      </w:pPr>
    </w:p>
    <w:p>
      <w:r>
        <w:br w:type="page"/>
      </w:r>
    </w:p>
    <w:p>
      <w:pPr>
        <w:pStyle w:val="Heading1"/>
      </w:pPr>
      <w:r>
        <w:t xml:space="preserve">7. Internal Document Audit</w:t>
      </w:r>
    </w:p>
    <w:p>
      <w:pPr>
        <w:spacing w:after="120"/>
      </w:pPr>
      <w:r>
        <w:rPr>
          <w:rFonts w:ascii="Roboto" w:cs="Roboto" w:eastAsia="Roboto" w:hAnsi="Roboto"/>
          <w:color w:val="333333"/>
          <w:sz w:val="22"/>
          <w:szCs w:val="22"/>
        </w:rPr>
        <w:t xml:space="preserve">Each of the 8 project knowledge documents was reviewed against the past 2 months of conversations. Below is a document-by-document assessment of what needs updating.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Document</w:t>
            </w:r>
          </w:p>
        </w:tc>
        <w:tc>
          <w:tcPr>
            <w:tcW w:type="dxa" w:w="10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Priority</w:t>
            </w:r>
          </w:p>
        </w:tc>
        <w:tc>
          <w:tcPr>
            <w:tcW w:type="dxa" w:w="616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Key Updates Needed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Encypher_ICPs.md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b/>
                <w:bCs/>
                <w:color w:val="C0392B"/>
                <w:sz w:val="20"/>
                <w:szCs w:val="20"/>
              </w:rPr>
              <w:t xml:space="preserve">HIGH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Syracuse references still say Feb 25 as upcoming. SPUR coalition not mentioned. Standards stack (CoMP/NMA/AAM/C2PA) not documented. Aditude intelligence (gaming publishers, rev-share preference) not captured. David Kohl/Symitri not mentioned. Litigation targets not listed. Valnet not in pipeline. Library of Congress/LAMs strategy absent.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Encypher_GTM_Strategy.md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b/>
                <w:bCs/>
                <w:color w:val="C0392B"/>
                <w:sz w:val="20"/>
                <w:szCs w:val="20"/>
              </w:rPr>
              <w:t xml:space="preserve">HIGH</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Implementation checklist is outdated (many items completed, Syracuse not checked off as postponed). Revenue projections reference Syracuse as anchor event. Platform pipeline status is stale (Freestar advancing but not reflecting legal review stage). AAM relationship depth not reflected. Encypher Attest not mentioned at all. Q1 2026 checklist needs comprehensive update.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Encypher_Enterprise_Sales.md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b/>
                <w:bCs/>
                <w:color w:val="F39C12"/>
                <w:sz w:val="20"/>
                <w:szCs w:val="20"/>
              </w:rPr>
              <w:t xml:space="preserve">MEDIUM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ROI Framework still says '3x damages potential' (line needs correction to '$150K per registered work'). Vertical messaging for Financial Services, Healthcare, Legal exists but Encypher Attest product is now the vehicle for these verticals and isn't referenced. Discovery questions are good but don't reflect lessons from meeting debriefs about Erik over-presenting.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Encypher_Marketing_Guidelines.md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b/>
                <w:bCs/>
                <w:color w:val="F39C12"/>
                <w:sz w:val="20"/>
                <w:szCs w:val="20"/>
              </w:rPr>
              <w:t xml:space="preserve">MEDIUM</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Nate Alvord voice section may need revision given his underperformance and uncertain future. Blog voice/tone section doesn't reflect the Orwell/Lewis/Economist refinement. Publisher-first messaging insights from website audit not formalized. Content theft/competitor scraping not listed as explicit value proposition.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Encypher_Marketing_Plan.md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b/>
                <w:bCs/>
                <w:color w:val="F39C12"/>
                <w:sz w:val="20"/>
                <w:szCs w:val="20"/>
              </w:rPr>
              <w:t xml:space="preserve">MEDIUM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Content calendar references are date-specific and now stale. Syracuse Symposium Tier 3 message needs updating. Chrome extension launch not reflected as completed milestone.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Encypher_Publisher_AI_OnePagers.md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b/>
                <w:bCs/>
                <w:color w:val="27AE60"/>
                <w:sz w:val="20"/>
                <w:szCs w:val="20"/>
              </w:rPr>
              <w:t xml:space="preserve">LOW-MEDIUM</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Pricing structure is current. Syracuse reference needs updating. Founding coalition benefits reference Feb 25 roundtable. Otherwise relatively current.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Encypher_OpenSource_Strategy.md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b/>
                <w:bCs/>
                <w:color w:val="27AE60"/>
                <w:sz w:val="20"/>
                <w:szCs w:val="20"/>
              </w:rPr>
              <w:t xml:space="preserve">LOW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Strategic direction is stable. No major operational changes affect this document. May want to add Encypher Attest open-source considerations eventually.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Encypher_API_README.md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b/>
                <w:bCs/>
                <w:color w:val="27AE60"/>
                <w:sz w:val="20"/>
                <w:szCs w:val="20"/>
              </w:rPr>
              <w:t xml:space="preserve">LOW</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Technical documentation. Encoding issues (mojibake) were flagged in February cleanup. Verify all non-ASCII characters render correctly. Functional content is stable.</w:t>
            </w:r>
          </w:p>
        </w:tc>
      </w:tr>
    </w:tbl>
    <w:p>
      <w:pPr>
        <w:spacing w:after="60"/>
      </w:pPr>
    </w:p>
    <w:p>
      <w:pPr>
        <w:pStyle w:val="Heading1"/>
      </w:pPr>
      <w:r>
        <w:t xml:space="preserve">8. Universal Updates (Apply Across All Documents)</w:t>
      </w:r>
    </w:p>
    <w:p>
      <w:pPr>
        <w:spacing w:after="60"/>
      </w:pPr>
    </w:p>
    <w:p>
      <w:pPr>
        <w:spacing w:after="120"/>
      </w:pPr>
      <w:r>
        <w:rPr>
          <w:rFonts w:ascii="Roboto" w:cs="Roboto" w:eastAsia="Roboto" w:hAnsi="Roboto"/>
          <w:b/>
          <w:bCs/>
          <w:color w:val="333333"/>
          <w:sz w:val="22"/>
          <w:szCs w:val="22"/>
        </w:rPr>
        <w:t xml:space="preserve">Syracuse Symposium References: </w:t>
      </w:r>
      <w:r>
        <w:rPr>
          <w:rFonts w:ascii="Roboto" w:cs="Roboto" w:eastAsia="Roboto" w:hAnsi="Roboto"/>
          <w:color w:val="333333"/>
          <w:sz w:val="22"/>
          <w:szCs w:val="22"/>
        </w:rPr>
        <w:t xml:space="preserve">Every document references February 25, 2026 as an upcoming event. All references need to be updated to reflect the postponement. Replace with language like 'invite-only industry roundtable (rescheduling; originally planned February 2026)' or simply remove date-specific references where the Syracuse mention is incidental rather than structural.</w:t>
      </w:r>
    </w:p>
    <w:p>
      <w:pPr>
        <w:spacing w:after="60"/>
      </w:pPr>
    </w:p>
    <w:p>
      <w:pPr>
        <w:spacing w:after="120"/>
      </w:pPr>
      <w:r>
        <w:rPr>
          <w:rFonts w:ascii="Roboto" w:cs="Roboto" w:eastAsia="Roboto" w:hAnsi="Roboto"/>
          <w:b/>
          <w:bCs/>
          <w:color w:val="333333"/>
          <w:sz w:val="22"/>
          <w:szCs w:val="22"/>
        </w:rPr>
        <w:t xml:space="preserve">Residual '3x Damages' Language: </w:t>
      </w:r>
      <w:r>
        <w:rPr>
          <w:rFonts w:ascii="Roboto" w:cs="Roboto" w:eastAsia="Roboto" w:hAnsi="Roboto"/>
          <w:color w:val="333333"/>
          <w:sz w:val="22"/>
          <w:szCs w:val="22"/>
        </w:rPr>
        <w:t xml:space="preserve">A February sweep corrected most instances, but the ROI Framework in Enterprise Sales still contains '3x damages potential.' Do a final grep across all docs for '3x' to catch any remaining instances.</w:t>
      </w:r>
    </w:p>
    <w:p>
      <w:pPr>
        <w:spacing w:after="60"/>
      </w:pPr>
    </w:p>
    <w:p>
      <w:pPr>
        <w:spacing w:after="120"/>
      </w:pPr>
      <w:r>
        <w:rPr>
          <w:rFonts w:ascii="Roboto" w:cs="Roboto" w:eastAsia="Roboto" w:hAnsi="Roboto"/>
          <w:b/>
          <w:bCs/>
          <w:color w:val="333333"/>
          <w:sz w:val="22"/>
          <w:szCs w:val="22"/>
        </w:rPr>
        <w:t xml:space="preserve">Nate Alvord References: </w:t>
      </w:r>
      <w:r>
        <w:rPr>
          <w:rFonts w:ascii="Roboto" w:cs="Roboto" w:eastAsia="Roboto" w:hAnsi="Roboto"/>
          <w:color w:val="333333"/>
          <w:sz w:val="22"/>
          <w:szCs w:val="22"/>
        </w:rPr>
        <w:t xml:space="preserve">Multiple documents reference Nate's voice, capabilities, and role in sales process. Given his underperformance and uncertain future, consider whether these references should be softened, generalized to 'CRO' role, or left as-is pending resolution.</w:t>
      </w:r>
    </w:p>
    <w:p>
      <w:pPr>
        <w:spacing w:after="60"/>
      </w:pPr>
    </w:p>
    <w:p>
      <w:pPr>
        <w:spacing w:after="120"/>
      </w:pPr>
      <w:r>
        <w:rPr>
          <w:rFonts w:ascii="Roboto" w:cs="Roboto" w:eastAsia="Roboto" w:hAnsi="Roboto"/>
          <w:b/>
          <w:bCs/>
          <w:color w:val="333333"/>
          <w:sz w:val="22"/>
          <w:szCs w:val="22"/>
        </w:rPr>
        <w:t xml:space="preserve">Matt Kaminsky's Expanded Role: </w:t>
      </w:r>
      <w:r>
        <w:rPr>
          <w:rFonts w:ascii="Roboto" w:cs="Roboto" w:eastAsia="Roboto" w:hAnsi="Roboto"/>
          <w:color w:val="333333"/>
          <w:sz w:val="22"/>
          <w:szCs w:val="22"/>
        </w:rPr>
        <w:t xml:space="preserve">Matt is referenced in GTM Strategy and ICPs but his actual operational scope has expanded beyond what's documented. His meeting cadence, relationship management tier assignments, and training status should be updated.</w:t>
      </w:r>
    </w:p>
    <w:p>
      <w:pPr>
        <w:spacing w:after="60"/>
      </w:pPr>
    </w:p>
    <w:p>
      <w:pPr>
        <w:spacing w:after="120"/>
      </w:pPr>
      <w:r>
        <w:rPr>
          <w:rFonts w:ascii="Roboto" w:cs="Roboto" w:eastAsia="Roboto" w:hAnsi="Roboto"/>
          <w:b/>
          <w:bCs/>
          <w:color w:val="333333"/>
          <w:sz w:val="22"/>
          <w:szCs w:val="22"/>
        </w:rPr>
        <w:t xml:space="preserve">Product Milestone Updates: </w:t>
      </w:r>
      <w:r>
        <w:rPr>
          <w:rFonts w:ascii="Roboto" w:cs="Roboto" w:eastAsia="Roboto" w:hAnsi="Roboto"/>
          <w:color w:val="333333"/>
          <w:sz w:val="22"/>
          <w:szCs w:val="22"/>
        </w:rPr>
        <w:t xml:space="preserve">Chrome extension is live on Chrome Web Store. WordPress plugin is in beta. Both should be referenced as shipped/active rather than planned/upcoming across all documents.</w:t>
      </w:r>
    </w:p>
    <w:p>
      <w:pPr>
        <w:spacing w:after="60"/>
      </w:pPr>
    </w:p>
    <w:p>
      <w:r>
        <w:br w:type="page"/>
      </w:r>
    </w:p>
    <w:p>
      <w:pPr>
        <w:pStyle w:val="Heading1"/>
      </w:pPr>
      <w:r>
        <w:t xml:space="preserve">9. New Documentation Recommended</w:t>
      </w:r>
    </w:p>
    <w:p>
      <w:pPr>
        <w:spacing w:after="120"/>
      </w:pPr>
      <w:r>
        <w:rPr>
          <w:rFonts w:ascii="Roboto" w:cs="Roboto" w:eastAsia="Roboto" w:hAnsi="Roboto"/>
          <w:color w:val="333333"/>
          <w:sz w:val="22"/>
          <w:szCs w:val="22"/>
        </w:rPr>
        <w:t xml:space="preserve">The following documents do not currently exist but would significantly improve institutional knowledge and operational efficiency.</w:t>
      </w:r>
    </w:p>
    <w:p>
      <w:pPr>
        <w:spacing w:after="60"/>
      </w:pPr>
    </w:p>
    <w:p>
      <w:pPr>
        <w:spacing w:after="60"/>
      </w:pPr>
      <w:r>
        <w:rPr>
          <w:rFonts w:ascii="Roboto" w:cs="Roboto" w:eastAsia="Roboto" w:hAnsi="Roboto"/>
          <w:b/>
          <w:bCs/>
          <w:color w:val="1B2F50"/>
          <w:sz w:val="24"/>
          <w:szCs w:val="24"/>
        </w:rPr>
        <w:t xml:space="preserve">Encypher_Attest_Strategy.md  </w:t>
      </w:r>
      <w:r>
        <w:rPr>
          <w:rFonts w:ascii="Roboto" w:cs="Roboto" w:eastAsia="Roboto" w:hAnsi="Roboto"/>
          <w:b/>
          <w:bCs/>
          <w:color w:val="C0392B"/>
          <w:sz w:val="22"/>
          <w:szCs w:val="22"/>
        </w:rPr>
        <w:t xml:space="preserve">[HIGH PRIORITY]</w:t>
      </w:r>
    </w:p>
    <w:p>
      <w:pPr>
        <w:spacing w:after="120"/>
      </w:pPr>
      <w:r>
        <w:rPr>
          <w:rFonts w:ascii="Roboto" w:cs="Roboto" w:eastAsia="Roboto" w:hAnsi="Roboto"/>
          <w:color w:val="333333"/>
          <w:sz w:val="22"/>
          <w:szCs w:val="22"/>
        </w:rPr>
        <w:t xml:space="preserve">Encypher Attest is an entire product line that was conceptualized, built, and partially demoed during this period with zero internal documentation. This document should cover: product vision, target verticals (legal, financial services, healthcare), feature set (Word/Outlook plugins, compliance dashboards, policy engines, SIEM integration), competitive positioning versus unsigned AI content, pricing framework, and GTM strategy. Without this document, Attest knowledge exists only in conversation history and Erik's head.</w:t>
      </w:r>
    </w:p>
    <w:p>
      <w:pPr>
        <w:spacing w:after="60"/>
      </w:pPr>
    </w:p>
    <w:p>
      <w:pPr>
        <w:spacing w:after="60"/>
      </w:pPr>
      <w:r>
        <w:rPr>
          <w:rFonts w:ascii="Roboto" w:cs="Roboto" w:eastAsia="Roboto" w:hAnsi="Roboto"/>
          <w:b/>
          <w:bCs/>
          <w:color w:val="1B2F50"/>
          <w:sz w:val="24"/>
          <w:szCs w:val="24"/>
        </w:rPr>
        <w:t xml:space="preserve">Encypher_Relationship_Tracker.md  </w:t>
      </w:r>
      <w:r>
        <w:rPr>
          <w:rFonts w:ascii="Roboto" w:cs="Roboto" w:eastAsia="Roboto" w:hAnsi="Roboto"/>
          <w:b/>
          <w:bCs/>
          <w:color w:val="C0392B"/>
          <w:sz w:val="22"/>
          <w:szCs w:val="22"/>
        </w:rPr>
        <w:t xml:space="preserve">[HIGH PRIORITY]</w:t>
      </w:r>
    </w:p>
    <w:p>
      <w:pPr>
        <w:spacing w:after="120"/>
      </w:pPr>
      <w:r>
        <w:rPr>
          <w:rFonts w:ascii="Roboto" w:cs="Roboto" w:eastAsia="Roboto" w:hAnsi="Roboto"/>
          <w:color w:val="333333"/>
          <w:sz w:val="22"/>
          <w:szCs w:val="22"/>
        </w:rPr>
        <w:t xml:space="preserve">A living document tracking the status, tier assignment, key contacts, last interaction date, next steps, and relationship owner for every active prospect and partner. The pipeline table in Section 2.1 of this review is a starting point. Currently, relationship status is scattered across 50+ conversation threads with no single source of truth. This is the highest-leverage operational document to create.</w:t>
      </w:r>
    </w:p>
    <w:p>
      <w:pPr>
        <w:spacing w:after="60"/>
      </w:pPr>
    </w:p>
    <w:p>
      <w:pPr>
        <w:spacing w:after="60"/>
      </w:pPr>
      <w:r>
        <w:rPr>
          <w:rFonts w:ascii="Roboto" w:cs="Roboto" w:eastAsia="Roboto" w:hAnsi="Roboto"/>
          <w:b/>
          <w:bCs/>
          <w:color w:val="1B2F50"/>
          <w:sz w:val="24"/>
          <w:szCs w:val="24"/>
        </w:rPr>
        <w:t xml:space="preserve">Encypher_Meeting_Playbook.md  </w:t>
      </w:r>
      <w:r>
        <w:rPr>
          <w:rFonts w:ascii="Roboto" w:cs="Roboto" w:eastAsia="Roboto" w:hAnsi="Roboto"/>
          <w:b/>
          <w:bCs/>
          <w:color w:val="F39C12"/>
          <w:sz w:val="22"/>
          <w:szCs w:val="22"/>
        </w:rPr>
        <w:t xml:space="preserve">[MEDIUM PRIORITY]</w:t>
      </w:r>
    </w:p>
    <w:p>
      <w:pPr>
        <w:spacing w:after="120"/>
      </w:pPr>
      <w:r>
        <w:rPr>
          <w:rFonts w:ascii="Roboto" w:cs="Roboto" w:eastAsia="Roboto" w:hAnsi="Roboto"/>
          <w:color w:val="333333"/>
          <w:sz w:val="22"/>
          <w:szCs w:val="22"/>
        </w:rPr>
        <w:t xml:space="preserve">Consolidates lessons from meeting debriefs (Snack-Media C+, Mediavine, Aditude, Valnet, AAM, etc.) into a reusable playbook. Should include: discovery questions by ICP type, common objections and responses, qualification framework, meeting structure for different prospect types (GC vs. CTO vs. platform CEO), coaching notes on presentation length, and Matt's independent meeting checklist. Erik's over-presenting pattern should be addressed with specific time limits per topic.</w:t>
      </w:r>
    </w:p>
    <w:p>
      <w:pPr>
        <w:spacing w:after="60"/>
      </w:pPr>
    </w:p>
    <w:p>
      <w:pPr>
        <w:spacing w:after="60"/>
      </w:pPr>
      <w:r>
        <w:rPr>
          <w:rFonts w:ascii="Roboto" w:cs="Roboto" w:eastAsia="Roboto" w:hAnsi="Roboto"/>
          <w:b/>
          <w:bCs/>
          <w:color w:val="1B2F50"/>
          <w:sz w:val="24"/>
          <w:szCs w:val="24"/>
        </w:rPr>
        <w:t xml:space="preserve">Encypher_Standards_Stack.md  </w:t>
      </w:r>
      <w:r>
        <w:rPr>
          <w:rFonts w:ascii="Roboto" w:cs="Roboto" w:eastAsia="Roboto" w:hAnsi="Roboto"/>
          <w:b/>
          <w:bCs/>
          <w:color w:val="F39C12"/>
          <w:sz w:val="22"/>
          <w:szCs w:val="22"/>
        </w:rPr>
        <w:t xml:space="preserve">[MEDIUM PRIORITY]</w:t>
      </w:r>
    </w:p>
    <w:p>
      <w:pPr>
        <w:spacing w:after="120"/>
      </w:pPr>
      <w:r>
        <w:rPr>
          <w:rFonts w:ascii="Roboto" w:cs="Roboto" w:eastAsia="Roboto" w:hAnsi="Roboto"/>
          <w:color w:val="333333"/>
          <w:sz w:val="22"/>
          <w:szCs w:val="22"/>
        </w:rPr>
        <w:t xml:space="preserve">Dedicated document capturing Scott Cunningham's four-layer standards mapping (IAB Tech Lab CoMP, NMA, AAM, C2PA) and Encypher's unique position as the only layer that 'travels with content.' Should include the SPUR coalition connection, Charlie Hatford relationship, and the international replication thesis. This is a strategic asset that's currently undocumented.</w:t>
      </w:r>
    </w:p>
    <w:p>
      <w:pPr>
        <w:spacing w:after="60"/>
      </w:pPr>
    </w:p>
    <w:p>
      <w:pPr>
        <w:spacing w:after="60"/>
      </w:pPr>
      <w:r>
        <w:rPr>
          <w:rFonts w:ascii="Roboto" w:cs="Roboto" w:eastAsia="Roboto" w:hAnsi="Roboto"/>
          <w:b/>
          <w:bCs/>
          <w:color w:val="1B2F50"/>
          <w:sz w:val="24"/>
          <w:szCs w:val="24"/>
        </w:rPr>
        <w:t xml:space="preserve">Encypher_Publisher_Coalition_Agreement.md  </w:t>
      </w:r>
      <w:r>
        <w:rPr>
          <w:rFonts w:ascii="Roboto" w:cs="Roboto" w:eastAsia="Roboto" w:hAnsi="Roboto"/>
          <w:b/>
          <w:bCs/>
          <w:color w:val="F39C12"/>
          <w:sz w:val="22"/>
          <w:szCs w:val="22"/>
        </w:rPr>
        <w:t xml:space="preserve">[MEDIUM PRIORITY]</w:t>
      </w:r>
    </w:p>
    <w:p>
      <w:pPr>
        <w:spacing w:after="120"/>
      </w:pPr>
      <w:r>
        <w:rPr>
          <w:rFonts w:ascii="Roboto" w:cs="Roboto" w:eastAsia="Roboto" w:hAnsi="Roboto"/>
          <w:color w:val="333333"/>
          <w:sz w:val="22"/>
          <w:szCs w:val="22"/>
        </w:rPr>
        <w:t xml:space="preserve">The ToS references a 'Publisher Coalition Agreement' in Sections 7.4 and 15.6 that doesn't exist. A publisher GC evaluating coalition membership will look for this document. Should cover: explicit revenue splits (60/40 and 80/20) with track definitions, payment timing, reporting cadence, audit rights, licensee approval process, content withdrawal mechanics, exclusivity carve-outs, confidentiality, and founding member benefits. This is a legal document that needs attorney review but the commercial terms can be drafted internally.</w:t>
      </w:r>
    </w:p>
    <w:p>
      <w:pPr>
        <w:spacing w:after="60"/>
      </w:pPr>
    </w:p>
    <w:p>
      <w:pPr>
        <w:spacing w:after="60"/>
      </w:pPr>
      <w:r>
        <w:rPr>
          <w:rFonts w:ascii="Roboto" w:cs="Roboto" w:eastAsia="Roboto" w:hAnsi="Roboto"/>
          <w:b/>
          <w:bCs/>
          <w:color w:val="1B2F50"/>
          <w:sz w:val="24"/>
          <w:szCs w:val="24"/>
        </w:rPr>
        <w:t xml:space="preserve">Encypher_Competitive_Intelligence.md  </w:t>
      </w:r>
      <w:r>
        <w:rPr>
          <w:rFonts w:ascii="Roboto" w:cs="Roboto" w:eastAsia="Roboto" w:hAnsi="Roboto"/>
          <w:b/>
          <w:bCs/>
          <w:color w:val="27AE60"/>
          <w:sz w:val="22"/>
          <w:szCs w:val="22"/>
        </w:rPr>
        <w:t xml:space="preserve">[LOW PRIORITY]</w:t>
      </w:r>
    </w:p>
    <w:p>
      <w:pPr>
        <w:spacing w:after="120"/>
      </w:pPr>
      <w:r>
        <w:rPr>
          <w:rFonts w:ascii="Roboto" w:cs="Roboto" w:eastAsia="Roboto" w:hAnsi="Roboto"/>
          <w:color w:val="333333"/>
          <w:sz w:val="22"/>
          <w:szCs w:val="22"/>
        </w:rPr>
        <w:t xml:space="preserve">Consolidates assessments of IP3 Digital, WordProof, TollBit, Dapier, ProRata, and other adjacent companies. Currently scattered across individual conversation threads. Useful for Matt when prospects ask 'how are you different from X?' and for investor conversations.</w:t>
      </w:r>
    </w:p>
    <w:p>
      <w:pPr>
        <w:spacing w:after="60"/>
      </w:pPr>
    </w:p>
    <w:p>
      <w:r>
        <w:br w:type="page"/>
      </w:r>
    </w:p>
    <w:p>
      <w:pPr>
        <w:pStyle w:val="Heading1"/>
      </w:pPr>
      <w:r>
        <w:t xml:space="preserve">10. Specific Content Additions to Existing Documents</w:t>
      </w:r>
    </w:p>
    <w:p>
      <w:pPr>
        <w:spacing w:after="60"/>
      </w:pPr>
    </w:p>
    <w:p>
      <w:pPr>
        <w:pStyle w:val="Heading2"/>
      </w:pPr>
      <w:r>
        <w:t xml:space="preserve">10.1 Encypher_ICPs.md</w:t>
      </w:r>
    </w:p>
    <w:p>
      <w:pPr>
        <w:spacing w:after="120"/>
      </w:pPr>
      <w:r>
        <w:rPr>
          <w:rFonts w:ascii="Roboto" w:cs="Roboto" w:eastAsia="Roboto" w:hAnsi="Roboto"/>
          <w:color w:val="333333"/>
          <w:sz w:val="22"/>
          <w:szCs w:val="22"/>
        </w:rPr>
        <w:t xml:space="preserve">- Add SPUR coalition section under ICP 2 (Standards Champion) with BBC/FT/Guardian/Sky News/Telegraph details and Charlie Hatford as connection point.</w:t>
      </w:r>
    </w:p>
    <w:p>
      <w:pPr>
        <w:spacing w:after="120"/>
      </w:pPr>
      <w:r>
        <w:rPr>
          <w:rFonts w:ascii="Roboto" w:cs="Roboto" w:eastAsia="Roboto" w:hAnsi="Roboto"/>
          <w:color w:val="333333"/>
          <w:sz w:val="22"/>
          <w:szCs w:val="22"/>
        </w:rPr>
        <w:t xml:space="preserve">- Add Valnet (Shaun Decker, Senior Legal Counsel) to active pipeline tracking with technical Q&amp;A status.</w:t>
      </w:r>
    </w:p>
    <w:p>
      <w:pPr>
        <w:spacing w:after="120"/>
      </w:pPr>
      <w:r>
        <w:rPr>
          <w:rFonts w:ascii="Roboto" w:cs="Roboto" w:eastAsia="Roboto" w:hAnsi="Roboto"/>
          <w:color w:val="333333"/>
          <w:sz w:val="22"/>
          <w:szCs w:val="22"/>
        </w:rPr>
        <w:t xml:space="preserve">- Add David Kohl / Symitri / Morgan Digital Ventures as strategic peer relationship (not prospect).</w:t>
      </w:r>
    </w:p>
    <w:p>
      <w:pPr>
        <w:spacing w:after="120"/>
      </w:pPr>
      <w:r>
        <w:rPr>
          <w:rFonts w:ascii="Roboto" w:cs="Roboto" w:eastAsia="Roboto" w:hAnsi="Roboto"/>
          <w:color w:val="333333"/>
          <w:sz w:val="22"/>
          <w:szCs w:val="22"/>
        </w:rPr>
        <w:t xml:space="preserve">- Add litigation intelligence targets: Media News Group, Philadelphia Inquirer (primary); Fandom, Andrews McMeel Universal (secondary).</w:t>
      </w:r>
    </w:p>
    <w:p>
      <w:pPr>
        <w:spacing w:after="120"/>
      </w:pPr>
      <w:r>
        <w:rPr>
          <w:rFonts w:ascii="Roboto" w:cs="Roboto" w:eastAsia="Roboto" w:hAnsi="Roboto"/>
          <w:color w:val="333333"/>
          <w:sz w:val="22"/>
          <w:szCs w:val="22"/>
        </w:rPr>
        <w:t xml:space="preserve">- Add Library of Congress / Kate Murray as standards credibility amplifier (not revenue target) with academic publisher commercial path (Taylor &amp; Francis, Springer Nature).</w:t>
      </w:r>
    </w:p>
    <w:p>
      <w:pPr>
        <w:spacing w:after="120"/>
      </w:pPr>
      <w:r>
        <w:rPr>
          <w:rFonts w:ascii="Roboto" w:cs="Roboto" w:eastAsia="Roboto" w:hAnsi="Roboto"/>
          <w:color w:val="333333"/>
          <w:sz w:val="22"/>
          <w:szCs w:val="22"/>
        </w:rPr>
        <w:t xml:space="preserve">- Update Aditude section: add gaming publisher exclusion (~40% of base is poor targets), rev-share preference over referral model, Tobias Bennett as LMC operational executor.</w:t>
      </w:r>
    </w:p>
    <w:p>
      <w:pPr>
        <w:spacing w:after="120"/>
      </w:pPr>
      <w:r>
        <w:rPr>
          <w:rFonts w:ascii="Roboto" w:cs="Roboto" w:eastAsia="Roboto" w:hAnsi="Roboto"/>
          <w:color w:val="333333"/>
          <w:sz w:val="22"/>
          <w:szCs w:val="22"/>
        </w:rPr>
        <w:t xml:space="preserve">- Add Snack-Media with ~400 publisher partners, Tier 2/3, Matt-led, UK market connection.</w:t>
      </w:r>
    </w:p>
    <w:p>
      <w:pPr>
        <w:spacing w:after="120"/>
      </w:pPr>
      <w:r>
        <w:rPr>
          <w:rFonts w:ascii="Roboto" w:cs="Roboto" w:eastAsia="Roboto" w:hAnsi="Roboto"/>
          <w:color w:val="333333"/>
          <w:sz w:val="22"/>
          <w:szCs w:val="22"/>
        </w:rPr>
        <w:t xml:space="preserve">- Add CPMStar sellers.json, Rob Beeler's publisher Slack, and Prebid.org AI working group as prospecting resources (from Aditude meeting).</w:t>
      </w:r>
    </w:p>
    <w:p>
      <w:pPr>
        <w:spacing w:after="60"/>
      </w:pPr>
    </w:p>
    <w:p>
      <w:pPr>
        <w:pStyle w:val="Heading2"/>
      </w:pPr>
      <w:r>
        <w:t xml:space="preserve">10.2 Encypher_GTM_Strategy.md</w:t>
      </w:r>
    </w:p>
    <w:p>
      <w:pPr>
        <w:spacing w:after="120"/>
      </w:pPr>
      <w:r>
        <w:rPr>
          <w:rFonts w:ascii="Roboto" w:cs="Roboto" w:eastAsia="Roboto" w:hAnsi="Roboto"/>
          <w:color w:val="333333"/>
          <w:sz w:val="22"/>
          <w:szCs w:val="22"/>
        </w:rPr>
        <w:t xml:space="preserve">- Add full standards stack section: IAB Tech Lab CoMP (operational specifications) -&gt; NMA (contract terms) -&gt; AAM (quality audits) -&gt; C2PA (watermarking/tracking). Position C2PA as the only layer that travels with content beyond publisher boundaries.</w:t>
      </w:r>
    </w:p>
    <w:p>
      <w:pPr>
        <w:spacing w:after="120"/>
      </w:pPr>
      <w:r>
        <w:rPr>
          <w:rFonts w:ascii="Roboto" w:cs="Roboto" w:eastAsia="Roboto" w:hAnsi="Roboto"/>
          <w:color w:val="333333"/>
          <w:sz w:val="22"/>
          <w:szCs w:val="22"/>
        </w:rPr>
        <w:t xml:space="preserve">- Update implementation checklist: mark NMA presentation as completed, WordPress plugin as beta-released, Chrome extension as beta-released, Syracuse as postponed, Freestar as in legal review (not just 'meeting completed').</w:t>
      </w:r>
    </w:p>
    <w:p>
      <w:pPr>
        <w:spacing w:after="120"/>
      </w:pPr>
      <w:r>
        <w:rPr>
          <w:rFonts w:ascii="Roboto" w:cs="Roboto" w:eastAsia="Roboto" w:hAnsi="Roboto"/>
          <w:color w:val="333333"/>
          <w:sz w:val="22"/>
          <w:szCs w:val="22"/>
        </w:rPr>
        <w:t xml:space="preserve">- Add Encypher Attest as second product line with separate GTM track targeting enterprise verticals.</w:t>
      </w:r>
    </w:p>
    <w:p>
      <w:pPr>
        <w:spacing w:after="120"/>
      </w:pPr>
      <w:r>
        <w:rPr>
          <w:rFonts w:ascii="Roboto" w:cs="Roboto" w:eastAsia="Roboto" w:hAnsi="Roboto"/>
          <w:color w:val="333333"/>
          <w:sz w:val="22"/>
          <w:szCs w:val="22"/>
        </w:rPr>
        <w:t xml:space="preserve">- Add Waldo Capital to fundraising/investor pipeline section with Series A timeline framing.</w:t>
      </w:r>
    </w:p>
    <w:p>
      <w:pPr>
        <w:spacing w:after="120"/>
      </w:pPr>
      <w:r>
        <w:rPr>
          <w:rFonts w:ascii="Roboto" w:cs="Roboto" w:eastAsia="Roboto" w:hAnsi="Roboto"/>
          <w:color w:val="333333"/>
          <w:sz w:val="22"/>
          <w:szCs w:val="22"/>
        </w:rPr>
        <w:t xml:space="preserve">- Update Matt Kaminsky section to reflect current training status and independent meeting readiness.</w:t>
      </w:r>
    </w:p>
    <w:p>
      <w:pPr>
        <w:spacing w:after="120"/>
      </w:pPr>
      <w:r>
        <w:rPr>
          <w:rFonts w:ascii="Roboto" w:cs="Roboto" w:eastAsia="Roboto" w:hAnsi="Roboto"/>
          <w:color w:val="333333"/>
          <w:sz w:val="22"/>
          <w:szCs w:val="22"/>
        </w:rPr>
        <w:t xml:space="preserve">- Add Cannes Film Festival panel (May 2026) to events/speaking pipeline.</w:t>
      </w:r>
    </w:p>
    <w:p>
      <w:pPr>
        <w:spacing w:after="120"/>
      </w:pPr>
      <w:r>
        <w:rPr>
          <w:rFonts w:ascii="Roboto" w:cs="Roboto" w:eastAsia="Roboto" w:hAnsi="Roboto"/>
          <w:color w:val="333333"/>
          <w:sz w:val="22"/>
          <w:szCs w:val="22"/>
        </w:rPr>
        <w:t xml:space="preserve">- Revise Q1 2026 revenue projection section to reflect Syracuse postponement and actual timeline.</w:t>
      </w:r>
    </w:p>
    <w:p>
      <w:pPr>
        <w:spacing w:after="60"/>
      </w:pPr>
    </w:p>
    <w:p>
      <w:pPr>
        <w:pStyle w:val="Heading2"/>
      </w:pPr>
      <w:r>
        <w:t xml:space="preserve">10.3 Encypher_Enterprise_Sales.md</w:t>
      </w:r>
    </w:p>
    <w:p>
      <w:pPr>
        <w:spacing w:after="120"/>
      </w:pPr>
      <w:r>
        <w:rPr>
          <w:rFonts w:ascii="Roboto" w:cs="Roboto" w:eastAsia="Roboto" w:hAnsi="Roboto"/>
          <w:color w:val="333333"/>
          <w:sz w:val="22"/>
          <w:szCs w:val="22"/>
        </w:rPr>
        <w:t xml:space="preserve">- Fix ROI Framework: replace '3x damages potential' with 'up to $150,000 per registered work for willful infringement.'</w:t>
      </w:r>
    </w:p>
    <w:p>
      <w:pPr>
        <w:spacing w:after="120"/>
      </w:pPr>
      <w:r>
        <w:rPr>
          <w:rFonts w:ascii="Roboto" w:cs="Roboto" w:eastAsia="Roboto" w:hAnsi="Roboto"/>
          <w:color w:val="333333"/>
          <w:sz w:val="22"/>
          <w:szCs w:val="22"/>
        </w:rPr>
        <w:t xml:space="preserve">- Add Encypher Attest cross-reference for Financial Services, Healthcare, and Legal vertical messaging.</w:t>
      </w:r>
    </w:p>
    <w:p>
      <w:pPr>
        <w:spacing w:after="120"/>
      </w:pPr>
      <w:r>
        <w:rPr>
          <w:rFonts w:ascii="Roboto" w:cs="Roboto" w:eastAsia="Roboto" w:hAnsi="Roboto"/>
          <w:color w:val="333333"/>
          <w:sz w:val="22"/>
          <w:szCs w:val="22"/>
        </w:rPr>
        <w:t xml:space="preserve">- Add meeting debrief lessons to discovery questions section: specific guidance on time limits for presentations, prioritizing questions over explanation, qualification checkpoints.</w:t>
      </w:r>
    </w:p>
    <w:p>
      <w:pPr>
        <w:spacing w:after="120"/>
      </w:pPr>
      <w:r>
        <w:rPr>
          <w:rFonts w:ascii="Roboto" w:cs="Roboto" w:eastAsia="Roboto" w:hAnsi="Roboto"/>
          <w:color w:val="333333"/>
          <w:sz w:val="22"/>
          <w:szCs w:val="22"/>
        </w:rPr>
        <w:t xml:space="preserve">- Add Valnet follow-up Q&amp;A as example of what engaged prospects ask (technical requirements, implementation method, systems integration, performance impact, revenue benchmarks, payment mechanics).</w:t>
      </w:r>
    </w:p>
    <w:p>
      <w:pPr>
        <w:spacing w:after="60"/>
      </w:pPr>
    </w:p>
    <w:p>
      <w:pPr>
        <w:pStyle w:val="Heading2"/>
      </w:pPr>
      <w:r>
        <w:t xml:space="preserve">10.4 Encypher_Marketing_Guidelines.md</w:t>
      </w:r>
    </w:p>
    <w:p>
      <w:pPr>
        <w:spacing w:after="120"/>
      </w:pPr>
      <w:r>
        <w:rPr>
          <w:rFonts w:ascii="Roboto" w:cs="Roboto" w:eastAsia="Roboto" w:hAnsi="Roboto"/>
          <w:color w:val="333333"/>
          <w:sz w:val="22"/>
          <w:szCs w:val="22"/>
        </w:rPr>
        <w:t xml:space="preserve">- Add Orwell/Lewis/Economist voice specification to blog/content section. Reference updated Writer Agent and Reviewer prompts.</w:t>
      </w:r>
    </w:p>
    <w:p>
      <w:pPr>
        <w:spacing w:after="120"/>
      </w:pPr>
      <w:r>
        <w:rPr>
          <w:rFonts w:ascii="Roboto" w:cs="Roboto" w:eastAsia="Roboto" w:hAnsi="Roboto"/>
          <w:color w:val="333333"/>
          <w:sz w:val="22"/>
          <w:szCs w:val="22"/>
        </w:rPr>
        <w:t xml:space="preserve">- Add content theft/competitor scraping as explicit value proposition alongside AI licensing.</w:t>
      </w:r>
    </w:p>
    <w:p>
      <w:pPr>
        <w:spacing w:after="120"/>
      </w:pPr>
      <w:r>
        <w:rPr>
          <w:rFonts w:ascii="Roboto" w:cs="Roboto" w:eastAsia="Roboto" w:hAnsi="Roboto"/>
          <w:color w:val="333333"/>
          <w:sz w:val="22"/>
          <w:szCs w:val="22"/>
        </w:rPr>
        <w:t xml:space="preserve">- Add publisher-first messaging sequencing principle: lead with publisher outcomes for current traffic mix, evolve as AI company visitors increase.</w:t>
      </w:r>
    </w:p>
    <w:p>
      <w:pPr>
        <w:spacing w:after="120"/>
      </w:pPr>
      <w:r>
        <w:rPr>
          <w:rFonts w:ascii="Roboto" w:cs="Roboto" w:eastAsia="Roboto" w:hAnsi="Roboto"/>
          <w:color w:val="333333"/>
          <w:sz w:val="22"/>
          <w:szCs w:val="22"/>
        </w:rPr>
        <w:t xml:space="preserve">- Formalize 'phrases to avoid': 'class action' (use 'collective licensing'), 'sales house' for Aditude, 'AI Content Economy' as hero framing.</w:t>
      </w:r>
    </w:p>
    <w:p>
      <w:pPr>
        <w:spacing w:after="120"/>
      </w:pPr>
      <w:r>
        <w:rPr>
          <w:rFonts w:ascii="Roboto" w:cs="Roboto" w:eastAsia="Roboto" w:hAnsi="Roboto"/>
          <w:color w:val="333333"/>
          <w:sz w:val="22"/>
          <w:szCs w:val="22"/>
        </w:rPr>
        <w:t xml:space="preserve">- Add WordProof/timestamping distinction to FAQ recommendations.</w:t>
      </w:r>
    </w:p>
    <w:p>
      <w:pPr>
        <w:spacing w:after="120"/>
      </w:pPr>
      <w:r>
        <w:rPr>
          <w:rFonts w:ascii="Roboto" w:cs="Roboto" w:eastAsia="Roboto" w:hAnsi="Roboto"/>
          <w:color w:val="333333"/>
          <w:sz w:val="22"/>
          <w:szCs w:val="22"/>
        </w:rPr>
        <w:t xml:space="preserve">- Review/update Nate Alvord voice section given current status.</w:t>
      </w:r>
    </w:p>
    <w:p>
      <w:pPr>
        <w:spacing w:after="60"/>
      </w:pPr>
    </w:p>
    <w:p>
      <w:r>
        <w:br w:type="page"/>
      </w:r>
    </w:p>
    <w:p>
      <w:pPr>
        <w:pStyle w:val="Heading1"/>
      </w:pPr>
      <w:r>
        <w:t xml:space="preserve">11. Recommended Priority Sequence</w:t>
      </w:r>
    </w:p>
    <w:p>
      <w:pPr>
        <w:spacing w:after="120"/>
      </w:pPr>
      <w:r>
        <w:rPr>
          <w:rFonts w:ascii="Roboto" w:cs="Roboto" w:eastAsia="Roboto" w:hAnsi="Roboto"/>
          <w:color w:val="333333"/>
          <w:sz w:val="22"/>
          <w:szCs w:val="22"/>
        </w:rPr>
        <w:t xml:space="preserve">Given Erik's bandwidth constraints, documentation updates should be prioritized by operational impact.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800"/>
        <w:gridCol w:w="3860"/>
      </w:tblGrid>
      <w:tr>
        <w:tc>
          <w:tcPr>
            <w:tcW w:type="dxa" w:w="5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Effort</w:t>
            </w:r>
          </w:p>
        </w:tc>
        <w:tc>
          <w:tcPr>
            <w:tcW w:type="dxa" w:w="3860"/>
            <w:tcBorders>
              <w:top w:val="single" w:color="CCCCCC" w:sz="1"/>
              <w:left w:val="single" w:color="CCCCCC" w:sz="1"/>
              <w:bottom w:val="single" w:color="CCCCCC" w:sz="1"/>
              <w:right w:val="single" w:color="CCCCCC" w:sz="1"/>
            </w:tcBorders>
            <w:shd w:fill="1B2F50" w:val="clear"/>
            <w:tcMar>
              <w:top w:type="dxa" w:w="60"/>
              <w:left w:type="dxa" w:w="100"/>
              <w:bottom w:type="dxa" w:w="60"/>
              <w:right w:type="dxa" w:w="100"/>
            </w:tcMar>
          </w:tcPr>
          <w:p>
            <w:r>
              <w:rPr>
                <w:rFonts w:ascii="Roboto" w:cs="Roboto" w:eastAsia="Roboto" w:hAnsi="Roboto"/>
                <w:b/>
                <w:bCs/>
                <w:color w:val="FFFFFF"/>
                <w:sz w:val="20"/>
                <w:szCs w:val="20"/>
              </w:rPr>
              <w:t xml:space="preserve">Why Now</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Universal Syracuse update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Find-replace across all 8 docs. 30 minutes.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All docs reference a past event as upcoming. This is the most visible error.</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Create Relationship Tracker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Build from Section 2.1 of this review. 1 hour.</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No single source of truth for pipeline. Highest-leverage operational gap.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Create Encypher Attest Strategy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Document the product before institutional knowledge is lost. 2 hours.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Entire product line with zero documentation.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Update ICPs.md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Add SPUR, standards stack, litigation targets, Aditude intelligence. 1.5 hours.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Most frequently referenced doc is most outdated.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Update GTM Strategy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Checklist, Attest reference, standards stack, Matt status. 1.5 hours.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Operational roadmap needs to match reality.</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Fix Enterprise Sales ROI</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Grep for '3x damages,' fix. 15 minutes.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Legal precision matters for GC-facing materials.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Create Meeting Playbook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Consolidate debrief lessons. 1.5 hours.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Needed before Matt goes fully independent.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Create Standards Stack doc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Capture Cunningham mapping. 1 hour.</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Strategic asset, less operationally urgent.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Update Marketing Guidelines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Voice, messaging corrections, FAQ. 1 hour.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Roboto" w:cs="Roboto" w:eastAsia="Roboto" w:hAnsi="Roboto"/>
                <w:color w:val="333333"/>
                <w:sz w:val="20"/>
                <w:szCs w:val="20"/>
              </w:rPr>
              <w:t xml:space="preserve">Important but less time-sensitive.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Create Coalition Agreement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Draft commercial terms. 2 hours (plus attorney review).</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Roboto" w:cs="Roboto" w:eastAsia="Roboto" w:hAnsi="Roboto"/>
                <w:color w:val="333333"/>
                <w:sz w:val="20"/>
                <w:szCs w:val="20"/>
              </w:rPr>
              <w:t xml:space="preserve">Needed before first publisher GC signs.</w:t>
            </w:r>
          </w:p>
        </w:tc>
      </w:tr>
    </w:tbl>
    <w:p>
      <w:pPr>
        <w:spacing w:after="60"/>
      </w:pPr>
    </w:p>
    <w:p>
      <w:pPr>
        <w:pBdr>
          <w:left w:val="single" w:color="2A87C4" w:sz="12" w:space="8"/>
        </w:pBdr>
        <w:shd w:fill="EBF5FB" w:val="clear"/>
        <w:spacing w:before="120" w:after="120"/>
        <w:ind w:left="200"/>
      </w:pPr>
      <w:r>
        <w:rPr>
          <w:rFonts w:ascii="Roboto" w:cs="Roboto" w:eastAsia="Roboto" w:hAnsi="Roboto"/>
          <w:b/>
          <w:bCs/>
          <w:color w:val="2A87C4"/>
          <w:sz w:val="22"/>
          <w:szCs w:val="22"/>
        </w:rPr>
        <w:t xml:space="preserve">Total Estimated Effort:  </w:t>
      </w:r>
      <w:r>
        <w:rPr>
          <w:rFonts w:ascii="Roboto" w:cs="Roboto" w:eastAsia="Roboto" w:hAnsi="Roboto"/>
          <w:color w:val="333333"/>
          <w:sz w:val="22"/>
          <w:szCs w:val="22"/>
        </w:rPr>
        <w:t xml:space="preserve">Approximately 12-14 hours to bring all documentation current. Recommend spreading across 3-4 sessions over 1-2 weeks. Priorities 1-3 should be completed within 48 hours. Claude can execute most of these updates directly if provided the go-ahead.</w:t>
      </w:r>
    </w:p>
    <w:p>
      <w:pPr>
        <w:spacing w:after="60"/>
      </w:pPr>
    </w:p>
    <w:p>
      <w:pPr>
        <w:pStyle w:val="Heading1"/>
      </w:pPr>
      <w:r>
        <w:t xml:space="preserve">12. A Note on This Document</w:t>
      </w:r>
    </w:p>
    <w:p>
      <w:pPr>
        <w:spacing w:after="120"/>
      </w:pPr>
      <w:r>
        <w:rPr>
          <w:rFonts w:ascii="Roboto" w:cs="Roboto" w:eastAsia="Roboto" w:hAnsi="Roboto"/>
          <w:color w:val="333333"/>
          <w:sz w:val="22"/>
          <w:szCs w:val="22"/>
        </w:rPr>
        <w:t xml:space="preserve">This review itself is a form of institutional knowledge capture. It synthesizes 50+ conversations into a structured record that can be referenced by Erik, Matt, future team members, and future Claude sessions. Consider adding this document (or a condensed version) to the project knowledge base as Encypher_Strategic_Review_Q1_2026.md to preserve the context.</w:t>
      </w:r>
    </w:p>
    <w:p>
      <w:pPr>
        <w:spacing w:after="60"/>
      </w:pPr>
    </w:p>
    <w:p>
      <w:pPr>
        <w:spacing w:after="120"/>
      </w:pPr>
      <w:r>
        <w:rPr>
          <w:rFonts w:ascii="Roboto" w:cs="Roboto" w:eastAsia="Roboto" w:hAnsi="Roboto"/>
          <w:color w:val="333333"/>
          <w:sz w:val="22"/>
          <w:szCs w:val="22"/>
        </w:rPr>
        <w:t xml:space="preserve">The conversations that generated these insights will eventually fall outside Claude's memory window. The documentation updates recommended here are the mechanism for preserving what was learned.</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oboto" w:cs="Roboto" w:eastAsia="Roboto" w:hAnsi="Roboto"/>
        <w:color w:val="999999"/>
        <w:sz w:val="18"/>
        <w:szCs w:val="18"/>
      </w:rP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Roboto" w:cs="Roboto" w:eastAsia="Roboto" w:hAnsi="Roboto"/>
        <w:color w:val="999999"/>
        <w:sz w:val="18"/>
        <w:szCs w:val="18"/>
      </w:rPr>
      <w:t xml:space="preserve">Encypher Corporation | Strategic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A87C4" w:sz="2" w:space="4"/>
      </w:pBdr>
      <w:spacing w:before="300" w:after="200"/>
      <w:outlineLvl w:val="0"/>
    </w:pPr>
    <w:rPr>
      <w:rFonts w:ascii="Roboto" w:cs="Roboto" w:eastAsia="Roboto" w:hAnsi="Roboto"/>
      <w:b/>
      <w:bCs/>
      <w:color w:val="1B2F50"/>
      <w:sz w:val="32"/>
      <w:szCs w:val="32"/>
    </w:rPr>
  </w:style>
  <w:style w:type="paragraph" w:styleId="Heading2">
    <w:name w:val="Heading 2"/>
    <w:basedOn w:val="Normal"/>
    <w:next w:val="Normal"/>
    <w:qFormat/>
    <w:pPr>
      <w:spacing w:before="200" w:after="120"/>
      <w:outlineLvl w:val="1"/>
    </w:pPr>
    <w:rPr>
      <w:rFonts w:ascii="Roboto" w:cs="Roboto" w:eastAsia="Roboto" w:hAnsi="Roboto"/>
      <w:b/>
      <w:bCs/>
      <w:color w:val="2A87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2026-03-04T14:35:39.796Z</dcterms:created>
  <dcterms:modified xsi:type="dcterms:W3CDTF">2026-03-04T14:35:39.797Z</dcterms:modified>
</cp:coreProperties>
</file>

<file path=docProps/custom.xml><?xml version="1.0" encoding="utf-8"?>
<Properties xmlns="http://schemas.openxmlformats.org/officeDocument/2006/custom-properties" xmlns:vt="http://schemas.openxmlformats.org/officeDocument/2006/docPropsVTypes"/>
</file>