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keepNext/>
        <w:spacing w:before="0" w:after="80"/>
        <w:pBdr>
          <w:bottom w:val="single" w:sz="8" w:space="3" w:color="2A87C4"/>
        </w:pBdr>
      </w:pPr>
      <w:r>
        <w:rPr>
          <w:rFonts w:ascii="Roboto" w:hAnsi="Roboto"/>
          <w:b/>
          <w:color w:val="1B2F50"/>
          <w:sz w:val="48"/>
        </w:rPr>
        <w:t>Global Regulatory Frameworks for</w:t>
        <w:br/>
        <w:t>AI-Generated Text Provenance</w:t>
      </w:r>
    </w:p>
    <w:p>
      <w:pPr>
        <w:keepNext/>
        <w:spacing w:before="0" w:after="120"/>
      </w:pPr>
      <w:r>
        <w:rPr>
          <w:rFonts w:ascii="Roboto" w:hAnsi="Roboto"/>
          <w:i/>
          <w:color w:val="2A87C4"/>
          <w:sz w:val="26"/>
        </w:rPr>
        <w:t>A Comparative Analysis of Legislative Mandates, Technical Standards,</w:t>
        <w:br/>
        <w:t>and Structural Gaps Across Jurisdictions</w:t>
      </w:r>
    </w:p>
    <w:p>
      <w:pPr>
        <w:spacing w:after="20" w:before="0"/>
      </w:pPr>
      <w:r>
        <w:rPr>
          <w:rFonts w:ascii="Roboto" w:hAnsi="Roboto"/>
          <w:b/>
          <w:color w:val="1B2F50"/>
          <w:sz w:val="18"/>
        </w:rPr>
        <w:t xml:space="preserve">Prepared by: </w:t>
      </w:r>
      <w:r>
        <w:rPr>
          <w:rFonts w:ascii="Roboto" w:hAnsi="Roboto"/>
          <w:color w:val="333333"/>
          <w:sz w:val="18"/>
        </w:rPr>
        <w:t>Encypher Corporation</w:t>
      </w:r>
    </w:p>
    <w:p>
      <w:pPr>
        <w:spacing w:after="20" w:before="0"/>
      </w:pPr>
      <w:r>
        <w:rPr>
          <w:rFonts w:ascii="Roboto" w:hAnsi="Roboto"/>
          <w:b/>
          <w:color w:val="1B2F50"/>
          <w:sz w:val="18"/>
        </w:rPr>
        <w:t xml:space="preserve">Author: </w:t>
      </w:r>
      <w:r>
        <w:rPr>
          <w:rFonts w:ascii="Roboto" w:hAnsi="Roboto"/>
          <w:color w:val="333333"/>
          <w:sz w:val="18"/>
        </w:rPr>
        <w:t>Erik Svilich, Co-Chair, C2PA Text Provenance Task Force</w:t>
      </w:r>
    </w:p>
    <w:p>
      <w:pPr>
        <w:spacing w:after="20" w:before="0"/>
      </w:pPr>
      <w:r>
        <w:rPr>
          <w:rFonts w:ascii="Roboto" w:hAnsi="Roboto"/>
          <w:b/>
          <w:color w:val="1B2F50"/>
          <w:sz w:val="18"/>
        </w:rPr>
        <w:t xml:space="preserve">Date: </w:t>
      </w:r>
      <w:r>
        <w:rPr>
          <w:rFonts w:ascii="Roboto" w:hAnsi="Roboto"/>
          <w:color w:val="333333"/>
          <w:sz w:val="18"/>
        </w:rPr>
        <w:t>April 2026</w:t>
      </w:r>
    </w:p>
    <w:p>
      <w:pPr>
        <w:spacing w:after="20" w:before="0"/>
      </w:pPr>
      <w:r>
        <w:rPr>
          <w:rFonts w:ascii="Roboto" w:hAnsi="Roboto"/>
          <w:b/>
          <w:color w:val="1B2F50"/>
          <w:sz w:val="18"/>
        </w:rPr>
        <w:t xml:space="preserve">Classification: </w:t>
      </w:r>
      <w:r>
        <w:rPr>
          <w:rFonts w:ascii="Roboto" w:hAnsi="Roboto"/>
          <w:color w:val="333333"/>
          <w:sz w:val="18"/>
        </w:rPr>
        <w:t>External - Advisory Distribution</w:t>
      </w:r>
    </w:p>
    <w:p>
      <w:pPr>
        <w:spacing w:after="20" w:before="0"/>
      </w:pPr>
      <w:r>
        <w:rPr>
          <w:rFonts w:ascii="Roboto" w:hAnsi="Roboto"/>
          <w:b/>
          <w:color w:val="1B2F50"/>
          <w:sz w:val="18"/>
        </w:rPr>
        <w:t xml:space="preserve">Version: </w:t>
      </w:r>
      <w:r>
        <w:rPr>
          <w:rFonts w:ascii="Roboto" w:hAnsi="Roboto"/>
          <w:color w:val="333333"/>
          <w:sz w:val="18"/>
        </w:rPr>
        <w:t>1.0</w:t>
      </w:r>
    </w:p>
    <w:p>
      <w:pPr>
        <w:spacing w:after="0"/>
      </w:pPr>
    </w:p>
    <w:p>
      <w:pPr>
        <w:spacing w:after="0"/>
      </w:pPr>
    </w:p>
    <w:p>
      <w:pPr>
        <w:spacing w:after="0"/>
      </w:pPr>
    </w:p>
    <w:p>
      <w:pPr>
        <w:spacing w:before="80" w:after="80" w:line="260" w:lineRule="exact"/>
        <w:ind w:left="340" w:right="340"/>
        <w:shd w:fill="EDF4F9" w:val="clear"/>
        <w:pBdr>
          <w:left w:val="single" w:sz="18" w:space="6" w:color="2A87C4"/>
        </w:pBdr>
      </w:pPr>
      <w:r>
        <w:rPr>
          <w:rFonts w:ascii="Roboto" w:hAnsi="Roboto"/>
          <w:i/>
          <w:color w:val="1B2F50"/>
          <w:sz w:val="18"/>
        </w:rPr>
        <w:t>This report provides an independent analysis of global text provenance regulation. Encypher Corporation co-chairs the C2PA Text Provenance Task Force and authored C2PA 2.3 Section A.7 (Embedding Manifests into Unstructured Text). Where the report references Encypher's public comment on the EU AI Act Code of Practice, this is identified as such. Technical assessments of C2PA capabilities reflect the published specification, not proprietary extensions.</w:t>
      </w:r>
    </w:p>
    <w:p>
      <w:r>
        <w:br w:type="page"/>
      </w:r>
    </w:p>
    <w:p>
      <w:pPr>
        <w:keepNext/>
        <w:spacing w:before="280" w:after="120"/>
        <w:pBdr>
          <w:bottom w:val="single" w:sz="6" w:space="2" w:color="2A87C4"/>
        </w:pBdr>
      </w:pPr>
      <w:r>
        <w:rPr>
          <w:rFonts w:ascii="Roboto" w:hAnsi="Roboto"/>
          <w:b/>
          <w:color w:val="1B2F50"/>
          <w:sz w:val="32"/>
        </w:rPr>
        <w:t>Executive Summary</w:t>
      </w:r>
    </w:p>
    <w:p>
      <w:pPr>
        <w:spacing w:after="80" w:before="0" w:line="280" w:lineRule="exact"/>
      </w:pPr>
      <w:r>
        <w:rPr>
          <w:rFonts w:ascii="Roboto" w:hAnsi="Roboto"/>
          <w:b w:val="0"/>
          <w:i w:val="0"/>
          <w:color w:val="333333"/>
          <w:sz w:val="19"/>
        </w:rPr>
        <w:t>Generative AI systems now produce human-like text at industrial scale. Policymakers worldwide are responding with frameworks that require provenance, the verifiable indication of whether content was generated or modified by AI, alongside the metadata of its creation and any subsequent alterations.</w:t>
      </w:r>
    </w:p>
    <w:p>
      <w:pPr>
        <w:spacing w:after="80" w:before="0" w:line="280" w:lineRule="exact"/>
      </w:pPr>
      <w:r>
        <w:rPr>
          <w:rFonts w:ascii="Roboto" w:hAnsi="Roboto"/>
          <w:b w:val="0"/>
          <w:i w:val="0"/>
          <w:color w:val="333333"/>
          <w:sz w:val="19"/>
        </w:rPr>
        <w:t>The global regulatory landscape is deeply fragmented. The European Union and the People's Republic of China have enacted binding, comprehensive transparency mandates. South Korea and Brazil have passed targeted legislation. The United States relies on voluntary federal guidance while individual states pass sector-specific laws. Japan, the United Kingdom, Australia, and Canada operate through soft-law frameworks and administrative advisories.</w:t>
      </w:r>
    </w:p>
    <w:p>
      <w:pPr>
        <w:spacing w:after="80" w:before="0" w:line="280" w:lineRule="exact"/>
      </w:pPr>
      <w:r>
        <w:rPr>
          <w:rFonts w:ascii="Roboto" w:hAnsi="Roboto"/>
          <w:b w:val="0"/>
          <w:i w:val="0"/>
          <w:color w:val="333333"/>
          <w:sz w:val="19"/>
        </w:rPr>
        <w:t>A fundamental misapprehension complicates these legal frameworks. Several major legislative efforts treat text provenance as technically infeasible and quietly exempt text from stringent latent disclosure requirements, focusing enforcement entirely on visual and auditory deepfakes. California's AI Transparency Act (SB 942) is the most prominent example, deliberately excluding text from its operational disclosure clauses. This premise is outdated. C2PA 2.3 Section A.7, published January 8, 2026, encodes provenance manifests as invisible Unicode characters embedded directly in the text stream, surviving copy-paste, syndication, and database storage with no minimum content length.</w:t>
      </w:r>
    </w:p>
    <w:p>
      <w:pPr>
        <w:spacing w:after="80" w:before="0" w:line="280" w:lineRule="exact"/>
      </w:pPr>
      <w:r>
        <w:rPr>
          <w:rFonts w:ascii="Roboto" w:hAnsi="Roboto"/>
          <w:b w:val="0"/>
          <w:i w:val="0"/>
          <w:color w:val="333333"/>
          <w:sz w:val="19"/>
        </w:rPr>
        <w:t>This report dissects these divergent approaches. It evaluates the technical viability of proposed standards, the depth and enforcement mechanisms of regional guidelines, and the structural gaps that emerge when regulatory ambition meets technical reality. Where applicable, it draws on Encypher's public comment to the EU AI Act Code of Practice to illustrate how specific technical capabilities address identified regulatory gaps.</w:t>
      </w:r>
    </w:p>
    <w:p>
      <w:r>
        <w:br w:type="page"/>
      </w:r>
    </w:p>
    <w:p>
      <w:pPr>
        <w:keepNext/>
        <w:spacing w:before="280" w:after="120"/>
        <w:pBdr>
          <w:bottom w:val="single" w:sz="6" w:space="2" w:color="2A87C4"/>
        </w:pBdr>
      </w:pPr>
      <w:r>
        <w:rPr>
          <w:rFonts w:ascii="Roboto" w:hAnsi="Roboto"/>
          <w:b/>
          <w:color w:val="1B2F50"/>
          <w:sz w:val="32"/>
        </w:rPr>
        <w:t>1. The Technical Landscape: Why Text Is Different</w:t>
      </w:r>
    </w:p>
    <w:p>
      <w:pPr>
        <w:spacing w:after="80" w:before="0" w:line="280" w:lineRule="exact"/>
      </w:pPr>
      <w:r>
        <w:rPr>
          <w:rFonts w:ascii="Roboto" w:hAnsi="Roboto"/>
          <w:b w:val="0"/>
          <w:i w:val="0"/>
          <w:color w:val="333333"/>
          <w:sz w:val="19"/>
        </w:rPr>
        <w:t>Legislative drafting on text provenance has been shaped by the assumption that text, unlike images or audio, cannot carry reliable provenance signals. This assumption reflects the limitations of one specific technique, statistical watermarking, rather than the full range of available methods. Two distinct approaches exist, and their capabilities differ sharply.</w:t>
      </w:r>
    </w:p>
    <w:p>
      <w:pPr>
        <w:keepNext/>
        <w:spacing w:before="200" w:after="80"/>
      </w:pPr>
      <w:r>
        <w:rPr>
          <w:rFonts w:ascii="Roboto" w:hAnsi="Roboto"/>
          <w:b/>
          <w:color w:val="2A87C4"/>
          <w:sz w:val="24"/>
        </w:rPr>
        <w:t>Statistical Watermarking and Its Limits</w:t>
      </w:r>
    </w:p>
    <w:p>
      <w:pPr>
        <w:spacing w:after="80" w:before="0" w:line="280" w:lineRule="exact"/>
      </w:pPr>
      <w:r>
        <w:rPr>
          <w:rFonts w:ascii="Roboto" w:hAnsi="Roboto"/>
          <w:b w:val="0"/>
          <w:i w:val="0"/>
          <w:color w:val="333333"/>
          <w:sz w:val="19"/>
        </w:rPr>
        <w:t>Statistical text watermarking operates by altering the probability distribution of token generation during inference. The resulting statistical signature is vulnerable to paraphrasing, translation, and manual editing. Watermarking tools yield confidence scores rather than definitive attribution, making them problematic for legal liability frameworks that require certainty.</w:t>
      </w:r>
    </w:p>
    <w:p>
      <w:pPr>
        <w:keepNext/>
        <w:spacing w:before="200" w:after="80"/>
      </w:pPr>
      <w:r>
        <w:rPr>
          <w:rFonts w:ascii="Roboto" w:hAnsi="Roboto"/>
          <w:b/>
          <w:color w:val="2A87C4"/>
          <w:sz w:val="24"/>
        </w:rPr>
        <w:t>Standards-Based Invisible Embedding: C2PA Section A.7</w:t>
      </w:r>
    </w:p>
    <w:p>
      <w:pPr>
        <w:spacing w:after="80" w:before="0" w:line="280" w:lineRule="exact"/>
      </w:pPr>
      <w:r>
        <w:rPr>
          <w:rFonts w:ascii="Roboto" w:hAnsi="Roboto"/>
          <w:b w:val="0"/>
          <w:i w:val="0"/>
          <w:color w:val="333333"/>
          <w:sz w:val="19"/>
        </w:rPr>
        <w:t>The Coalition for Content Provenance and Authenticity (C2PA) provides an open technical standard for establishing the origin and edit history of digital content. C2PA manifests use cryptographic hashing to bind a signed provenance record to the digital asset, relying on X.509 certificates for identity verification and CBOR for data serialization.</w:t>
      </w:r>
    </w:p>
    <w:p>
      <w:pPr>
        <w:spacing w:after="80" w:before="0" w:line="280" w:lineRule="exact"/>
      </w:pPr>
      <w:r>
        <w:rPr>
          <w:rFonts w:ascii="Roboto" w:hAnsi="Roboto"/>
          <w:b w:val="0"/>
          <w:i w:val="0"/>
          <w:color w:val="333333"/>
          <w:sz w:val="19"/>
        </w:rPr>
        <w:t>C2PA 2.3 Section A.7 ("Embedding Manifests into Unstructured Text," published January 8, 2026) solves the text distribution problem directly. Rather than wrapping text in an external container, Section A.7 encodes the entire C2PA manifest as a sequence of Unicode Variation Selectors embedded in the text stream itself. The specification opens by defining its scope: "content intended for copy-paste operations across different systems." The encoding uses 256 variation selectors (U+FE00 through U+FE0F and U+E0100 through U+E01EF) to represent each byte of the binary manifest, producing characters that are invisible to readers but preserved through copy-paste, syndication, database storage, and cross-platform distribution.</w:t>
      </w:r>
    </w:p>
    <w:p>
      <w:pPr>
        <w:spacing w:after="80" w:before="0" w:line="280" w:lineRule="exact"/>
      </w:pPr>
      <w:r>
        <w:rPr>
          <w:rFonts w:ascii="Roboto" w:hAnsi="Roboto"/>
          <w:b w:val="0"/>
          <w:i w:val="0"/>
          <w:color w:val="333333"/>
          <w:sz w:val="19"/>
        </w:rPr>
        <w:t>The manifest is cryptographically bound to the text content through a c2pa.hash.data assertion. The text is NFC-normalized and hashed; the hash is recorded inside the signed manifest with byte-offset exclusions that mark where the manifest itself sits. Any modification to the text, even a single character, causes hash verification to fail. There is no minimum content length: a manifest can be attached to a one-character chatbot reply, a single sentence, or a full article.</w:t>
      </w:r>
    </w:p>
    <w:p>
      <w:pPr>
        <w:spacing w:after="80" w:before="0" w:line="280" w:lineRule="exact"/>
      </w:pPr>
      <w:r>
        <w:rPr>
          <w:rFonts w:ascii="Roboto" w:hAnsi="Roboto"/>
          <w:b w:val="0"/>
          <w:i w:val="0"/>
          <w:color w:val="333333"/>
          <w:sz w:val="19"/>
        </w:rPr>
        <w:t>Section A.7 defines two text-specific validation status codes:</w:t>
      </w:r>
    </w:p>
    <w:tbl>
      <w:tblPr>
        <w:tblW w:type="auto" w:w="0"/>
        <w:jc w:val="center"/>
        <w:tblLook w:firstColumn="1" w:firstRow="1" w:lastColumn="0" w:lastRow="0" w:noHBand="0" w:noVBand="1" w:val="04A0"/>
        <w:tblBorders>
          <w:top w:val="single" w:sz="4" w:space="0" w:color="B7D5ED"/>
          <w:left w:val="single" w:sz="4" w:space="0" w:color="B7D5ED"/>
          <w:bottom w:val="single" w:sz="4" w:space="0" w:color="B7D5ED"/>
          <w:right w:val="single" w:sz="4" w:space="0" w:color="B7D5ED"/>
          <w:insideH w:val="single" w:sz="4" w:space="0" w:color="B7D5ED"/>
          <w:insideV w:val="single" w:sz="4" w:space="0" w:color="B7D5ED"/>
        </w:tblBorders>
      </w:tblPr>
      <w:tblGrid>
        <w:gridCol w:w="4680"/>
        <w:gridCol w:w="4680"/>
      </w:tblGrid>
      <w:tr>
        <w:tc>
          <w:tcPr>
            <w:tcW w:type="dxa" w:w="3744"/>
            <w:shd w:fill="1B2F50" w:val="clear"/>
          </w:tcPr>
          <w:p>
            <w:pPr>
              <w:spacing w:before="60" w:after="60"/>
            </w:pPr>
            <w:r/>
            <w:r>
              <w:rPr>
                <w:rFonts w:ascii="Roboto" w:hAnsi="Roboto"/>
                <w:b/>
                <w:color w:val="FFFFFF"/>
                <w:sz w:val="16"/>
              </w:rPr>
              <w:t>C2PA Text Status Code</w:t>
            </w:r>
          </w:p>
        </w:tc>
        <w:tc>
          <w:tcPr>
            <w:tcW w:type="dxa" w:w="6192"/>
            <w:shd w:fill="1B2F50" w:val="clear"/>
          </w:tcPr>
          <w:p>
            <w:pPr>
              <w:spacing w:before="60" w:after="60"/>
            </w:pPr>
            <w:r/>
            <w:r>
              <w:rPr>
                <w:rFonts w:ascii="Roboto" w:hAnsi="Roboto"/>
                <w:b/>
                <w:color w:val="FFFFFF"/>
                <w:sz w:val="16"/>
              </w:rPr>
              <w:t>Meaning</w:t>
            </w:r>
          </w:p>
        </w:tc>
      </w:tr>
      <w:tr>
        <w:tc>
          <w:tcPr>
            <w:tcW w:type="dxa" w:w="3744"/>
          </w:tcPr>
          <w:p>
            <w:pPr>
              <w:spacing w:before="40" w:after="40"/>
            </w:pPr>
            <w:r/>
            <w:r>
              <w:rPr>
                <w:rFonts w:ascii="Roboto" w:hAnsi="Roboto"/>
                <w:color w:val="333333"/>
                <w:sz w:val="16"/>
              </w:rPr>
              <w:t>manifest.text.corruptedWrapper</w:t>
            </w:r>
          </w:p>
        </w:tc>
        <w:tc>
          <w:tcPr>
            <w:tcW w:type="dxa" w:w="6192"/>
          </w:tcPr>
          <w:p>
            <w:pPr>
              <w:spacing w:before="40" w:after="40"/>
            </w:pPr>
            <w:r/>
            <w:r>
              <w:rPr>
                <w:rFonts w:ascii="Roboto" w:hAnsi="Roboto"/>
                <w:color w:val="333333"/>
                <w:sz w:val="16"/>
              </w:rPr>
              <w:t>A C2PATextManifestWrapper magic number (C2PATXT) was detected, but the wrapper is malformed or incomplete.</w:t>
            </w:r>
          </w:p>
        </w:tc>
      </w:tr>
      <w:tr>
        <w:tc>
          <w:tcPr>
            <w:tcW w:type="dxa" w:w="3744"/>
            <w:shd w:fill="EDF4F9" w:val="clear"/>
          </w:tcPr>
          <w:p>
            <w:pPr>
              <w:spacing w:before="40" w:after="40"/>
            </w:pPr>
            <w:r/>
            <w:r>
              <w:rPr>
                <w:rFonts w:ascii="Roboto" w:hAnsi="Roboto"/>
                <w:color w:val="333333"/>
                <w:sz w:val="16"/>
              </w:rPr>
              <w:t>manifest.text.multipleWrappers</w:t>
            </w:r>
          </w:p>
        </w:tc>
        <w:tc>
          <w:tcPr>
            <w:tcW w:type="dxa" w:w="6192"/>
            <w:shd w:fill="EDF4F9" w:val="clear"/>
          </w:tcPr>
          <w:p>
            <w:pPr>
              <w:spacing w:before="40" w:after="40"/>
            </w:pPr>
            <w:r/>
            <w:r>
              <w:rPr>
                <w:rFonts w:ascii="Roboto" w:hAnsi="Roboto"/>
                <w:color w:val="333333"/>
                <w:sz w:val="16"/>
              </w:rPr>
              <w:t>More than one valid C2PATextManifestWrapper was found in the text. Selection is governed by the exclusions field of the c2pa.hash.data assertion.</w:t>
            </w:r>
          </w:p>
        </w:tc>
      </w:tr>
    </w:tbl>
    <w:p>
      <w:pPr>
        <w:spacing w:after="40" w:before="0" w:line="280" w:lineRule="exact"/>
      </w:pPr>
      <w:r>
        <w:rPr>
          <w:rFonts w:ascii="Roboto" w:hAnsi="Roboto"/>
          <w:b w:val="0"/>
          <w:i w:val="0"/>
          <w:color w:val="333333"/>
          <w:sz w:val="19"/>
        </w:rPr>
        <w:t>This approach resolves the fragility that characterizes statistical watermarking. The provenance signal is not a statistical pattern that degrades under paraphrasing; it is a cryptographically signed manifest encoded as invisible Unicode characters that travel with the text wherever it goes. The hard binding ensures definitive verification, not a confidence score.</w:t>
      </w:r>
    </w:p>
    <w:p>
      <w:pPr>
        <w:keepNext/>
        <w:spacing w:before="200" w:after="80"/>
      </w:pPr>
      <w:r>
        <w:rPr>
          <w:rFonts w:ascii="Roboto" w:hAnsi="Roboto"/>
          <w:b/>
          <w:color w:val="2A87C4"/>
          <w:sz w:val="24"/>
        </w:rPr>
        <w:t>Fuzzy Provenance and Information Retrieval</w:t>
      </w:r>
    </w:p>
    <w:p>
      <w:pPr>
        <w:spacing w:after="80" w:before="0" w:line="280" w:lineRule="exact"/>
      </w:pPr>
      <w:r>
        <w:rPr>
          <w:rFonts w:ascii="Roboto" w:hAnsi="Roboto"/>
          <w:b w:val="0"/>
          <w:i w:val="0"/>
          <w:color w:val="333333"/>
          <w:sz w:val="19"/>
        </w:rPr>
        <w:t>The U.S. National Institute of Standards and Technology (NIST) has introduced "fuzzy provenance" as a complementary detection mechanism. This methodology relies on search engine indexing of AI model generation logs, allowing users to find exact or near-exact matches of suspicious text. The OECD has endorsed information retrieval methods as superior to statistical watermarking for text, citing their resistance to adversarial paraphrasing. Fuzzy provenance is most useful as a backstop for content that has been aggressively paraphrased or where invisible embedding has been intentionally stripped.</w:t>
      </w:r>
    </w:p>
    <w:p>
      <w:pPr>
        <w:spacing w:before="80" w:after="80" w:line="260" w:lineRule="exact"/>
        <w:ind w:left="340" w:right="340"/>
        <w:shd w:fill="EDF4F9" w:val="clear"/>
        <w:pBdr>
          <w:left w:val="single" w:sz="18" w:space="6" w:color="2A87C4"/>
        </w:pBdr>
      </w:pPr>
      <w:r>
        <w:rPr>
          <w:rFonts w:ascii="Roboto" w:hAnsi="Roboto"/>
          <w:i/>
          <w:color w:val="1B2F50"/>
          <w:sz w:val="18"/>
        </w:rPr>
        <w:t>The technical premise that text provenance is inherently fragile applies to statistical watermarking, not to standards-based invisible embedding. C2PA Section A.7's variation selector encoding survives copy-paste, syndication, database storage, and cross-platform distribution. Fuzzy provenance via information retrieval complements this as a detection backstop. Together, these methods provide a robust multi-layered framework.</w:t>
      </w:r>
    </w:p>
    <w:p>
      <w:r>
        <w:br w:type="page"/>
      </w:r>
    </w:p>
    <w:p>
      <w:pPr>
        <w:keepNext/>
        <w:spacing w:before="280" w:after="120"/>
        <w:pBdr>
          <w:bottom w:val="single" w:sz="6" w:space="2" w:color="2A87C4"/>
        </w:pBdr>
      </w:pPr>
      <w:r>
        <w:rPr>
          <w:rFonts w:ascii="Roboto" w:hAnsi="Roboto"/>
          <w:b/>
          <w:color w:val="1B2F50"/>
          <w:sz w:val="32"/>
        </w:rPr>
        <w:t>2. Multilateral Standards and International Harmonization</w:t>
      </w:r>
    </w:p>
    <w:p>
      <w:pPr>
        <w:keepNext/>
        <w:spacing w:before="200" w:after="80"/>
      </w:pPr>
      <w:r>
        <w:rPr>
          <w:rFonts w:ascii="Roboto" w:hAnsi="Roboto"/>
          <w:b/>
          <w:color w:val="2A87C4"/>
          <w:sz w:val="24"/>
        </w:rPr>
        <w:t>The G7 Hiroshima AI Process</w:t>
      </w:r>
    </w:p>
    <w:p>
      <w:pPr>
        <w:spacing w:after="80" w:before="0" w:line="280" w:lineRule="exact"/>
      </w:pPr>
      <w:r>
        <w:rPr>
          <w:rFonts w:ascii="Roboto" w:hAnsi="Roboto"/>
          <w:b w:val="0"/>
          <w:i w:val="0"/>
          <w:color w:val="333333"/>
          <w:sz w:val="19"/>
        </w:rPr>
        <w:t>The G7 Hiroshima AI Process represents the most significant multilateral harmonization effort. Under Principle 7, organizations developing advanced AI systems are directed to deploy reliable content authentication and provenance mechanisms, such as watermarking, wherever technically feasible. Provenance data must include a secure identifier of the service or model that created the content, though user information is explicitly exempted to comply with privacy standards.</w:t>
      </w:r>
    </w:p>
    <w:p>
      <w:pPr>
        <w:spacing w:after="80" w:before="0" w:line="280" w:lineRule="exact"/>
      </w:pPr>
      <w:r>
        <w:rPr>
          <w:rFonts w:ascii="Roboto" w:hAnsi="Roboto"/>
          <w:b w:val="0"/>
          <w:i w:val="0"/>
          <w:color w:val="333333"/>
          <w:sz w:val="19"/>
        </w:rPr>
        <w:t>The framework encourages organizations to develop public tools and APIs enabling third-party verification of AI-generated content. Under Principle 3, organizations are urged to publish detailed transparency reports on model capabilities, limitations, and domains of appropriate use. The Hiroshima Process is voluntary but serves as an architectural blueprint for domestic legislative drafting across member nations.</w:t>
      </w:r>
    </w:p>
    <w:p>
      <w:pPr>
        <w:keepNext/>
        <w:spacing w:before="200" w:after="80"/>
      </w:pPr>
      <w:r>
        <w:rPr>
          <w:rFonts w:ascii="Roboto" w:hAnsi="Roboto"/>
          <w:b/>
          <w:color w:val="2A87C4"/>
          <w:sz w:val="24"/>
        </w:rPr>
        <w:t>The OECD Framework</w:t>
      </w:r>
    </w:p>
    <w:p>
      <w:pPr>
        <w:spacing w:after="80" w:before="0" w:line="280" w:lineRule="exact"/>
      </w:pPr>
      <w:r>
        <w:rPr>
          <w:rFonts w:ascii="Roboto" w:hAnsi="Roboto"/>
          <w:b w:val="0"/>
          <w:i w:val="0"/>
          <w:color w:val="333333"/>
          <w:sz w:val="19"/>
        </w:rPr>
        <w:t>The OECD Due Diligence Guidance for Responsible AI advocates for clear, context-aware disclosure of AI-generated content, tailored to intended audiences. The OECD approach favors "human-centric transparency," ensuring ordinary users can understand content provenance without specialized technical knowledge. OECD policy analysis explicitly acknowledges the technical superiority of information retrieval methods over fragile text watermarking.</w:t>
      </w:r>
    </w:p>
    <w:p>
      <w:r>
        <w:br w:type="page"/>
      </w:r>
    </w:p>
    <w:p>
      <w:pPr>
        <w:keepNext/>
        <w:spacing w:before="280" w:after="120"/>
        <w:pBdr>
          <w:bottom w:val="single" w:sz="6" w:space="2" w:color="2A87C4"/>
        </w:pBdr>
      </w:pPr>
      <w:r>
        <w:rPr>
          <w:rFonts w:ascii="Roboto" w:hAnsi="Roboto"/>
          <w:b/>
          <w:color w:val="1B2F50"/>
          <w:sz w:val="32"/>
        </w:rPr>
        <w:t>3. Binding Legislative Regimes</w:t>
      </w:r>
    </w:p>
    <w:p>
      <w:pPr>
        <w:keepNext/>
        <w:spacing w:before="200" w:after="80"/>
      </w:pPr>
      <w:r>
        <w:rPr>
          <w:rFonts w:ascii="Roboto" w:hAnsi="Roboto"/>
          <w:b/>
          <w:color w:val="2A87C4"/>
          <w:sz w:val="24"/>
        </w:rPr>
        <w:t>European Union: The AI Act (Article 50)</w:t>
      </w:r>
    </w:p>
    <w:p>
      <w:pPr>
        <w:spacing w:after="80" w:before="0" w:line="280" w:lineRule="exact"/>
      </w:pPr>
      <w:r>
        <w:rPr>
          <w:rFonts w:ascii="Roboto" w:hAnsi="Roboto"/>
          <w:b w:val="0"/>
          <w:i w:val="0"/>
          <w:color w:val="333333"/>
          <w:sz w:val="19"/>
        </w:rPr>
        <w:t>The EU AI Act treats transparency as a shared operational obligation distributed across the AI value chain. Under Article 50(2), providers of generative AI systems must ensure outputs are marked in a machine-readable format and are reliably detectable as artificially generated. The EU AI Office's Code of Practice dictates a multi-layered marking strategy: digitally signed metadata, imperceptible internal watermarking, and fallback fingerprinting mechanisms, applied simultaneously.</w:t>
      </w:r>
    </w:p>
    <w:p>
      <w:pPr>
        <w:spacing w:after="80" w:before="0" w:line="280" w:lineRule="exact"/>
      </w:pPr>
      <w:r>
        <w:rPr>
          <w:rFonts w:ascii="Roboto" w:hAnsi="Roboto"/>
          <w:b w:val="0"/>
          <w:i w:val="0"/>
          <w:color w:val="333333"/>
          <w:sz w:val="19"/>
        </w:rPr>
        <w:t>Deployers face user-facing labeling obligations under Articles 50(4) and 50(5). Disclosures must be clear, proportionate, and presented at the moment of first exposure, using a uniform EU-wide "AI" visual cue with explanatory text.</w:t>
      </w:r>
    </w:p>
    <w:p>
      <w:pPr>
        <w:keepNext/>
        <w:spacing w:before="160" w:after="60"/>
      </w:pPr>
      <w:r>
        <w:rPr>
          <w:rFonts w:ascii="Roboto" w:hAnsi="Roboto"/>
          <w:b/>
          <w:color w:val="1B2F50"/>
          <w:sz w:val="20"/>
        </w:rPr>
        <w:t>The Editorial Review Exception</w:t>
      </w:r>
    </w:p>
    <w:p>
      <w:pPr>
        <w:spacing w:after="80" w:before="0" w:line="280" w:lineRule="exact"/>
      </w:pPr>
      <w:r>
        <w:rPr>
          <w:rFonts w:ascii="Roboto" w:hAnsi="Roboto"/>
          <w:b w:val="0"/>
          <w:i w:val="0"/>
          <w:color w:val="333333"/>
          <w:sz w:val="19"/>
        </w:rPr>
        <w:t>Article 50 contains a significant carve-out for text: if AI-generated text has undergone "genuine human review" and a natural or legal person assumes editorial responsibility, the mandatory AI disclosure requirement is waived. This exception creates compliance ambiguity. Determining what constitutes "genuine human review" will become a heavily litigated standard.</w:t>
      </w:r>
    </w:p>
    <w:p>
      <w:pPr>
        <w:spacing w:before="80" w:after="80" w:line="260" w:lineRule="exact"/>
        <w:ind w:left="340" w:right="340"/>
        <w:shd w:fill="EDF4F9" w:val="clear"/>
        <w:pBdr>
          <w:left w:val="single" w:sz="18" w:space="6" w:color="2A87C4"/>
        </w:pBdr>
      </w:pPr>
      <w:r>
        <w:rPr>
          <w:rFonts w:ascii="Roboto" w:hAnsi="Roboto"/>
          <w:i/>
          <w:color w:val="1B2F50"/>
          <w:sz w:val="18"/>
        </w:rPr>
        <w:t>Encypher's public comment to the EU AI Act Code of Practice (second draft) identifies nine structural gaps in the framework. Among them: editorial review claims should be verifiable through standardized provenance records, not internal documentation alone. A C2PA manifest can record that human review occurred, who performed it, and when, transforming a self-reported assertion into a cryptographically signed attestation.</w:t>
      </w:r>
    </w:p>
    <w:p>
      <w:pPr>
        <w:keepNext/>
        <w:spacing w:before="160" w:after="60"/>
      </w:pPr>
      <w:r>
        <w:rPr>
          <w:rFonts w:ascii="Roboto" w:hAnsi="Roboto"/>
          <w:b/>
          <w:color w:val="1B2F50"/>
          <w:sz w:val="20"/>
        </w:rPr>
        <w:t>Key Gaps Identified in the EU Framework</w:t>
      </w:r>
    </w:p>
    <w:p>
      <w:pPr>
        <w:spacing w:after="80" w:before="0" w:line="280" w:lineRule="exact"/>
      </w:pPr>
      <w:r>
        <w:rPr>
          <w:rFonts w:ascii="Roboto" w:hAnsi="Roboto"/>
          <w:b w:val="0"/>
          <w:i w:val="0"/>
          <w:color w:val="333333"/>
          <w:sz w:val="19"/>
        </w:rPr>
        <w:t>Encypher's public comment to the EU drafting committee identified the following structural gaps in the second draft Code of Practice:</w:t>
      </w:r>
    </w:p>
    <w:p>
      <w:pPr>
        <w:spacing w:after="40" w:before="0" w:line="260" w:lineRule="exact"/>
        <w:ind w:left="454"/>
      </w:pPr>
      <w:r>
        <w:rPr>
          <w:rFonts w:ascii="Roboto" w:hAnsi="Roboto"/>
          <w:b/>
          <w:color w:val="2A87C4"/>
          <w:sz w:val="18"/>
        </w:rPr>
        <w:t xml:space="preserve">1.  </w:t>
      </w:r>
      <w:r>
        <w:rPr>
          <w:rFonts w:ascii="Roboto" w:hAnsi="Roboto"/>
          <w:b/>
          <w:color w:val="1B2F50"/>
          <w:sz w:val="18"/>
        </w:rPr>
        <w:t xml:space="preserve">Interoperability. </w:t>
      </w:r>
      <w:r>
        <w:rPr>
          <w:rFonts w:ascii="Roboto" w:hAnsi="Roboto"/>
          <w:color w:val="333333"/>
          <w:sz w:val="18"/>
        </w:rPr>
        <w:t xml:space="preserve"> The Code lacks a designated reference interoperability standard. Without one, each provider builds proprietary marking. Cross-provider verification becomes impossible.</w:t>
      </w:r>
    </w:p>
    <w:p>
      <w:pPr>
        <w:spacing w:after="40" w:before="0" w:line="260" w:lineRule="exact"/>
        <w:ind w:left="454"/>
      </w:pPr>
      <w:r>
        <w:rPr>
          <w:rFonts w:ascii="Roboto" w:hAnsi="Roboto"/>
          <w:b/>
          <w:color w:val="2A87C4"/>
          <w:sz w:val="18"/>
        </w:rPr>
        <w:t xml:space="preserve">2.  </w:t>
      </w:r>
      <w:r>
        <w:rPr>
          <w:rFonts w:ascii="Roboto" w:hAnsi="Roboto"/>
          <w:b/>
          <w:color w:val="1B2F50"/>
          <w:sz w:val="18"/>
        </w:rPr>
        <w:t xml:space="preserve">Sub-document granularity. </w:t>
      </w:r>
      <w:r>
        <w:rPr>
          <w:rFonts w:ascii="Roboto" w:hAnsi="Roboto"/>
          <w:color w:val="333333"/>
          <w:sz w:val="18"/>
        </w:rPr>
        <w:t xml:space="preserve"> The draft contemplates document-level marking only. Content workflows routinely produce hybrid documents containing both AI and human-authored sections. Document-level marking forces a binary choice that does not match this reality.</w:t>
      </w:r>
    </w:p>
    <w:p>
      <w:pPr>
        <w:spacing w:after="40" w:before="0" w:line="260" w:lineRule="exact"/>
        <w:ind w:left="454"/>
      </w:pPr>
      <w:r>
        <w:rPr>
          <w:rFonts w:ascii="Roboto" w:hAnsi="Roboto"/>
          <w:b/>
          <w:color w:val="2A87C4"/>
          <w:sz w:val="18"/>
        </w:rPr>
        <w:t xml:space="preserve">3.  </w:t>
      </w:r>
      <w:r>
        <w:rPr>
          <w:rFonts w:ascii="Roboto" w:hAnsi="Roboto"/>
          <w:b/>
          <w:color w:val="1B2F50"/>
          <w:sz w:val="18"/>
        </w:rPr>
        <w:t xml:space="preserve">Fingerprinting. </w:t>
      </w:r>
      <w:r>
        <w:rPr>
          <w:rFonts w:ascii="Roboto" w:hAnsi="Roboto"/>
          <w:color w:val="333333"/>
          <w:sz w:val="18"/>
        </w:rPr>
        <w:t xml:space="preserve"> For providers processing content at scale, optional fingerprinting leaves a detection gap. Watermarks embedded in text can be stripped by paraphrasing, summarization, and translation.</w:t>
      </w:r>
    </w:p>
    <w:p>
      <w:pPr>
        <w:spacing w:after="40" w:before="0" w:line="260" w:lineRule="exact"/>
        <w:ind w:left="454"/>
      </w:pPr>
      <w:r>
        <w:rPr>
          <w:rFonts w:ascii="Roboto" w:hAnsi="Roboto"/>
          <w:b/>
          <w:color w:val="2A87C4"/>
          <w:sz w:val="18"/>
        </w:rPr>
        <w:t xml:space="preserve">4.  </w:t>
      </w:r>
      <w:r>
        <w:rPr>
          <w:rFonts w:ascii="Roboto" w:hAnsi="Roboto"/>
          <w:b/>
          <w:color w:val="1B2F50"/>
          <w:sz w:val="18"/>
        </w:rPr>
        <w:t xml:space="preserve">Distribution survival. </w:t>
      </w:r>
      <w:r>
        <w:rPr>
          <w:rFonts w:ascii="Roboto" w:hAnsi="Roboto"/>
          <w:color w:val="333333"/>
          <w:sz w:val="18"/>
        </w:rPr>
        <w:t xml:space="preserve"> If marking is stripped at the first copy-paste, the compliance obligation is satisfied at publication and violated everywhere the content reaches readers.</w:t>
      </w:r>
    </w:p>
    <w:p>
      <w:pPr>
        <w:spacing w:after="40" w:before="0" w:line="260" w:lineRule="exact"/>
        <w:ind w:left="454"/>
      </w:pPr>
      <w:r>
        <w:rPr>
          <w:rFonts w:ascii="Roboto" w:hAnsi="Roboto"/>
          <w:b/>
          <w:color w:val="2A87C4"/>
          <w:sz w:val="18"/>
        </w:rPr>
        <w:t xml:space="preserve">5.  </w:t>
      </w:r>
      <w:r>
        <w:rPr>
          <w:rFonts w:ascii="Roboto" w:hAnsi="Roboto"/>
          <w:b/>
          <w:color w:val="1B2F50"/>
          <w:sz w:val="18"/>
        </w:rPr>
        <w:t xml:space="preserve">Streaming content. </w:t>
      </w:r>
      <w:r>
        <w:rPr>
          <w:rFonts w:ascii="Roboto" w:hAnsi="Roboto"/>
          <w:color w:val="333333"/>
          <w:sz w:val="18"/>
        </w:rPr>
        <w:t xml:space="preserve"> Chat-based and API-based AI interactions produce output as token-by-token streams. Marking protocols that require a completed document before signing do not work for this content.</w:t>
      </w:r>
    </w:p>
    <w:p>
      <w:pPr>
        <w:spacing w:after="40" w:before="0" w:line="260" w:lineRule="exact"/>
        <w:ind w:left="454"/>
      </w:pPr>
      <w:r>
        <w:rPr>
          <w:rFonts w:ascii="Roboto" w:hAnsi="Roboto"/>
          <w:b/>
          <w:color w:val="2A87C4"/>
          <w:sz w:val="18"/>
        </w:rPr>
        <w:t xml:space="preserve">6.  </w:t>
      </w:r>
      <w:r>
        <w:rPr>
          <w:rFonts w:ascii="Roboto" w:hAnsi="Roboto"/>
          <w:b/>
          <w:color w:val="1B2F50"/>
          <w:sz w:val="18"/>
        </w:rPr>
        <w:t xml:space="preserve">Short text exemption. </w:t>
      </w:r>
      <w:r>
        <w:rPr>
          <w:rFonts w:ascii="Roboto" w:hAnsi="Roboto"/>
          <w:color w:val="333333"/>
          <w:sz w:val="18"/>
        </w:rPr>
        <w:t xml:space="preserve"> The draft includes a carve-out for short text segments. Standards-based metadata (C2PA manifests) can be attached to text of any length, including a single sentence. The technical premise for the carve-out is incorrect.</w:t>
      </w:r>
    </w:p>
    <w:p>
      <w:pPr>
        <w:spacing w:after="40" w:before="0" w:line="260" w:lineRule="exact"/>
        <w:ind w:left="454"/>
      </w:pPr>
      <w:r>
        <w:rPr>
          <w:rFonts w:ascii="Roboto" w:hAnsi="Roboto"/>
          <w:b/>
          <w:color w:val="2A87C4"/>
          <w:sz w:val="18"/>
        </w:rPr>
        <w:t xml:space="preserve">7.  </w:t>
      </w:r>
      <w:r>
        <w:rPr>
          <w:rFonts w:ascii="Roboto" w:hAnsi="Roboto"/>
          <w:b/>
          <w:color w:val="1B2F50"/>
          <w:sz w:val="18"/>
        </w:rPr>
        <w:t xml:space="preserve">Free verification. </w:t>
      </w:r>
      <w:r>
        <w:rPr>
          <w:rFonts w:ascii="Roboto" w:hAnsi="Roboto"/>
          <w:color w:val="333333"/>
          <w:sz w:val="18"/>
        </w:rPr>
        <w:t xml:space="preserve"> If verification requires payment, proprietary software, or a commercial account, the transparency framework creates a two-tier system.</w:t>
      </w:r>
    </w:p>
    <w:p>
      <w:pPr>
        <w:keepNext/>
        <w:spacing w:before="200" w:after="80"/>
      </w:pPr>
      <w:r>
        <w:rPr>
          <w:rFonts w:ascii="Roboto" w:hAnsi="Roboto"/>
          <w:b/>
          <w:color w:val="2A87C4"/>
          <w:sz w:val="24"/>
        </w:rPr>
        <w:t>People's Republic of China: AI Labeling Rules</w:t>
      </w:r>
    </w:p>
    <w:p>
      <w:pPr>
        <w:spacing w:after="80" w:before="0" w:line="280" w:lineRule="exact"/>
      </w:pPr>
      <w:r>
        <w:rPr>
          <w:rFonts w:ascii="Roboto" w:hAnsi="Roboto"/>
          <w:b w:val="0"/>
          <w:i w:val="0"/>
          <w:color w:val="333333"/>
          <w:sz w:val="19"/>
        </w:rPr>
        <w:t>China has adopted a rigid, prescriptive approach. The Measures for Labeling Artificial Intelligence-Generated Content (supported by mandatory national standard GB 45438-2025, effective September 1, 2025) impose absolute traceability requirements. Providers must place visible labels at the beginning, middle, or end of generated text, and embed implicit metadata containing the provider's registered name and a unique cryptographic content ID.</w:t>
      </w:r>
    </w:p>
    <w:p>
      <w:pPr>
        <w:keepNext/>
        <w:spacing w:before="160" w:after="60"/>
      </w:pPr>
      <w:r>
        <w:rPr>
          <w:rFonts w:ascii="Roboto" w:hAnsi="Roboto"/>
          <w:b/>
          <w:color w:val="1B2F50"/>
          <w:sz w:val="20"/>
        </w:rPr>
        <w:t>Three-Tiered Platform Classification</w:t>
      </w:r>
    </w:p>
    <w:p>
      <w:pPr>
        <w:spacing w:after="80" w:before="0" w:line="280" w:lineRule="exact"/>
      </w:pPr>
      <w:r>
        <w:rPr>
          <w:rFonts w:ascii="Roboto" w:hAnsi="Roboto"/>
          <w:b w:val="0"/>
          <w:i w:val="0"/>
          <w:color w:val="333333"/>
          <w:sz w:val="19"/>
        </w:rPr>
        <w:t>China's most severe regulatory innovation is the epistemological burden placed on content distribution platforms. Platforms must implement automated detection and categorize all user-uploaded content:</w:t>
      </w:r>
    </w:p>
    <w:p>
      <w:pPr>
        <w:spacing w:after="40" w:before="0" w:line="260" w:lineRule="exact"/>
        <w:ind w:left="454"/>
      </w:pPr>
      <w:r>
        <w:rPr>
          <w:rFonts w:ascii="Roboto" w:hAnsi="Roboto"/>
          <w:color w:val="2A87C4"/>
          <w:sz w:val="18"/>
        </w:rPr>
        <w:t xml:space="preserve">•  </w:t>
      </w:r>
      <w:r>
        <w:rPr>
          <w:rFonts w:ascii="Roboto" w:hAnsi="Roboto"/>
          <w:b/>
          <w:color w:val="1B2F50"/>
          <w:sz w:val="18"/>
        </w:rPr>
        <w:t>Confirmed AI-Generated:</w:t>
      </w:r>
      <w:r>
        <w:rPr>
          <w:rFonts w:ascii="Roboto" w:hAnsi="Roboto"/>
          <w:color w:val="333333"/>
          <w:sz w:val="18"/>
        </w:rPr>
        <w:t xml:space="preserve"> Platform detection tools identify an implicit label. The platform appends an unremovable public AI-generated label.</w:t>
      </w:r>
    </w:p>
    <w:p>
      <w:pPr>
        <w:spacing w:after="40" w:before="0" w:line="260" w:lineRule="exact"/>
        <w:ind w:left="454"/>
      </w:pPr>
      <w:r>
        <w:rPr>
          <w:rFonts w:ascii="Roboto" w:hAnsi="Roboto"/>
          <w:color w:val="2A87C4"/>
          <w:sz w:val="18"/>
        </w:rPr>
        <w:t xml:space="preserve">•  </w:t>
      </w:r>
      <w:r>
        <w:rPr>
          <w:rFonts w:ascii="Roboto" w:hAnsi="Roboto"/>
          <w:b/>
          <w:color w:val="1B2F50"/>
          <w:sz w:val="18"/>
        </w:rPr>
        <w:t>Possible AI-Generated:</w:t>
      </w:r>
      <w:r>
        <w:rPr>
          <w:rFonts w:ascii="Roboto" w:hAnsi="Roboto"/>
          <w:color w:val="333333"/>
          <w:sz w:val="18"/>
        </w:rPr>
        <w:t xml:space="preserve"> No implicit label detected, but users report the content as AI-generated. Platform adds a "possibly AI-generated" warning.</w:t>
      </w:r>
    </w:p>
    <w:p>
      <w:pPr>
        <w:spacing w:after="40" w:before="0" w:line="260" w:lineRule="exact"/>
        <w:ind w:left="454"/>
      </w:pPr>
      <w:r>
        <w:rPr>
          <w:rFonts w:ascii="Roboto" w:hAnsi="Roboto"/>
          <w:color w:val="2A87C4"/>
          <w:sz w:val="18"/>
        </w:rPr>
        <w:t xml:space="preserve">•  </w:t>
      </w:r>
      <w:r>
        <w:rPr>
          <w:rFonts w:ascii="Roboto" w:hAnsi="Roboto"/>
          <w:b/>
          <w:color w:val="1B2F50"/>
          <w:sz w:val="18"/>
        </w:rPr>
        <w:t>Suspected AI-Generated:</w:t>
      </w:r>
      <w:r>
        <w:rPr>
          <w:rFonts w:ascii="Roboto" w:hAnsi="Roboto"/>
          <w:color w:val="333333"/>
          <w:sz w:val="18"/>
        </w:rPr>
        <w:t xml:space="preserve"> No implicit label, no user report, but explicit labeling or behavioral evidence suggests AI involvement. Platform must proactively label the material as "suspected AI-generated."</w:t>
      </w:r>
    </w:p>
    <w:p>
      <w:pPr>
        <w:spacing w:after="80" w:before="0" w:line="280" w:lineRule="exact"/>
      </w:pPr>
      <w:r>
        <w:rPr>
          <w:rFonts w:ascii="Roboto" w:hAnsi="Roboto"/>
          <w:b w:val="0"/>
          <w:i w:val="0"/>
          <w:color w:val="333333"/>
          <w:sz w:val="19"/>
        </w:rPr>
        <w:t>This system deputizes private platforms as arbiters of content authenticity at scale. Non-compliant platforms face content takedowns and license suspensions.</w:t>
      </w:r>
    </w:p>
    <w:p>
      <w:pPr>
        <w:keepNext/>
        <w:spacing w:before="200" w:after="80"/>
      </w:pPr>
      <w:r>
        <w:rPr>
          <w:rFonts w:ascii="Roboto" w:hAnsi="Roboto"/>
          <w:b/>
          <w:color w:val="2A87C4"/>
          <w:sz w:val="24"/>
        </w:rPr>
        <w:t>South Korea: The AI Basic Act</w:t>
      </w:r>
    </w:p>
    <w:p>
      <w:pPr>
        <w:spacing w:after="80" w:before="0" w:line="280" w:lineRule="exact"/>
      </w:pPr>
      <w:r>
        <w:rPr>
          <w:rFonts w:ascii="Roboto" w:hAnsi="Roboto"/>
          <w:b w:val="0"/>
          <w:i w:val="0"/>
          <w:color w:val="333333"/>
          <w:sz w:val="19"/>
        </w:rPr>
        <w:t>South Korea's Framework Act on AI Development and Trust (effective January 22, 2026) applies extraterritorially to AI activities impacting South Korea's domestic market. Transparency obligations apply to "AI deployers," defined as entities providing AI products and services directly to end users. Internal corporate use of AI does not trigger labeling obligations.</w:t>
      </w:r>
    </w:p>
    <w:p>
      <w:pPr>
        <w:spacing w:after="80" w:before="0" w:line="280" w:lineRule="exact"/>
      </w:pPr>
      <w:r>
        <w:rPr>
          <w:rFonts w:ascii="Roboto" w:hAnsi="Roboto"/>
          <w:b w:val="0"/>
          <w:i w:val="0"/>
          <w:color w:val="333333"/>
          <w:sz w:val="19"/>
        </w:rPr>
        <w:t>The Transparency Guidelines (revised September 2025) distinguish between outputs kept within the service environment and outputs exported outside it, acknowledging the technical difficulty of maintaining text provenance once content leaves the application boundary. Advertisers using AI to generate promotional text must label their content, with legal prohibitions against tampering with or removing provenance markers.</w:t>
      </w:r>
    </w:p>
    <w:p>
      <w:pPr>
        <w:keepNext/>
        <w:spacing w:before="200" w:after="80"/>
      </w:pPr>
      <w:r>
        <w:rPr>
          <w:rFonts w:ascii="Roboto" w:hAnsi="Roboto"/>
          <w:b/>
          <w:color w:val="2A87C4"/>
          <w:sz w:val="24"/>
        </w:rPr>
        <w:t>Brazil: AI Bill (PL 2338/2023)</w:t>
      </w:r>
    </w:p>
    <w:p>
      <w:pPr>
        <w:spacing w:after="80" w:before="0" w:line="280" w:lineRule="exact"/>
      </w:pPr>
      <w:r>
        <w:rPr>
          <w:rFonts w:ascii="Roboto" w:hAnsi="Roboto"/>
          <w:b w:val="0"/>
          <w:i w:val="0"/>
          <w:color w:val="333333"/>
          <w:sz w:val="19"/>
        </w:rPr>
        <w:t>Brazil's AI Bill, approved by the Federal Senate in December 2024, intertwines text provenance with copyright protection. The framework mandates permanent identifiers in synthetic content and requires AI developers to disclose which copyright-protected materials were used to train their models. Text provenance in Brazil is the technical mechanism for enforcing a new economic redistribution model between AI developers and human creators.</w:t>
      </w:r>
    </w:p>
    <w:p>
      <w:r>
        <w:br w:type="page"/>
      </w:r>
    </w:p>
    <w:p>
      <w:pPr>
        <w:keepNext/>
        <w:spacing w:before="280" w:after="120"/>
        <w:pBdr>
          <w:bottom w:val="single" w:sz="6" w:space="2" w:color="2A87C4"/>
        </w:pBdr>
      </w:pPr>
      <w:r>
        <w:rPr>
          <w:rFonts w:ascii="Roboto" w:hAnsi="Roboto"/>
          <w:b/>
          <w:color w:val="1B2F50"/>
          <w:sz w:val="32"/>
        </w:rPr>
        <w:t>4. The United States: Federal Guidance and State Mandates</w:t>
      </w:r>
    </w:p>
    <w:p>
      <w:pPr>
        <w:keepNext/>
        <w:spacing w:before="200" w:after="80"/>
      </w:pPr>
      <w:r>
        <w:rPr>
          <w:rFonts w:ascii="Roboto" w:hAnsi="Roboto"/>
          <w:b/>
          <w:color w:val="2A87C4"/>
          <w:sz w:val="24"/>
        </w:rPr>
        <w:t>Federal Posture: From Executive Orders to Fuzzy Provenance</w:t>
      </w:r>
    </w:p>
    <w:p>
      <w:pPr>
        <w:spacing w:after="80" w:before="0" w:line="280" w:lineRule="exact"/>
      </w:pPr>
      <w:r>
        <w:rPr>
          <w:rFonts w:ascii="Roboto" w:hAnsi="Roboto"/>
          <w:b w:val="0"/>
          <w:i w:val="0"/>
          <w:color w:val="333333"/>
          <w:sz w:val="19"/>
        </w:rPr>
        <w:t>Executive Order 14110 (2023) mandated development of provenance tools and cited cryptographic watermarking for text, audio, and images. The order was revoked in January 2025. The burden of establishing best practices now rests with NIST, which has shifted from demanding text watermarking toward fuzzy provenance: encouraging AI companies to make generation logs indexable by search engines, with PII stripped, so users can find exact text matches within one click.</w:t>
      </w:r>
    </w:p>
    <w:p>
      <w:pPr>
        <w:keepNext/>
        <w:spacing w:before="200" w:after="80"/>
      </w:pPr>
      <w:r>
        <w:rPr>
          <w:rFonts w:ascii="Roboto" w:hAnsi="Roboto"/>
          <w:b/>
          <w:color w:val="2A87C4"/>
          <w:sz w:val="24"/>
        </w:rPr>
        <w:t>California: SB 942 and the Text Exemption</w:t>
      </w:r>
    </w:p>
    <w:p>
      <w:pPr>
        <w:spacing w:after="80" w:before="0" w:line="280" w:lineRule="exact"/>
      </w:pPr>
      <w:r>
        <w:rPr>
          <w:rFonts w:ascii="Roboto" w:hAnsi="Roboto"/>
          <w:b w:val="0"/>
          <w:i w:val="0"/>
          <w:color w:val="333333"/>
          <w:sz w:val="19"/>
        </w:rPr>
        <w:t>The California AI Transparency Act (SB 942, operative January 1, 2026) targets providers with over one million monthly California users. The law imposes three core requirements: a free public AI detection tool, optional manifest disclosures (visible labels), and mandatory latent disclosures (embedded metadata).</w:t>
      </w:r>
    </w:p>
    <w:p>
      <w:pPr>
        <w:spacing w:after="80" w:before="0" w:line="280" w:lineRule="exact"/>
      </w:pPr>
      <w:r>
        <w:rPr>
          <w:rFonts w:ascii="Roboto" w:hAnsi="Roboto"/>
          <w:b/>
          <w:i w:val="0"/>
          <w:color w:val="333333"/>
          <w:sz w:val="19"/>
        </w:rPr>
        <w:t>A critical regulatory exemption exists in the operational clauses. While SB 942 defines GenAI systems as capable of generating "text, images, video, and audio," the clauses requiring the detection tool, manifest disclosures, and latent metadata apply exclusively to "image, video, or audio content, or content that is any combination thereof." Text is deliberately and entirely exempt from the law's strictest provenance requirements.</w:t>
      </w:r>
    </w:p>
    <w:p>
      <w:pPr>
        <w:spacing w:before="80" w:after="80" w:line="260" w:lineRule="exact"/>
        <w:ind w:left="340" w:right="340"/>
        <w:shd w:fill="EDF4F9" w:val="clear"/>
        <w:pBdr>
          <w:left w:val="single" w:sz="18" w:space="6" w:color="2A87C4"/>
        </w:pBdr>
      </w:pPr>
      <w:r>
        <w:rPr>
          <w:rFonts w:ascii="Roboto" w:hAnsi="Roboto"/>
          <w:i/>
          <w:color w:val="1B2F50"/>
          <w:sz w:val="18"/>
        </w:rPr>
        <w:t>California's text exemption reflects a legislative calculation based on the fragility of statistical text watermarking. C2PA Section A.7 uses an entirely different mechanism: invisible Unicode variation selectors that encode a cryptographically signed provenance manifest directly in the text stream. This encoding survives copy-paste, syndication, database storage, and cross-platform distribution, with no minimum content length. A single-character AI chatbot reply can carry a definitive provenance manifest. The technical premise for the text exemption, that text marking is infeasible, does not account for this standard.</w:t>
      </w:r>
    </w:p>
    <w:p>
      <w:pPr>
        <w:keepNext/>
        <w:spacing w:before="200" w:after="80"/>
      </w:pPr>
      <w:r>
        <w:rPr>
          <w:rFonts w:ascii="Roboto" w:hAnsi="Roboto"/>
          <w:b/>
          <w:color w:val="2A87C4"/>
          <w:sz w:val="24"/>
        </w:rPr>
        <w:t>New York: AI Transparency in Advertising</w:t>
      </w:r>
    </w:p>
    <w:p>
      <w:pPr>
        <w:spacing w:after="80" w:before="0" w:line="280" w:lineRule="exact"/>
      </w:pPr>
      <w:r>
        <w:rPr>
          <w:rFonts w:ascii="Roboto" w:hAnsi="Roboto"/>
          <w:b w:val="0"/>
          <w:i w:val="0"/>
          <w:color w:val="333333"/>
          <w:sz w:val="19"/>
        </w:rPr>
        <w:t>New York's AI Transparency in Advertising Act (S.8420-A) requires disclosure of AI-generated synthetic performers in marketing materials. Companion legislation (S6954A) requires providers of synthetic content creation systems to include provenance data. State agencies must ensure audio, images, and video carry provenance data indicating the system used to generate them. Text outputs are deprioritized.</w:t>
      </w:r>
    </w:p>
    <w:p>
      <w:pPr>
        <w:keepNext/>
        <w:spacing w:before="200" w:after="80"/>
      </w:pPr>
      <w:r>
        <w:rPr>
          <w:rFonts w:ascii="Roboto" w:hAnsi="Roboto"/>
          <w:b/>
          <w:color w:val="2A87C4"/>
          <w:sz w:val="24"/>
        </w:rPr>
        <w:t>Utah: SB 131 and Political Communications</w:t>
      </w:r>
    </w:p>
    <w:p>
      <w:pPr>
        <w:spacing w:after="80" w:before="0" w:line="280" w:lineRule="exact"/>
      </w:pPr>
      <w:r>
        <w:rPr>
          <w:rFonts w:ascii="Roboto" w:hAnsi="Roboto"/>
          <w:b w:val="0"/>
          <w:i w:val="0"/>
          <w:color w:val="333333"/>
          <w:sz w:val="19"/>
        </w:rPr>
        <w:t>Utah's SB 131 targets synthetic media in political communications intended to influence voting. The law requires embedded tamper-evident provenance and visible disclaimers. Violations carry civil penalties and can serve as aggravating factors in criminal sentencing.</w:t>
      </w:r>
    </w:p>
    <w:p>
      <w:r>
        <w:br w:type="page"/>
      </w:r>
    </w:p>
    <w:p>
      <w:pPr>
        <w:keepNext/>
        <w:spacing w:before="280" w:after="120"/>
        <w:pBdr>
          <w:bottom w:val="single" w:sz="6" w:space="2" w:color="2A87C4"/>
        </w:pBdr>
      </w:pPr>
      <w:r>
        <w:rPr>
          <w:rFonts w:ascii="Roboto" w:hAnsi="Roboto"/>
          <w:b/>
          <w:color w:val="1B2F50"/>
          <w:sz w:val="32"/>
        </w:rPr>
        <w:t>5. Soft Law, Advisories, and Administrative Directives</w:t>
      </w:r>
    </w:p>
    <w:p>
      <w:pPr>
        <w:keepNext/>
        <w:spacing w:before="200" w:after="80"/>
      </w:pPr>
      <w:r>
        <w:rPr>
          <w:rFonts w:ascii="Roboto" w:hAnsi="Roboto"/>
          <w:b/>
          <w:color w:val="2A87C4"/>
          <w:sz w:val="24"/>
        </w:rPr>
        <w:t>India: The MeitY Advisories</w:t>
      </w:r>
    </w:p>
    <w:p>
      <w:pPr>
        <w:spacing w:after="80" w:before="0" w:line="280" w:lineRule="exact"/>
      </w:pPr>
      <w:r>
        <w:rPr>
          <w:rFonts w:ascii="Roboto" w:hAnsi="Roboto"/>
          <w:b w:val="0"/>
          <w:i w:val="0"/>
          <w:color w:val="333333"/>
          <w:sz w:val="19"/>
        </w:rPr>
        <w:t>India's draft IT Rules amendments propose a visible declaration covering at least 10% of a content's total display area, applying to text, video, and audio. Platforms face a three-hour takedown window for non-compliant synthetic content. Civil society organizations have criticized the 10% rule as unworkable and disproportionate, arguing it forces tools to permanently deface works regardless of context.</w:t>
      </w:r>
    </w:p>
    <w:p>
      <w:pPr>
        <w:keepNext/>
        <w:spacing w:before="200" w:after="80"/>
      </w:pPr>
      <w:r>
        <w:rPr>
          <w:rFonts w:ascii="Roboto" w:hAnsi="Roboto"/>
          <w:b/>
          <w:color w:val="2A87C4"/>
          <w:sz w:val="24"/>
        </w:rPr>
        <w:t>Japan: Agile Governance</w:t>
      </w:r>
    </w:p>
    <w:p>
      <w:pPr>
        <w:spacing w:after="80" w:before="0" w:line="280" w:lineRule="exact"/>
      </w:pPr>
      <w:r>
        <w:rPr>
          <w:rFonts w:ascii="Roboto" w:hAnsi="Roboto"/>
          <w:b w:val="0"/>
          <w:i w:val="0"/>
          <w:color w:val="333333"/>
          <w:sz w:val="19"/>
        </w:rPr>
        <w:t>Japan's AI Promotion Act (May 2025) and AI Business Operator Guidelines rely on corporate self-regulation. The government encourages companies to implement watermarks and provenance tools for transparency and copyright protection, using existing statutes to handle legal ramifications. Japan adheres to the G7 Hiroshima Process principles and provides a safe harbor for AI developers.</w:t>
      </w:r>
    </w:p>
    <w:p>
      <w:pPr>
        <w:keepNext/>
        <w:spacing w:before="200" w:after="80"/>
      </w:pPr>
      <w:r>
        <w:rPr>
          <w:rFonts w:ascii="Roboto" w:hAnsi="Roboto"/>
          <w:b/>
          <w:color w:val="2A87C4"/>
          <w:sz w:val="24"/>
        </w:rPr>
        <w:t>United Kingdom: Principles-Based Oversight</w:t>
      </w:r>
    </w:p>
    <w:p>
      <w:pPr>
        <w:spacing w:after="80" w:before="0" w:line="280" w:lineRule="exact"/>
      </w:pPr>
      <w:r>
        <w:rPr>
          <w:rFonts w:ascii="Roboto" w:hAnsi="Roboto"/>
          <w:b w:val="0"/>
          <w:i w:val="0"/>
          <w:color w:val="333333"/>
          <w:sz w:val="19"/>
        </w:rPr>
        <w:t>The UK has deliberately avoided statutory AI labeling requirements, citing technological immaturity. The AI Playbook for UK Government (February 2025) advises agencies to prioritize data quality, bias mitigation, and human-in-the-loop verification over technical provenance markers. Parliamentary briefings acknowledge that no industry-wide standard for text watermarking exists and that marks can be easily removed.</w:t>
      </w:r>
    </w:p>
    <w:p>
      <w:pPr>
        <w:keepNext/>
        <w:spacing w:before="200" w:after="80"/>
      </w:pPr>
      <w:r>
        <w:rPr>
          <w:rFonts w:ascii="Roboto" w:hAnsi="Roboto"/>
          <w:b/>
          <w:color w:val="2A87C4"/>
          <w:sz w:val="24"/>
        </w:rPr>
        <w:t>Australia and Canada</w:t>
      </w:r>
    </w:p>
    <w:p>
      <w:pPr>
        <w:spacing w:after="80" w:before="0" w:line="280" w:lineRule="exact"/>
      </w:pPr>
      <w:r>
        <w:rPr>
          <w:rFonts w:ascii="Roboto" w:hAnsi="Roboto"/>
          <w:b w:val="0"/>
          <w:i w:val="0"/>
          <w:color w:val="333333"/>
          <w:sz w:val="19"/>
        </w:rPr>
        <w:t>Australia's AI Technical Standard requires agencies to apply visual watermarks and metadata to generated media, while warning against degrading text readability or WCAG accessibility compliance. Canada's Voluntary Code recommends watermarks and plain-language AI disclosures, aligning with the G7 consensus on digital trust and public auditability.</w:t>
      </w:r>
    </w:p>
    <w:p>
      <w:r>
        <w:br w:type="page"/>
      </w:r>
    </w:p>
    <w:p>
      <w:pPr>
        <w:keepNext/>
        <w:spacing w:before="280" w:after="120"/>
        <w:pBdr>
          <w:bottom w:val="single" w:sz="6" w:space="2" w:color="2A87C4"/>
        </w:pBdr>
      </w:pPr>
      <w:r>
        <w:rPr>
          <w:rFonts w:ascii="Roboto" w:hAnsi="Roboto"/>
          <w:b/>
          <w:color w:val="1B2F50"/>
          <w:sz w:val="32"/>
        </w:rPr>
        <w:t>6. Global Comparative Reference Table</w:t>
      </w:r>
    </w:p>
    <w:p>
      <w:pPr>
        <w:spacing w:after="120" w:before="0" w:line="280" w:lineRule="exact"/>
      </w:pPr>
      <w:r>
        <w:rPr>
          <w:rFonts w:ascii="Roboto" w:hAnsi="Roboto"/>
          <w:b w:val="0"/>
          <w:i w:val="0"/>
          <w:color w:val="333333"/>
          <w:sz w:val="19"/>
        </w:rPr>
        <w:t>The following table synthesizes the status of text provenance guidelines across all jurisdictions analyzed in this report.</w:t>
      </w:r>
    </w:p>
    <w:tbl>
      <w:tblPr>
        <w:tblW w:type="auto" w:w="0"/>
        <w:jc w:val="center"/>
        <w:tblLook w:firstColumn="1" w:firstRow="1" w:lastColumn="0" w:lastRow="0" w:noHBand="0" w:noVBand="1" w:val="04A0"/>
        <w:tblBorders>
          <w:top w:val="single" w:sz="4" w:space="0" w:color="B7D5ED"/>
          <w:left w:val="single" w:sz="4" w:space="0" w:color="B7D5ED"/>
          <w:bottom w:val="single" w:sz="4" w:space="0" w:color="B7D5ED"/>
          <w:right w:val="single" w:sz="4" w:space="0" w:color="B7D5ED"/>
          <w:insideH w:val="single" w:sz="4" w:space="0" w:color="B7D5ED"/>
          <w:insideV w:val="single" w:sz="4" w:space="0" w:color="B7D5ED"/>
        </w:tblBorders>
      </w:tblPr>
      <w:tblGrid>
        <w:gridCol w:w="2340"/>
        <w:gridCol w:w="2340"/>
        <w:gridCol w:w="2340"/>
        <w:gridCol w:w="2340"/>
      </w:tblGrid>
      <w:tr>
        <w:tc>
          <w:tcPr>
            <w:tcW w:type="dxa" w:w="1584"/>
            <w:shd w:fill="1B2F50" w:val="clear"/>
          </w:tcPr>
          <w:p>
            <w:pPr>
              <w:spacing w:before="60" w:after="60"/>
            </w:pPr>
            <w:r/>
            <w:r>
              <w:rPr>
                <w:rFonts w:ascii="Roboto" w:hAnsi="Roboto"/>
                <w:b/>
                <w:color w:val="FFFFFF"/>
                <w:sz w:val="15"/>
              </w:rPr>
              <w:t>Jurisdiction</w:t>
            </w:r>
          </w:p>
        </w:tc>
        <w:tc>
          <w:tcPr>
            <w:tcW w:type="dxa" w:w="2592"/>
            <w:shd w:fill="1B2F50" w:val="clear"/>
          </w:tcPr>
          <w:p>
            <w:pPr>
              <w:spacing w:before="60" w:after="60"/>
            </w:pPr>
            <w:r/>
            <w:r>
              <w:rPr>
                <w:rFonts w:ascii="Roboto" w:hAnsi="Roboto"/>
                <w:b/>
                <w:color w:val="FFFFFF"/>
                <w:sz w:val="15"/>
              </w:rPr>
              <w:t>Mechanism</w:t>
            </w:r>
          </w:p>
        </w:tc>
        <w:tc>
          <w:tcPr>
            <w:tcW w:type="dxa" w:w="1008"/>
            <w:shd w:fill="1B2F50" w:val="clear"/>
          </w:tcPr>
          <w:p>
            <w:pPr>
              <w:spacing w:before="60" w:after="60"/>
            </w:pPr>
            <w:r/>
            <w:r>
              <w:rPr>
                <w:rFonts w:ascii="Roboto" w:hAnsi="Roboto"/>
                <w:b/>
                <w:color w:val="FFFFFF"/>
                <w:sz w:val="15"/>
              </w:rPr>
              <w:t>Type</w:t>
            </w:r>
          </w:p>
        </w:tc>
        <w:tc>
          <w:tcPr>
            <w:tcW w:type="dxa" w:w="4752"/>
            <w:shd w:fill="1B2F50" w:val="clear"/>
          </w:tcPr>
          <w:p>
            <w:pPr>
              <w:spacing w:before="60" w:after="60"/>
            </w:pPr>
            <w:r/>
            <w:r>
              <w:rPr>
                <w:rFonts w:ascii="Roboto" w:hAnsi="Roboto"/>
                <w:b/>
                <w:color w:val="FFFFFF"/>
                <w:sz w:val="15"/>
              </w:rPr>
              <w:t>Text Coverage</w:t>
            </w:r>
          </w:p>
        </w:tc>
      </w:tr>
      <w:tr>
        <w:tc>
          <w:tcPr>
            <w:tcW w:type="dxa" w:w="1584"/>
          </w:tcPr>
          <w:p>
            <w:pPr>
              <w:spacing w:before="40" w:after="40"/>
            </w:pPr>
            <w:r/>
            <w:r>
              <w:rPr>
                <w:rFonts w:ascii="Roboto" w:hAnsi="Roboto"/>
                <w:color w:val="333333"/>
                <w:sz w:val="15"/>
              </w:rPr>
              <w:t>G7</w:t>
            </w:r>
          </w:p>
        </w:tc>
        <w:tc>
          <w:tcPr>
            <w:tcW w:type="dxa" w:w="2592"/>
          </w:tcPr>
          <w:p>
            <w:pPr>
              <w:spacing w:before="40" w:after="40"/>
            </w:pPr>
            <w:r/>
            <w:r>
              <w:rPr>
                <w:rFonts w:ascii="Roboto" w:hAnsi="Roboto"/>
                <w:color w:val="333333"/>
                <w:sz w:val="15"/>
              </w:rPr>
              <w:t>Hiroshima AI Process</w:t>
            </w:r>
          </w:p>
        </w:tc>
        <w:tc>
          <w:tcPr>
            <w:tcW w:type="dxa" w:w="1008"/>
          </w:tcPr>
          <w:p>
            <w:pPr>
              <w:spacing w:before="40" w:after="40"/>
            </w:pPr>
            <w:r/>
            <w:r>
              <w:rPr>
                <w:rFonts w:ascii="Roboto" w:hAnsi="Roboto"/>
                <w:color w:val="333333"/>
                <w:sz w:val="15"/>
              </w:rPr>
              <w:t>Voluntary</w:t>
            </w:r>
          </w:p>
        </w:tc>
        <w:tc>
          <w:tcPr>
            <w:tcW w:type="dxa" w:w="4752"/>
          </w:tcPr>
          <w:p>
            <w:pPr>
              <w:spacing w:before="40" w:after="40"/>
            </w:pPr>
            <w:r/>
            <w:r>
              <w:rPr>
                <w:rFonts w:ascii="Roboto" w:hAnsi="Roboto"/>
                <w:color w:val="333333"/>
                <w:sz w:val="15"/>
              </w:rPr>
              <w:t>Broad: authentication and watermarking where feasible. APIs for third-party verification.</w:t>
            </w:r>
          </w:p>
        </w:tc>
      </w:tr>
      <w:tr>
        <w:tc>
          <w:tcPr>
            <w:tcW w:type="dxa" w:w="1584"/>
            <w:shd w:fill="EDF4F9" w:val="clear"/>
          </w:tcPr>
          <w:p>
            <w:pPr>
              <w:spacing w:before="40" w:after="40"/>
            </w:pPr>
            <w:r/>
            <w:r>
              <w:rPr>
                <w:rFonts w:ascii="Roboto" w:hAnsi="Roboto"/>
                <w:color w:val="333333"/>
                <w:sz w:val="15"/>
              </w:rPr>
              <w:t>OECD</w:t>
            </w:r>
          </w:p>
        </w:tc>
        <w:tc>
          <w:tcPr>
            <w:tcW w:type="dxa" w:w="2592"/>
            <w:shd w:fill="EDF4F9" w:val="clear"/>
          </w:tcPr>
          <w:p>
            <w:pPr>
              <w:spacing w:before="40" w:after="40"/>
            </w:pPr>
            <w:r/>
            <w:r>
              <w:rPr>
                <w:rFonts w:ascii="Roboto" w:hAnsi="Roboto"/>
                <w:color w:val="333333"/>
                <w:sz w:val="15"/>
              </w:rPr>
              <w:t>Due Diligence Guidance</w:t>
            </w:r>
          </w:p>
        </w:tc>
        <w:tc>
          <w:tcPr>
            <w:tcW w:type="dxa" w:w="1008"/>
            <w:shd w:fill="EDF4F9" w:val="clear"/>
          </w:tcPr>
          <w:p>
            <w:pPr>
              <w:spacing w:before="40" w:after="40"/>
            </w:pPr>
            <w:r/>
            <w:r>
              <w:rPr>
                <w:rFonts w:ascii="Roboto" w:hAnsi="Roboto"/>
                <w:color w:val="333333"/>
                <w:sz w:val="15"/>
              </w:rPr>
              <w:t>Voluntary</w:t>
            </w:r>
          </w:p>
        </w:tc>
        <w:tc>
          <w:tcPr>
            <w:tcW w:type="dxa" w:w="4752"/>
            <w:shd w:fill="EDF4F9" w:val="clear"/>
          </w:tcPr>
          <w:p>
            <w:pPr>
              <w:spacing w:before="40" w:after="40"/>
            </w:pPr>
            <w:r/>
            <w:r>
              <w:rPr>
                <w:rFonts w:ascii="Roboto" w:hAnsi="Roboto"/>
                <w:color w:val="333333"/>
                <w:sz w:val="15"/>
              </w:rPr>
              <w:t>Advisory: audience-tailored disclosure. Endorses IR methods over watermarking.</w:t>
            </w:r>
          </w:p>
        </w:tc>
      </w:tr>
      <w:tr>
        <w:tc>
          <w:tcPr>
            <w:tcW w:type="dxa" w:w="1584"/>
          </w:tcPr>
          <w:p>
            <w:pPr>
              <w:spacing w:before="40" w:after="40"/>
            </w:pPr>
            <w:r/>
            <w:r>
              <w:rPr>
                <w:rFonts w:ascii="Roboto" w:hAnsi="Roboto"/>
                <w:color w:val="333333"/>
                <w:sz w:val="15"/>
              </w:rPr>
              <w:t>European Union</w:t>
            </w:r>
          </w:p>
        </w:tc>
        <w:tc>
          <w:tcPr>
            <w:tcW w:type="dxa" w:w="2592"/>
          </w:tcPr>
          <w:p>
            <w:pPr>
              <w:spacing w:before="40" w:after="40"/>
            </w:pPr>
            <w:r/>
            <w:r>
              <w:rPr>
                <w:rFonts w:ascii="Roboto" w:hAnsi="Roboto"/>
                <w:color w:val="333333"/>
                <w:sz w:val="15"/>
              </w:rPr>
              <w:t>AI Act (Art. 50) &amp; Code of Practice</w:t>
            </w:r>
          </w:p>
        </w:tc>
        <w:tc>
          <w:tcPr>
            <w:tcW w:type="dxa" w:w="1008"/>
          </w:tcPr>
          <w:p>
            <w:pPr>
              <w:spacing w:before="40" w:after="40"/>
            </w:pPr>
            <w:r/>
            <w:r>
              <w:rPr>
                <w:rFonts w:ascii="Roboto" w:hAnsi="Roboto"/>
                <w:color w:val="333333"/>
                <w:sz w:val="15"/>
              </w:rPr>
              <w:t>Binding</w:t>
            </w:r>
          </w:p>
        </w:tc>
        <w:tc>
          <w:tcPr>
            <w:tcW w:type="dxa" w:w="4752"/>
          </w:tcPr>
          <w:p>
            <w:pPr>
              <w:spacing w:before="40" w:after="40"/>
            </w:pPr>
            <w:r/>
            <w:r>
              <w:rPr>
                <w:rFonts w:ascii="Roboto" w:hAnsi="Roboto"/>
                <w:color w:val="333333"/>
                <w:sz w:val="15"/>
              </w:rPr>
              <w:t>Deep: machine-readable marking required. Editorial review exception for text.</w:t>
            </w:r>
          </w:p>
        </w:tc>
      </w:tr>
      <w:tr>
        <w:tc>
          <w:tcPr>
            <w:tcW w:type="dxa" w:w="1584"/>
            <w:shd w:fill="EDF4F9" w:val="clear"/>
          </w:tcPr>
          <w:p>
            <w:pPr>
              <w:spacing w:before="40" w:after="40"/>
            </w:pPr>
            <w:r/>
            <w:r>
              <w:rPr>
                <w:rFonts w:ascii="Roboto" w:hAnsi="Roboto"/>
                <w:color w:val="333333"/>
                <w:sz w:val="15"/>
              </w:rPr>
              <w:t>China</w:t>
            </w:r>
          </w:p>
        </w:tc>
        <w:tc>
          <w:tcPr>
            <w:tcW w:type="dxa" w:w="2592"/>
            <w:shd w:fill="EDF4F9" w:val="clear"/>
          </w:tcPr>
          <w:p>
            <w:pPr>
              <w:spacing w:before="40" w:after="40"/>
            </w:pPr>
            <w:r/>
            <w:r>
              <w:rPr>
                <w:rFonts w:ascii="Roboto" w:hAnsi="Roboto"/>
                <w:color w:val="333333"/>
                <w:sz w:val="15"/>
              </w:rPr>
              <w:t>AI Labeling Rules (GB 45438-2025)</w:t>
            </w:r>
          </w:p>
        </w:tc>
        <w:tc>
          <w:tcPr>
            <w:tcW w:type="dxa" w:w="1008"/>
            <w:shd w:fill="EDF4F9" w:val="clear"/>
          </w:tcPr>
          <w:p>
            <w:pPr>
              <w:spacing w:before="40" w:after="40"/>
            </w:pPr>
            <w:r/>
            <w:r>
              <w:rPr>
                <w:rFonts w:ascii="Roboto" w:hAnsi="Roboto"/>
                <w:color w:val="333333"/>
                <w:sz w:val="15"/>
              </w:rPr>
              <w:t>Binding</w:t>
            </w:r>
          </w:p>
        </w:tc>
        <w:tc>
          <w:tcPr>
            <w:tcW w:type="dxa" w:w="4752"/>
            <w:shd w:fill="EDF4F9" w:val="clear"/>
          </w:tcPr>
          <w:p>
            <w:pPr>
              <w:spacing w:before="40" w:after="40"/>
            </w:pPr>
            <w:r/>
            <w:r>
              <w:rPr>
                <w:rFonts w:ascii="Roboto" w:hAnsi="Roboto"/>
                <w:color w:val="333333"/>
                <w:sz w:val="15"/>
              </w:rPr>
              <w:t>Prescriptive: explicit labels at fixed positions. Platform classification system.</w:t>
            </w:r>
          </w:p>
        </w:tc>
      </w:tr>
      <w:tr>
        <w:tc>
          <w:tcPr>
            <w:tcW w:type="dxa" w:w="1584"/>
          </w:tcPr>
          <w:p>
            <w:pPr>
              <w:spacing w:before="40" w:after="40"/>
            </w:pPr>
            <w:r/>
            <w:r>
              <w:rPr>
                <w:rFonts w:ascii="Roboto" w:hAnsi="Roboto"/>
                <w:color w:val="333333"/>
                <w:sz w:val="15"/>
              </w:rPr>
              <w:t>South Korea</w:t>
            </w:r>
          </w:p>
        </w:tc>
        <w:tc>
          <w:tcPr>
            <w:tcW w:type="dxa" w:w="2592"/>
          </w:tcPr>
          <w:p>
            <w:pPr>
              <w:spacing w:before="40" w:after="40"/>
            </w:pPr>
            <w:r/>
            <w:r>
              <w:rPr>
                <w:rFonts w:ascii="Roboto" w:hAnsi="Roboto"/>
                <w:color w:val="333333"/>
                <w:sz w:val="15"/>
              </w:rPr>
              <w:t>AI Basic Act &amp; Guidelines</w:t>
            </w:r>
          </w:p>
        </w:tc>
        <w:tc>
          <w:tcPr>
            <w:tcW w:type="dxa" w:w="1008"/>
          </w:tcPr>
          <w:p>
            <w:pPr>
              <w:spacing w:before="40" w:after="40"/>
            </w:pPr>
            <w:r/>
            <w:r>
              <w:rPr>
                <w:rFonts w:ascii="Roboto" w:hAnsi="Roboto"/>
                <w:color w:val="333333"/>
                <w:sz w:val="15"/>
              </w:rPr>
              <w:t>Binding</w:t>
            </w:r>
          </w:p>
        </w:tc>
        <w:tc>
          <w:tcPr>
            <w:tcW w:type="dxa" w:w="4752"/>
          </w:tcPr>
          <w:p>
            <w:pPr>
              <w:spacing w:before="40" w:after="40"/>
            </w:pPr>
            <w:r/>
            <w:r>
              <w:rPr>
                <w:rFonts w:ascii="Roboto" w:hAnsi="Roboto"/>
                <w:color w:val="333333"/>
                <w:sz w:val="15"/>
              </w:rPr>
              <w:t>Moderate: labeling of generative outputs. Export vs. in-service distinction.</w:t>
            </w:r>
          </w:p>
        </w:tc>
      </w:tr>
      <w:tr>
        <w:tc>
          <w:tcPr>
            <w:tcW w:type="dxa" w:w="1584"/>
            <w:shd w:fill="EDF4F9" w:val="clear"/>
          </w:tcPr>
          <w:p>
            <w:pPr>
              <w:spacing w:before="40" w:after="40"/>
            </w:pPr>
            <w:r/>
            <w:r>
              <w:rPr>
                <w:rFonts w:ascii="Roboto" w:hAnsi="Roboto"/>
                <w:color w:val="333333"/>
                <w:sz w:val="15"/>
              </w:rPr>
              <w:t>Brazil</w:t>
            </w:r>
          </w:p>
        </w:tc>
        <w:tc>
          <w:tcPr>
            <w:tcW w:type="dxa" w:w="2592"/>
            <w:shd w:fill="EDF4F9" w:val="clear"/>
          </w:tcPr>
          <w:p>
            <w:pPr>
              <w:spacing w:before="40" w:after="40"/>
            </w:pPr>
            <w:r/>
            <w:r>
              <w:rPr>
                <w:rFonts w:ascii="Roboto" w:hAnsi="Roboto"/>
                <w:color w:val="333333"/>
                <w:sz w:val="15"/>
              </w:rPr>
              <w:t>AI Bill (PL 2338/2023)</w:t>
            </w:r>
          </w:p>
        </w:tc>
        <w:tc>
          <w:tcPr>
            <w:tcW w:type="dxa" w:w="1008"/>
            <w:shd w:fill="EDF4F9" w:val="clear"/>
          </w:tcPr>
          <w:p>
            <w:pPr>
              <w:spacing w:before="40" w:after="40"/>
            </w:pPr>
            <w:r/>
            <w:r>
              <w:rPr>
                <w:rFonts w:ascii="Roboto" w:hAnsi="Roboto"/>
                <w:color w:val="333333"/>
                <w:sz w:val="15"/>
              </w:rPr>
              <w:t>Binding</w:t>
            </w:r>
          </w:p>
        </w:tc>
        <w:tc>
          <w:tcPr>
            <w:tcW w:type="dxa" w:w="4752"/>
            <w:shd w:fill="EDF4F9" w:val="clear"/>
          </w:tcPr>
          <w:p>
            <w:pPr>
              <w:spacing w:before="40" w:after="40"/>
            </w:pPr>
            <w:r/>
            <w:r>
              <w:rPr>
                <w:rFonts w:ascii="Roboto" w:hAnsi="Roboto"/>
                <w:color w:val="333333"/>
                <w:sz w:val="15"/>
              </w:rPr>
              <w:t>Deep: permanent identifiers. Integrated with copyright compensation framework.</w:t>
            </w:r>
          </w:p>
        </w:tc>
      </w:tr>
      <w:tr>
        <w:tc>
          <w:tcPr>
            <w:tcW w:type="dxa" w:w="1584"/>
          </w:tcPr>
          <w:p>
            <w:pPr>
              <w:spacing w:before="40" w:after="40"/>
            </w:pPr>
            <w:r/>
            <w:r>
              <w:rPr>
                <w:rFonts w:ascii="Roboto" w:hAnsi="Roboto"/>
                <w:color w:val="333333"/>
                <w:sz w:val="15"/>
              </w:rPr>
              <w:t>USA (Federal)</w:t>
            </w:r>
          </w:p>
        </w:tc>
        <w:tc>
          <w:tcPr>
            <w:tcW w:type="dxa" w:w="2592"/>
          </w:tcPr>
          <w:p>
            <w:pPr>
              <w:spacing w:before="40" w:after="40"/>
            </w:pPr>
            <w:r/>
            <w:r>
              <w:rPr>
                <w:rFonts w:ascii="Roboto" w:hAnsi="Roboto"/>
                <w:color w:val="333333"/>
                <w:sz w:val="15"/>
              </w:rPr>
              <w:t>NIST Guidelines</w:t>
            </w:r>
          </w:p>
        </w:tc>
        <w:tc>
          <w:tcPr>
            <w:tcW w:type="dxa" w:w="1008"/>
          </w:tcPr>
          <w:p>
            <w:pPr>
              <w:spacing w:before="40" w:after="40"/>
            </w:pPr>
            <w:r/>
            <w:r>
              <w:rPr>
                <w:rFonts w:ascii="Roboto" w:hAnsi="Roboto"/>
                <w:color w:val="333333"/>
                <w:sz w:val="15"/>
              </w:rPr>
              <w:t>Voluntary</w:t>
            </w:r>
          </w:p>
        </w:tc>
        <w:tc>
          <w:tcPr>
            <w:tcW w:type="dxa" w:w="4752"/>
          </w:tcPr>
          <w:p>
            <w:pPr>
              <w:spacing w:before="40" w:after="40"/>
            </w:pPr>
            <w:r/>
            <w:r>
              <w:rPr>
                <w:rFonts w:ascii="Roboto" w:hAnsi="Roboto"/>
                <w:color w:val="333333"/>
                <w:sz w:val="15"/>
              </w:rPr>
              <w:t>Technical: fuzzy provenance via search engine indexing of AI logs.</w:t>
            </w:r>
          </w:p>
        </w:tc>
      </w:tr>
      <w:tr>
        <w:tc>
          <w:tcPr>
            <w:tcW w:type="dxa" w:w="1584"/>
            <w:shd w:fill="EDF4F9" w:val="clear"/>
          </w:tcPr>
          <w:p>
            <w:pPr>
              <w:spacing w:before="40" w:after="40"/>
            </w:pPr>
            <w:r/>
            <w:r>
              <w:rPr>
                <w:rFonts w:ascii="Roboto" w:hAnsi="Roboto"/>
                <w:color w:val="333333"/>
                <w:sz w:val="15"/>
              </w:rPr>
              <w:t>USA (California)</w:t>
            </w:r>
          </w:p>
        </w:tc>
        <w:tc>
          <w:tcPr>
            <w:tcW w:type="dxa" w:w="2592"/>
            <w:shd w:fill="EDF4F9" w:val="clear"/>
          </w:tcPr>
          <w:p>
            <w:pPr>
              <w:spacing w:before="40" w:after="40"/>
            </w:pPr>
            <w:r/>
            <w:r>
              <w:rPr>
                <w:rFonts w:ascii="Roboto" w:hAnsi="Roboto"/>
                <w:color w:val="333333"/>
                <w:sz w:val="15"/>
              </w:rPr>
              <w:t>SB 942</w:t>
            </w:r>
          </w:p>
        </w:tc>
        <w:tc>
          <w:tcPr>
            <w:tcW w:type="dxa" w:w="1008"/>
            <w:shd w:fill="EDF4F9" w:val="clear"/>
          </w:tcPr>
          <w:p>
            <w:pPr>
              <w:spacing w:before="40" w:after="40"/>
            </w:pPr>
            <w:r/>
            <w:r>
              <w:rPr>
                <w:rFonts w:ascii="Roboto" w:hAnsi="Roboto"/>
                <w:color w:val="333333"/>
                <w:sz w:val="15"/>
              </w:rPr>
              <w:t>Binding</w:t>
            </w:r>
          </w:p>
        </w:tc>
        <w:tc>
          <w:tcPr>
            <w:tcW w:type="dxa" w:w="4752"/>
            <w:shd w:fill="EDF4F9" w:val="clear"/>
          </w:tcPr>
          <w:p>
            <w:pPr>
              <w:spacing w:before="40" w:after="40"/>
            </w:pPr>
            <w:r/>
            <w:r>
              <w:rPr>
                <w:rFonts w:ascii="Roboto" w:hAnsi="Roboto"/>
                <w:color w:val="333333"/>
                <w:sz w:val="15"/>
              </w:rPr>
              <w:t>Paradoxical: text is deliberately exempt from disclosure mandates.</w:t>
            </w:r>
          </w:p>
        </w:tc>
      </w:tr>
      <w:tr>
        <w:tc>
          <w:tcPr>
            <w:tcW w:type="dxa" w:w="1584"/>
          </w:tcPr>
          <w:p>
            <w:pPr>
              <w:spacing w:before="40" w:after="40"/>
            </w:pPr>
            <w:r/>
            <w:r>
              <w:rPr>
                <w:rFonts w:ascii="Roboto" w:hAnsi="Roboto"/>
                <w:color w:val="333333"/>
                <w:sz w:val="15"/>
              </w:rPr>
              <w:t>USA (Utah)</w:t>
            </w:r>
          </w:p>
        </w:tc>
        <w:tc>
          <w:tcPr>
            <w:tcW w:type="dxa" w:w="2592"/>
          </w:tcPr>
          <w:p>
            <w:pPr>
              <w:spacing w:before="40" w:after="40"/>
            </w:pPr>
            <w:r/>
            <w:r>
              <w:rPr>
                <w:rFonts w:ascii="Roboto" w:hAnsi="Roboto"/>
                <w:color w:val="333333"/>
                <w:sz w:val="15"/>
              </w:rPr>
              <w:t>SB 131</w:t>
            </w:r>
          </w:p>
        </w:tc>
        <w:tc>
          <w:tcPr>
            <w:tcW w:type="dxa" w:w="1008"/>
          </w:tcPr>
          <w:p>
            <w:pPr>
              <w:spacing w:before="40" w:after="40"/>
            </w:pPr>
            <w:r/>
            <w:r>
              <w:rPr>
                <w:rFonts w:ascii="Roboto" w:hAnsi="Roboto"/>
                <w:color w:val="333333"/>
                <w:sz w:val="15"/>
              </w:rPr>
              <w:t>Binding</w:t>
            </w:r>
          </w:p>
        </w:tc>
        <w:tc>
          <w:tcPr>
            <w:tcW w:type="dxa" w:w="4752"/>
          </w:tcPr>
          <w:p>
            <w:pPr>
              <w:spacing w:before="40" w:after="40"/>
            </w:pPr>
            <w:r/>
            <w:r>
              <w:rPr>
                <w:rFonts w:ascii="Roboto" w:hAnsi="Roboto"/>
                <w:color w:val="333333"/>
                <w:sz w:val="15"/>
              </w:rPr>
              <w:t>Narrow: political communications only. Severe penalties.</w:t>
            </w:r>
          </w:p>
        </w:tc>
      </w:tr>
      <w:tr>
        <w:tc>
          <w:tcPr>
            <w:tcW w:type="dxa" w:w="1584"/>
            <w:shd w:fill="EDF4F9" w:val="clear"/>
          </w:tcPr>
          <w:p>
            <w:pPr>
              <w:spacing w:before="40" w:after="40"/>
            </w:pPr>
            <w:r/>
            <w:r>
              <w:rPr>
                <w:rFonts w:ascii="Roboto" w:hAnsi="Roboto"/>
                <w:color w:val="333333"/>
                <w:sz w:val="15"/>
              </w:rPr>
              <w:t>India</w:t>
            </w:r>
          </w:p>
        </w:tc>
        <w:tc>
          <w:tcPr>
            <w:tcW w:type="dxa" w:w="2592"/>
            <w:shd w:fill="EDF4F9" w:val="clear"/>
          </w:tcPr>
          <w:p>
            <w:pPr>
              <w:spacing w:before="40" w:after="40"/>
            </w:pPr>
            <w:r/>
            <w:r>
              <w:rPr>
                <w:rFonts w:ascii="Roboto" w:hAnsi="Roboto"/>
                <w:color w:val="333333"/>
                <w:sz w:val="15"/>
              </w:rPr>
              <w:t>MeitY Draft IT Rules</w:t>
            </w:r>
          </w:p>
        </w:tc>
        <w:tc>
          <w:tcPr>
            <w:tcW w:type="dxa" w:w="1008"/>
            <w:shd w:fill="EDF4F9" w:val="clear"/>
          </w:tcPr>
          <w:p>
            <w:pPr>
              <w:spacing w:before="40" w:after="40"/>
            </w:pPr>
            <w:r/>
            <w:r>
              <w:rPr>
                <w:rFonts w:ascii="Roboto" w:hAnsi="Roboto"/>
                <w:color w:val="333333"/>
                <w:sz w:val="15"/>
              </w:rPr>
              <w:t>Proposed</w:t>
            </w:r>
          </w:p>
        </w:tc>
        <w:tc>
          <w:tcPr>
            <w:tcW w:type="dxa" w:w="4752"/>
            <w:shd w:fill="EDF4F9" w:val="clear"/>
          </w:tcPr>
          <w:p>
            <w:pPr>
              <w:spacing w:before="40" w:after="40"/>
            </w:pPr>
            <w:r/>
            <w:r>
              <w:rPr>
                <w:rFonts w:ascii="Roboto" w:hAnsi="Roboto"/>
                <w:color w:val="333333"/>
                <w:sz w:val="15"/>
              </w:rPr>
              <w:t>Severe: 10% display area label applies to text. 3-hour takedown.</w:t>
            </w:r>
          </w:p>
        </w:tc>
      </w:tr>
      <w:tr>
        <w:tc>
          <w:tcPr>
            <w:tcW w:type="dxa" w:w="1584"/>
          </w:tcPr>
          <w:p>
            <w:pPr>
              <w:spacing w:before="40" w:after="40"/>
            </w:pPr>
            <w:r/>
            <w:r>
              <w:rPr>
                <w:rFonts w:ascii="Roboto" w:hAnsi="Roboto"/>
                <w:color w:val="333333"/>
                <w:sz w:val="15"/>
              </w:rPr>
              <w:t>Japan</w:t>
            </w:r>
          </w:p>
        </w:tc>
        <w:tc>
          <w:tcPr>
            <w:tcW w:type="dxa" w:w="2592"/>
          </w:tcPr>
          <w:p>
            <w:pPr>
              <w:spacing w:before="40" w:after="40"/>
            </w:pPr>
            <w:r/>
            <w:r>
              <w:rPr>
                <w:rFonts w:ascii="Roboto" w:hAnsi="Roboto"/>
                <w:color w:val="333333"/>
                <w:sz w:val="15"/>
              </w:rPr>
              <w:t>AI Promotion Act &amp; Guidelines</w:t>
            </w:r>
          </w:p>
        </w:tc>
        <w:tc>
          <w:tcPr>
            <w:tcW w:type="dxa" w:w="1008"/>
          </w:tcPr>
          <w:p>
            <w:pPr>
              <w:spacing w:before="40" w:after="40"/>
            </w:pPr>
            <w:r/>
            <w:r>
              <w:rPr>
                <w:rFonts w:ascii="Roboto" w:hAnsi="Roboto"/>
                <w:color w:val="333333"/>
                <w:sz w:val="15"/>
              </w:rPr>
              <w:t>Soft law</w:t>
            </w:r>
          </w:p>
        </w:tc>
        <w:tc>
          <w:tcPr>
            <w:tcW w:type="dxa" w:w="4752"/>
          </w:tcPr>
          <w:p>
            <w:pPr>
              <w:spacing w:before="40" w:after="40"/>
            </w:pPr>
            <w:r/>
            <w:r>
              <w:rPr>
                <w:rFonts w:ascii="Roboto" w:hAnsi="Roboto"/>
                <w:color w:val="333333"/>
                <w:sz w:val="15"/>
              </w:rPr>
              <w:t>Moderate: encourages watermarks and provenance tools. Self-regulation.</w:t>
            </w:r>
          </w:p>
        </w:tc>
      </w:tr>
      <w:tr>
        <w:tc>
          <w:tcPr>
            <w:tcW w:type="dxa" w:w="1584"/>
            <w:shd w:fill="EDF4F9" w:val="clear"/>
          </w:tcPr>
          <w:p>
            <w:pPr>
              <w:spacing w:before="40" w:after="40"/>
            </w:pPr>
            <w:r/>
            <w:r>
              <w:rPr>
                <w:rFonts w:ascii="Roboto" w:hAnsi="Roboto"/>
                <w:color w:val="333333"/>
                <w:sz w:val="15"/>
              </w:rPr>
              <w:t>United Kingdom</w:t>
            </w:r>
          </w:p>
        </w:tc>
        <w:tc>
          <w:tcPr>
            <w:tcW w:type="dxa" w:w="2592"/>
            <w:shd w:fill="EDF4F9" w:val="clear"/>
          </w:tcPr>
          <w:p>
            <w:pPr>
              <w:spacing w:before="40" w:after="40"/>
            </w:pPr>
            <w:r/>
            <w:r>
              <w:rPr>
                <w:rFonts w:ascii="Roboto" w:hAnsi="Roboto"/>
                <w:color w:val="333333"/>
                <w:sz w:val="15"/>
              </w:rPr>
              <w:t>AI Playbook</w:t>
            </w:r>
          </w:p>
        </w:tc>
        <w:tc>
          <w:tcPr>
            <w:tcW w:type="dxa" w:w="1008"/>
            <w:shd w:fill="EDF4F9" w:val="clear"/>
          </w:tcPr>
          <w:p>
            <w:pPr>
              <w:spacing w:before="40" w:after="40"/>
            </w:pPr>
            <w:r/>
            <w:r>
              <w:rPr>
                <w:rFonts w:ascii="Roboto" w:hAnsi="Roboto"/>
                <w:color w:val="333333"/>
                <w:sz w:val="15"/>
              </w:rPr>
              <w:t>Soft law</w:t>
            </w:r>
          </w:p>
        </w:tc>
        <w:tc>
          <w:tcPr>
            <w:tcW w:type="dxa" w:w="4752"/>
            <w:shd w:fill="EDF4F9" w:val="clear"/>
          </w:tcPr>
          <w:p>
            <w:pPr>
              <w:spacing w:before="40" w:after="40"/>
            </w:pPr>
            <w:r/>
            <w:r>
              <w:rPr>
                <w:rFonts w:ascii="Roboto" w:hAnsi="Roboto"/>
                <w:color w:val="333333"/>
                <w:sz w:val="15"/>
              </w:rPr>
              <w:t>Principle-based: acknowledges watermark immaturity. Human-in-the-loop focus.</w:t>
            </w:r>
          </w:p>
        </w:tc>
      </w:tr>
      <w:tr>
        <w:tc>
          <w:tcPr>
            <w:tcW w:type="dxa" w:w="1584"/>
          </w:tcPr>
          <w:p>
            <w:pPr>
              <w:spacing w:before="40" w:after="40"/>
            </w:pPr>
            <w:r/>
            <w:r>
              <w:rPr>
                <w:rFonts w:ascii="Roboto" w:hAnsi="Roboto"/>
                <w:color w:val="333333"/>
                <w:sz w:val="15"/>
              </w:rPr>
              <w:t>Australia</w:t>
            </w:r>
          </w:p>
        </w:tc>
        <w:tc>
          <w:tcPr>
            <w:tcW w:type="dxa" w:w="2592"/>
          </w:tcPr>
          <w:p>
            <w:pPr>
              <w:spacing w:before="40" w:after="40"/>
            </w:pPr>
            <w:r/>
            <w:r>
              <w:rPr>
                <w:rFonts w:ascii="Roboto" w:hAnsi="Roboto"/>
                <w:color w:val="333333"/>
                <w:sz w:val="15"/>
              </w:rPr>
              <w:t>AI Technical Standard</w:t>
            </w:r>
          </w:p>
        </w:tc>
        <w:tc>
          <w:tcPr>
            <w:tcW w:type="dxa" w:w="1008"/>
          </w:tcPr>
          <w:p>
            <w:pPr>
              <w:spacing w:before="40" w:after="40"/>
            </w:pPr>
            <w:r/>
            <w:r>
              <w:rPr>
                <w:rFonts w:ascii="Roboto" w:hAnsi="Roboto"/>
                <w:color w:val="333333"/>
                <w:sz w:val="15"/>
              </w:rPr>
              <w:t>Govt binding</w:t>
            </w:r>
          </w:p>
        </w:tc>
        <w:tc>
          <w:tcPr>
            <w:tcW w:type="dxa" w:w="4752"/>
          </w:tcPr>
          <w:p>
            <w:pPr>
              <w:spacing w:before="40" w:after="40"/>
            </w:pPr>
            <w:r/>
            <w:r>
              <w:rPr>
                <w:rFonts w:ascii="Roboto" w:hAnsi="Roboto"/>
                <w:color w:val="333333"/>
                <w:sz w:val="15"/>
              </w:rPr>
              <w:t>Nuanced: requires watermarks. Warns against text readability degradation.</w:t>
            </w:r>
          </w:p>
        </w:tc>
      </w:tr>
      <w:tr>
        <w:tc>
          <w:tcPr>
            <w:tcW w:type="dxa" w:w="1584"/>
            <w:shd w:fill="EDF4F9" w:val="clear"/>
          </w:tcPr>
          <w:p>
            <w:pPr>
              <w:spacing w:before="40" w:after="40"/>
            </w:pPr>
            <w:r/>
            <w:r>
              <w:rPr>
                <w:rFonts w:ascii="Roboto" w:hAnsi="Roboto"/>
                <w:color w:val="333333"/>
                <w:sz w:val="15"/>
              </w:rPr>
              <w:t>Canada</w:t>
            </w:r>
          </w:p>
        </w:tc>
        <w:tc>
          <w:tcPr>
            <w:tcW w:type="dxa" w:w="2592"/>
            <w:shd w:fill="EDF4F9" w:val="clear"/>
          </w:tcPr>
          <w:p>
            <w:pPr>
              <w:spacing w:before="40" w:after="40"/>
            </w:pPr>
            <w:r/>
            <w:r>
              <w:rPr>
                <w:rFonts w:ascii="Roboto" w:hAnsi="Roboto"/>
                <w:color w:val="333333"/>
                <w:sz w:val="15"/>
              </w:rPr>
              <w:t>Voluntary Code &amp; Govt Guide</w:t>
            </w:r>
          </w:p>
        </w:tc>
        <w:tc>
          <w:tcPr>
            <w:tcW w:type="dxa" w:w="1008"/>
            <w:shd w:fill="EDF4F9" w:val="clear"/>
          </w:tcPr>
          <w:p>
            <w:pPr>
              <w:spacing w:before="40" w:after="40"/>
            </w:pPr>
            <w:r/>
            <w:r>
              <w:rPr>
                <w:rFonts w:ascii="Roboto" w:hAnsi="Roboto"/>
                <w:color w:val="333333"/>
                <w:sz w:val="15"/>
              </w:rPr>
              <w:t>Voluntary</w:t>
            </w:r>
          </w:p>
        </w:tc>
        <w:tc>
          <w:tcPr>
            <w:tcW w:type="dxa" w:w="4752"/>
            <w:shd w:fill="EDF4F9" w:val="clear"/>
          </w:tcPr>
          <w:p>
            <w:pPr>
              <w:spacing w:before="40" w:after="40"/>
            </w:pPr>
            <w:r/>
            <w:r>
              <w:rPr>
                <w:rFonts w:ascii="Roboto" w:hAnsi="Roboto"/>
                <w:color w:val="333333"/>
                <w:sz w:val="15"/>
              </w:rPr>
              <w:t>Broad: recommends watermarks and plain-language AI disclosures.</w:t>
            </w:r>
          </w:p>
        </w:tc>
      </w:tr>
    </w:tbl>
    <w:p>
      <w:r>
        <w:br w:type="page"/>
      </w:r>
    </w:p>
    <w:p>
      <w:pPr>
        <w:keepNext/>
        <w:spacing w:before="280" w:after="120"/>
        <w:pBdr>
          <w:bottom w:val="single" w:sz="6" w:space="2" w:color="2A87C4"/>
        </w:pBdr>
      </w:pPr>
      <w:r>
        <w:rPr>
          <w:rFonts w:ascii="Roboto" w:hAnsi="Roboto"/>
          <w:b/>
          <w:color w:val="1B2F50"/>
          <w:sz w:val="32"/>
        </w:rPr>
        <w:t>7. Structural Themes and Gap Analysis</w:t>
      </w:r>
    </w:p>
    <w:p>
      <w:pPr>
        <w:spacing w:after="80" w:before="0" w:line="280" w:lineRule="exact"/>
      </w:pPr>
      <w:r>
        <w:rPr>
          <w:rFonts w:ascii="Roboto" w:hAnsi="Roboto"/>
          <w:b w:val="0"/>
          <w:i w:val="0"/>
          <w:color w:val="333333"/>
          <w:sz w:val="19"/>
        </w:rPr>
        <w:t>Seven structural themes emerge from the comparative analysis. Each represents a gap that recurs across multiple jurisdictions. The themes align closely with the observations submitted in Encypher's public comment to the EU AI Act Code of Practice, suggesting these are not EU-specific deficiencies but systemic patterns in how legislators approach text provenance.</w:t>
      </w:r>
    </w:p>
    <w:p>
      <w:pPr>
        <w:keepNext/>
        <w:spacing w:before="200" w:after="80"/>
      </w:pPr>
      <w:r>
        <w:rPr>
          <w:rFonts w:ascii="Roboto" w:hAnsi="Roboto"/>
          <w:b/>
          <w:color w:val="2A87C4"/>
          <w:sz w:val="24"/>
        </w:rPr>
        <w:t>7.1. The Text Exemption Pattern</w:t>
      </w:r>
    </w:p>
    <w:p>
      <w:pPr>
        <w:spacing w:after="80" w:before="0" w:line="280" w:lineRule="exact"/>
      </w:pPr>
      <w:r>
        <w:rPr>
          <w:rFonts w:ascii="Roboto" w:hAnsi="Roboto"/>
          <w:b w:val="0"/>
          <w:i w:val="0"/>
          <w:color w:val="333333"/>
          <w:sz w:val="19"/>
        </w:rPr>
        <w:t>California (SB 942) entirely exempts text from latent disclosure mandates. New York deprioritizes text outputs. The EU's editorial review exception creates a pathway to avoid AI disclosure for text that has been reviewed by a human editor. The common premise is that text marking is technically infeasible. C2PA Section A.7 refutes this premise. The standard encodes cryptographically signed provenance manifests as invisible Unicode variation selectors embedded directly in the text stream. The encoding survives copy-paste, syndication, database storage, and cross-platform distribution. A manifest can be attached to any text, including a single-character chatbot reply. No minimum content length exists.</w:t>
      </w:r>
    </w:p>
    <w:p>
      <w:pPr>
        <w:keepNext/>
        <w:spacing w:before="200" w:after="80"/>
      </w:pPr>
      <w:r>
        <w:rPr>
          <w:rFonts w:ascii="Roboto" w:hAnsi="Roboto"/>
          <w:b/>
          <w:color w:val="2A87C4"/>
          <w:sz w:val="24"/>
        </w:rPr>
        <w:t>7.2. No Interoperability Standard</w:t>
      </w:r>
    </w:p>
    <w:p>
      <w:pPr>
        <w:spacing w:after="80" w:before="0" w:line="280" w:lineRule="exact"/>
      </w:pPr>
      <w:r>
        <w:rPr>
          <w:rFonts w:ascii="Roboto" w:hAnsi="Roboto"/>
          <w:b w:val="0"/>
          <w:i w:val="0"/>
          <w:color w:val="333333"/>
          <w:sz w:val="19"/>
        </w:rPr>
        <w:t>No jurisdiction designates a reference technical standard for content provenance. The EU Code of Practice describes a two-layered architecture (secured metadata plus watermarking) without specifying which standard implements it. C2PA 2.3 is the only published multi-stakeholder standard with production implementations at scale, established AI content assertion vocabularies (c2pa.ai_generated, c2pa.ai_training), open governance under the Linux Foundation, and a text-specific embedding specification (Section A.7) that survives distribution. Without a designated baseline, providers build proprietary marking systems and cross-provider verification becomes impossible.</w:t>
      </w:r>
    </w:p>
    <w:p>
      <w:pPr>
        <w:keepNext/>
        <w:spacing w:before="200" w:after="80"/>
      </w:pPr>
      <w:r>
        <w:rPr>
          <w:rFonts w:ascii="Roboto" w:hAnsi="Roboto"/>
          <w:b/>
          <w:color w:val="2A87C4"/>
          <w:sz w:val="24"/>
        </w:rPr>
        <w:t>7.3. Distribution Survival Is Not Addressed</w:t>
      </w:r>
    </w:p>
    <w:p>
      <w:pPr>
        <w:spacing w:after="80" w:before="0" w:line="280" w:lineRule="exact"/>
      </w:pPr>
      <w:r>
        <w:rPr>
          <w:rFonts w:ascii="Roboto" w:hAnsi="Roboto"/>
          <w:b w:val="0"/>
          <w:i w:val="0"/>
          <w:color w:val="333333"/>
          <w:sz w:val="19"/>
        </w:rPr>
        <w:t>Content is published, syndicated, aggregated, quoted, and reshared. No jurisdiction requires marking to survive common distribution paths. C2PA Section A.7's variation selector encoding was designed for exactly this scenario: the spec's stated scope is "content intended for copy-paste operations across different systems." The encoding persists through copy-paste, syndication, databases, and cross-platform sharing. Legislators have not accounted for this capability, treating distribution survival as an unsolved problem rather than a feature of the published standard.</w:t>
      </w:r>
    </w:p>
    <w:p>
      <w:pPr>
        <w:keepNext/>
        <w:spacing w:before="200" w:after="80"/>
      </w:pPr>
      <w:r>
        <w:rPr>
          <w:rFonts w:ascii="Roboto" w:hAnsi="Roboto"/>
          <w:b/>
          <w:color w:val="2A87C4"/>
          <w:sz w:val="24"/>
        </w:rPr>
        <w:t>7.4. Streaming and Real-Time Content Is Ignored</w:t>
      </w:r>
    </w:p>
    <w:p>
      <w:pPr>
        <w:spacing w:after="80" w:before="0" w:line="280" w:lineRule="exact"/>
      </w:pPr>
      <w:r>
        <w:rPr>
          <w:rFonts w:ascii="Roboto" w:hAnsi="Roboto"/>
          <w:b w:val="0"/>
          <w:i w:val="0"/>
          <w:color w:val="333333"/>
          <w:sz w:val="19"/>
        </w:rPr>
        <w:t>The highest-volume category of AI-generated text, chat-based and API-based interactions, produces output as token-by-token streams rather than static documents. No jurisdiction explicitly addresses streaming content in its marking obligations. Marking protocols that require a completed document before signing do not work for this content. Incremental authentication during streaming is technically feasible and production-deployed.</w:t>
      </w:r>
    </w:p>
    <w:p>
      <w:pPr>
        <w:keepNext/>
        <w:spacing w:before="200" w:after="80"/>
      </w:pPr>
      <w:r>
        <w:rPr>
          <w:rFonts w:ascii="Roboto" w:hAnsi="Roboto"/>
          <w:b/>
          <w:color w:val="2A87C4"/>
          <w:sz w:val="24"/>
        </w:rPr>
        <w:t>7.5. The Verification Asymmetry</w:t>
      </w:r>
    </w:p>
    <w:p>
      <w:pPr>
        <w:spacing w:after="80" w:before="0" w:line="280" w:lineRule="exact"/>
      </w:pPr>
      <w:r>
        <w:rPr>
          <w:rFonts w:ascii="Roboto" w:hAnsi="Roboto"/>
          <w:b w:val="0"/>
          <w:i w:val="0"/>
          <w:color w:val="333333"/>
          <w:sz w:val="19"/>
        </w:rPr>
        <w:t>Marking AI-generated content has value only if third parties can check the markings. Several jurisdictions require or encourage detection tools but do not mandate that verification be free, open, and unauthenticated. If verification requires payment or proprietary software, the transparency framework creates a two-tier system: organizations that pay see provenance data; the general public does not.</w:t>
      </w:r>
    </w:p>
    <w:p>
      <w:pPr>
        <w:keepNext/>
        <w:spacing w:before="200" w:after="80"/>
      </w:pPr>
      <w:r>
        <w:rPr>
          <w:rFonts w:ascii="Roboto" w:hAnsi="Roboto"/>
          <w:b/>
          <w:color w:val="2A87C4"/>
          <w:sz w:val="24"/>
        </w:rPr>
        <w:t>7.6. Platform Epistemological Burden</w:t>
      </w:r>
    </w:p>
    <w:p>
      <w:pPr>
        <w:spacing w:after="80" w:before="0" w:line="280" w:lineRule="exact"/>
      </w:pPr>
      <w:r>
        <w:rPr>
          <w:rFonts w:ascii="Roboto" w:hAnsi="Roboto"/>
          <w:b w:val="0"/>
          <w:i w:val="0"/>
          <w:color w:val="333333"/>
          <w:sz w:val="19"/>
        </w:rPr>
        <w:t>China and India deputize private platforms as the primary enforcers of text provenance. Platforms must scan incoming text, categorize it as confirmed, possible, or suspected AI-generated, and forcefully append labels. Current AI text detection tools carry high false-positive rates. Platforms will inevitably flag genuine human-authored text as "suspected AI," chilling free expression and degrading public trust in the provenance framework itself.</w:t>
      </w:r>
    </w:p>
    <w:p>
      <w:pPr>
        <w:keepNext/>
        <w:spacing w:before="200" w:after="80"/>
      </w:pPr>
      <w:r>
        <w:rPr>
          <w:rFonts w:ascii="Roboto" w:hAnsi="Roboto"/>
          <w:b/>
          <w:color w:val="2A87C4"/>
          <w:sz w:val="24"/>
        </w:rPr>
        <w:t>7.7. Compliance Fragmentation</w:t>
      </w:r>
    </w:p>
    <w:p>
      <w:pPr>
        <w:spacing w:after="80" w:before="0" w:line="280" w:lineRule="exact"/>
      </w:pPr>
      <w:r>
        <w:rPr>
          <w:rFonts w:ascii="Roboto" w:hAnsi="Roboto"/>
          <w:b w:val="0"/>
          <w:i w:val="0"/>
          <w:color w:val="333333"/>
          <w:sz w:val="19"/>
        </w:rPr>
        <w:t>A global AI provider deploying an LLM-powered chatbot must now architect a geofenced user interface: a 10% visual overlay for Indian users, rigid positional labels for Chinese users, human-review audit trails for EU users, and no text requirements in California. This fragmentation increases engineering, legal, and operational costs, pricing out smaller developers and consolidating market power among hyperscalers capable of maintaining multi-jurisdictional compliance architectures.</w:t>
      </w:r>
    </w:p>
    <w:p>
      <w:r>
        <w:br w:type="page"/>
      </w:r>
    </w:p>
    <w:p>
      <w:pPr>
        <w:keepNext/>
        <w:spacing w:before="280" w:after="120"/>
        <w:pBdr>
          <w:bottom w:val="single" w:sz="6" w:space="2" w:color="2A87C4"/>
        </w:pBdr>
      </w:pPr>
      <w:r>
        <w:rPr>
          <w:rFonts w:ascii="Roboto" w:hAnsi="Roboto"/>
          <w:b/>
          <w:color w:val="1B2F50"/>
          <w:sz w:val="32"/>
        </w:rPr>
        <w:t>8. Observations for California Policymakers</w:t>
      </w:r>
    </w:p>
    <w:p>
      <w:pPr>
        <w:spacing w:after="80" w:before="0" w:line="280" w:lineRule="exact"/>
      </w:pPr>
      <w:r>
        <w:rPr>
          <w:rFonts w:ascii="Roboto" w:hAnsi="Roboto"/>
          <w:b w:val="0"/>
          <w:i w:val="0"/>
          <w:color w:val="333333"/>
          <w:sz w:val="19"/>
        </w:rPr>
        <w:t>California's SB 942 is among the most structurally detailed AI transparency laws in the United States. Its text exemption, while reflecting a defensible technical judgment about statistical watermarking, creates a gap that other jurisdictions have addressed or are addressing. The following observations are drawn from the comparative analysis above.</w:t>
      </w:r>
    </w:p>
    <w:p>
      <w:pPr>
        <w:spacing w:after="40" w:before="0" w:line="260" w:lineRule="exact"/>
        <w:ind w:left="454"/>
      </w:pPr>
      <w:r>
        <w:rPr>
          <w:rFonts w:ascii="Roboto" w:hAnsi="Roboto"/>
          <w:b/>
          <w:color w:val="2A87C4"/>
          <w:sz w:val="18"/>
        </w:rPr>
        <w:t xml:space="preserve">1.  </w:t>
      </w:r>
      <w:r>
        <w:rPr>
          <w:rFonts w:ascii="Roboto" w:hAnsi="Roboto"/>
          <w:b/>
          <w:color w:val="1B2F50"/>
          <w:sz w:val="18"/>
        </w:rPr>
        <w:t xml:space="preserve">The technical premise for the text exemption is outdated. </w:t>
      </w:r>
      <w:r>
        <w:rPr>
          <w:rFonts w:ascii="Roboto" w:hAnsi="Roboto"/>
          <w:color w:val="333333"/>
          <w:sz w:val="18"/>
        </w:rPr>
        <w:t xml:space="preserve"> SB 942's text exemption rests on the assumption that text marking is technically infeasible. C2PA Section A.7, published January 8, 2026, encodes provenance manifests as invisible Unicode variation selectors directly in the text stream. The encoding survives copy-paste, syndication, and database storage. A single-character output can carry a signed manifest. The EU, China, South Korea, and Brazil all include text in their provenance mandates.</w:t>
      </w:r>
    </w:p>
    <w:p>
      <w:pPr>
        <w:spacing w:after="40" w:before="0" w:line="260" w:lineRule="exact"/>
        <w:ind w:left="454"/>
      </w:pPr>
      <w:r>
        <w:rPr>
          <w:rFonts w:ascii="Roboto" w:hAnsi="Roboto"/>
          <w:b/>
          <w:color w:val="2A87C4"/>
          <w:sz w:val="18"/>
        </w:rPr>
        <w:t xml:space="preserve">2.  </w:t>
      </w:r>
      <w:r>
        <w:rPr>
          <w:rFonts w:ascii="Roboto" w:hAnsi="Roboto"/>
          <w:b/>
          <w:color w:val="1B2F50"/>
          <w:sz w:val="18"/>
        </w:rPr>
        <w:t xml:space="preserve">An interoperability standard exists. </w:t>
      </w:r>
      <w:r>
        <w:rPr>
          <w:rFonts w:ascii="Roboto" w:hAnsi="Roboto"/>
          <w:color w:val="333333"/>
          <w:sz w:val="18"/>
        </w:rPr>
        <w:t xml:space="preserve"> C2PA 2.3 is the only published multi-stakeholder standard with production implementations, AI content assertion vocabularies, and open governance. Referencing C2PA as a baseline technical standard would align California with emerging international norms and prevent the proliferation of incompatible proprietary marking systems.</w:t>
      </w:r>
    </w:p>
    <w:p>
      <w:pPr>
        <w:spacing w:after="40" w:before="0" w:line="260" w:lineRule="exact"/>
        <w:ind w:left="454"/>
      </w:pPr>
      <w:r>
        <w:rPr>
          <w:rFonts w:ascii="Roboto" w:hAnsi="Roboto"/>
          <w:b/>
          <w:color w:val="2A87C4"/>
          <w:sz w:val="18"/>
        </w:rPr>
        <w:t xml:space="preserve">3.  </w:t>
      </w:r>
      <w:r>
        <w:rPr>
          <w:rFonts w:ascii="Roboto" w:hAnsi="Roboto"/>
          <w:b/>
          <w:color w:val="1B2F50"/>
          <w:sz w:val="18"/>
        </w:rPr>
        <w:t xml:space="preserve">Text is the highest-volume AI output. </w:t>
      </w:r>
      <w:r>
        <w:rPr>
          <w:rFonts w:ascii="Roboto" w:hAnsi="Roboto"/>
          <w:color w:val="333333"/>
          <w:sz w:val="18"/>
        </w:rPr>
        <w:t xml:space="preserve"> California's latent disclosure requirements apply to images, video, and audio. The highest-volume category of AI-generated content reaching consumers is text: chatbot interactions, generated summaries, automated replies, social media posts. Exempting text creates a transparency gap that covers the majority of what consumers actually encounter.</w:t>
      </w:r>
    </w:p>
    <w:p>
      <w:pPr>
        <w:spacing w:after="40" w:before="0" w:line="260" w:lineRule="exact"/>
        <w:ind w:left="454"/>
      </w:pPr>
      <w:r>
        <w:rPr>
          <w:rFonts w:ascii="Roboto" w:hAnsi="Roboto"/>
          <w:b/>
          <w:color w:val="2A87C4"/>
          <w:sz w:val="18"/>
        </w:rPr>
        <w:t xml:space="preserve">4.  </w:t>
      </w:r>
      <w:r>
        <w:rPr>
          <w:rFonts w:ascii="Roboto" w:hAnsi="Roboto"/>
          <w:b/>
          <w:color w:val="1B2F50"/>
          <w:sz w:val="18"/>
        </w:rPr>
        <w:t xml:space="preserve">Federal guidance supports, not precludes, state action. </w:t>
      </w:r>
      <w:r>
        <w:rPr>
          <w:rFonts w:ascii="Roboto" w:hAnsi="Roboto"/>
          <w:color w:val="333333"/>
          <w:sz w:val="18"/>
        </w:rPr>
        <w:t xml:space="preserve"> NIST's fuzzy provenance approach, encouraging AI providers to make generation logs searchable, complements rather than replaces file-level metadata. A state-level requirement for metadata-based text provenance (distinct from statistical watermarking) would be compatible with the federal direction.</w:t>
      </w:r>
    </w:p>
    <w:p>
      <w:pPr>
        <w:spacing w:after="40" w:before="0" w:line="260" w:lineRule="exact"/>
        <w:ind w:left="454"/>
      </w:pPr>
      <w:r>
        <w:rPr>
          <w:rFonts w:ascii="Roboto" w:hAnsi="Roboto"/>
          <w:b/>
          <w:color w:val="2A87C4"/>
          <w:sz w:val="18"/>
        </w:rPr>
        <w:t xml:space="preserve">5.  </w:t>
      </w:r>
      <w:r>
        <w:rPr>
          <w:rFonts w:ascii="Roboto" w:hAnsi="Roboto"/>
          <w:b/>
          <w:color w:val="1B2F50"/>
          <w:sz w:val="18"/>
        </w:rPr>
        <w:t xml:space="preserve">Editorial exceptions can balance transparency and expression. </w:t>
      </w:r>
      <w:r>
        <w:rPr>
          <w:rFonts w:ascii="Roboto" w:hAnsi="Roboto"/>
          <w:color w:val="333333"/>
          <w:sz w:val="18"/>
        </w:rPr>
        <w:t xml:space="preserve"> The EU's editorial review exception demonstrates that text provenance mandates can coexist with editorial freedom. If a human editor reviews the content and assumes responsibility, the AI disclosure is waived. A similar mechanism could address concerns about over-labeling in California.</w:t>
      </w:r>
    </w:p>
    <w:p>
      <w:r>
        <w:br w:type="page"/>
      </w:r>
    </w:p>
    <w:p>
      <w:pPr>
        <w:keepNext/>
        <w:spacing w:before="280" w:after="120"/>
        <w:pBdr>
          <w:bottom w:val="single" w:sz="6" w:space="2" w:color="2A87C4"/>
        </w:pBdr>
      </w:pPr>
      <w:r>
        <w:rPr>
          <w:rFonts w:ascii="Roboto" w:hAnsi="Roboto"/>
          <w:b/>
          <w:color w:val="1B2F50"/>
          <w:sz w:val="32"/>
        </w:rPr>
        <w:t>9. Conclusion</w:t>
      </w:r>
    </w:p>
    <w:p>
      <w:pPr>
        <w:spacing w:after="80" w:before="0" w:line="280" w:lineRule="exact"/>
      </w:pPr>
      <w:r>
        <w:rPr>
          <w:rFonts w:ascii="Roboto" w:hAnsi="Roboto"/>
          <w:b w:val="0"/>
          <w:i w:val="0"/>
          <w:color w:val="333333"/>
          <w:sz w:val="19"/>
        </w:rPr>
        <w:t>The global regulatory pursuit of AI-generated text provenance is defined by a tension between legal ambition and technical reality. Binding regimes in the EU, China, South Korea, and Brazil impose specific labeling, metadata, and platform enforcement requirements that often push beyond the limits of current cryptographic capabilities. The United States presents a regulatory paradox: federal agencies pioneer network-based solutions like fuzzy provenance, while California's most prominent state-level legislation deliberately exempts text from its strictest disclosure mandates.</w:t>
      </w:r>
    </w:p>
    <w:p>
      <w:pPr>
        <w:spacing w:after="80" w:before="0" w:line="280" w:lineRule="exact"/>
      </w:pPr>
      <w:r>
        <w:rPr>
          <w:rFonts w:ascii="Roboto" w:hAnsi="Roboto"/>
          <w:b w:val="0"/>
          <w:i w:val="0"/>
          <w:color w:val="333333"/>
          <w:sz w:val="19"/>
        </w:rPr>
        <w:t>Robust text provenance cannot rely on statistical watermarks, which degrade under paraphrasing and yield confidence scores rather than definitive verification. C2PA Section A.7 provides a fundamentally different mechanism: cryptographically signed manifests encoded as invisible Unicode variation selectors, embedded directly in the text stream, surviving copy-paste, syndication, database storage, and cross-platform distribution with no minimum content length. Fuzzy provenance via information retrieval complements this as a detection backstop for aggressively paraphrased content.</w:t>
      </w:r>
    </w:p>
    <w:p>
      <w:pPr>
        <w:spacing w:after="80" w:before="0" w:line="280" w:lineRule="exact"/>
      </w:pPr>
      <w:r>
        <w:rPr>
          <w:rFonts w:ascii="Roboto" w:hAnsi="Roboto"/>
          <w:b w:val="0"/>
          <w:i w:val="0"/>
          <w:color w:val="333333"/>
          <w:sz w:val="19"/>
        </w:rPr>
        <w:t>International harmonization, driven by frameworks like the G7 Hiroshima Process, is necessary to prevent a fractured digital ecosystem where the legal definition of content authenticity changes depending on the jurisdiction in which a sentence is read. The technical standards to support this harmonization exist today. The question is whether legislators will reference them.</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Borders>
        <w:top w:val="single" w:sz="4" w:space="0" w:color="B7D5ED"/>
        <w:bottom w:val="none" w:sz="0" w:space="0" w:color="auto"/>
        <w:left w:val="none" w:sz="0" w:space="0" w:color="auto"/>
        <w:right w:val="none" w:sz="0" w:space="0" w:color="auto"/>
        <w:insideH w:val="none" w:sz="0" w:space="0" w:color="auto"/>
        <w:insideV w:val="none" w:sz="0" w:space="0" w:color="auto"/>
      </w:tblBorders>
    </w:tblPr>
    <w:tblGrid>
      <w:gridCol w:w="4680"/>
      <w:gridCol w:w="4680"/>
    </w:tblGrid>
    <w:tr>
      <w:tc>
        <w:tcPr>
          <w:tcW w:type="dxa" w:w="7488"/>
        </w:tcPr>
        <w:p>
          <w:pPr>
            <w:spacing w:before="40" w:after="0"/>
          </w:pPr>
          <w:r>
            <w:rPr>
              <w:rFonts w:ascii="Roboto" w:hAnsi="Roboto"/>
              <w:b/>
              <w:color w:val="1B2F50"/>
              <w:sz w:val="14"/>
            </w:rPr>
            <w:t>Encypher Corporation</w:t>
          </w:r>
          <w:r>
            <w:rPr>
              <w:rFonts w:ascii="Roboto" w:hAnsi="Roboto"/>
              <w:b w:val="0"/>
              <w:color w:val="333333"/>
              <w:sz w:val="14"/>
            </w:rPr>
            <w:t xml:space="preserve">  |  Erik Svilich, CEO &amp; Co-Chair, C2PA Text Task Force</w:t>
          </w:r>
          <w:r>
            <w:rPr>
              <w:rFonts w:ascii="Roboto" w:hAnsi="Roboto"/>
              <w:b w:val="0"/>
              <w:color w:val="333333"/>
              <w:sz w:val="14"/>
            </w:rPr>
            <w:t xml:space="preserve">  |  </w:t>
          </w:r>
          <w:hyperlink r:id="rId1">
            <w:r>
              <w:rPr>
                <w:rFonts w:ascii="Roboto" w:hAnsi="Roboto"/>
                <w:sz w:val="14"/>
                <w:szCs w:val="14"/>
                <w:color w:val="333333"/>
                <w:u w:val="none"/>
              </w:rPr>
              <w:t xml:space="preserve">erik.svilich@encypher.com</w:t>
            </w:r>
          </w:hyperlink>
          <w:r>
            <w:rPr>
              <w:rFonts w:ascii="Roboto" w:hAnsi="Roboto"/>
              <w:b w:val="0"/>
              <w:color w:val="333333"/>
              <w:sz w:val="14"/>
            </w:rPr>
            <w:t xml:space="preserve">  |  </w:t>
          </w:r>
          <w:hyperlink r:id="rId2">
            <w:r>
              <w:rPr>
                <w:rFonts w:ascii="Roboto" w:hAnsi="Roboto"/>
                <w:sz w:val="14"/>
                <w:szCs w:val="14"/>
                <w:color w:val="2A87C4"/>
                <w:u w:val="none"/>
              </w:rPr>
              <w:t xml:space="preserve">encypher.com</w:t>
            </w:r>
          </w:hyperlink>
        </w:p>
      </w:tc>
      <w:tc>
        <w:tcPr>
          <w:tcW w:type="dxa" w:w="1872"/>
        </w:tcPr>
        <w:p>
          <w:pPr>
            <w:spacing w:before="40" w:after="0"/>
            <w:jc w:val="right"/>
          </w:pPr>
          <w:r>
            <w:rPr>
              <w:rFonts w:ascii="Roboto" w:hAnsi="Roboto"/>
              <w:color w:val="333333"/>
              <w:sz w:val="14"/>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left"/>
    </w:pPr>
    <w:r>
      <w:drawing>
        <wp:inline xmlns:a="http://schemas.openxmlformats.org/drawingml/2006/main" xmlns:pic="http://schemas.openxmlformats.org/drawingml/2006/picture">
          <wp:extent cx="1280160" cy="227663"/>
          <wp:docPr id="1" name="Picture 1"/>
          <wp:cNvGraphicFramePr>
            <a:graphicFrameLocks noChangeAspect="1"/>
          </wp:cNvGraphicFramePr>
          <a:graphic>
            <a:graphicData uri="http://schemas.openxmlformats.org/drawingml/2006/picture">
              <pic:pic>
                <pic:nvPicPr>
                  <pic:cNvPr id="0" name="encypher_full_nobg.png"/>
                  <pic:cNvPicPr/>
                </pic:nvPicPr>
                <pic:blipFill>
                  <a:blip r:embed="rId1"/>
                  <a:stretch>
                    <a:fillRect/>
                  </a:stretch>
                </pic:blipFill>
                <pic:spPr>
                  <a:xfrm>
                    <a:off x="0" y="0"/>
                    <a:ext cx="1280160" cy="227663"/>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erik.svilich@encypher.com" TargetMode="External"/><Relationship Id="rId2" Type="http://schemas.openxmlformats.org/officeDocument/2006/relationships/hyperlink" Target="https://encypher.com/?utm_source=report&amp;utm_medium=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