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700"/>
      </w:pPr>
    </w:p>
    <w:p>
      <w:pPr>
        <w:spacing w:after="100"/>
      </w:pPr>
      <w:r>
        <w:rPr>
          <w:rFonts w:ascii="Calibri" w:cs="Calibri" w:eastAsia="Calibri" w:hAnsi="Calibri"/>
          <w:b/>
          <w:bCs/>
          <w:color w:val="1A1A1A"/>
          <w:sz w:val="52"/>
          <w:szCs w:val="52"/>
        </w:rPr>
        <w:t xml:space="preserve">L'ARCHITECTURE</w:t>
      </w:r>
    </w:p>
    <w:p>
      <w:pPr>
        <w:pBdr>
          <w:bottom w:val="single" w:color="0E6E63" w:sz="12"/>
        </w:pBdr>
        <w:spacing w:after="320"/>
      </w:pPr>
      <w:r>
        <w:rPr>
          <w:rFonts w:ascii="Calibri" w:cs="Calibri" w:eastAsia="Calibri" w:hAnsi="Calibri"/>
          <w:color w:val="0E6E63"/>
          <w:sz w:val="27"/>
          <w:szCs w:val="27"/>
        </w:rPr>
        <w:t xml:space="preserve">Le circuit du relais, écran par écran et état par état</w:t>
      </w:r>
    </w:p>
    <w:p>
      <w:pPr>
        <w:spacing w:after="40" w:line="276"/>
      </w:pPr>
      <w:r>
        <w:rPr>
          <w:rFonts w:ascii="Calibri" w:cs="Calibri" w:eastAsia="Calibri" w:hAnsi="Calibri"/>
          <w:color w:val="5A5A5A"/>
          <w:sz w:val="24"/>
          <w:szCs w:val="24"/>
        </w:rPr>
        <w:t xml:space="preserve">Ce qu'il faut construire pour que le mécanisme</w:t>
      </w:r>
    </w:p>
    <w:p>
      <w:pPr>
        <w:spacing w:after="460" w:line="276"/>
      </w:pPr>
      <w:r>
        <w:rPr>
          <w:rFonts w:ascii="Calibri" w:cs="Calibri" w:eastAsia="Calibri" w:hAnsi="Calibri"/>
          <w:color w:val="5A5A5A"/>
          <w:sz w:val="24"/>
          <w:szCs w:val="24"/>
        </w:rPr>
        <w:t xml:space="preserve">des quatre premiers documents fonctionne réellement.</w:t>
      </w:r>
    </w:p>
    <w:p>
      <w:pPr>
        <w:spacing w:after="60" w:line="276"/>
      </w:pPr>
      <w:r>
        <w:rPr>
          <w:rFonts w:ascii="Calibri" w:cs="Calibri" w:eastAsia="Calibri" w:hAnsi="Calibri"/>
          <w:color w:val="5A5A5A"/>
          <w:sz w:val="19"/>
          <w:szCs w:val="19"/>
        </w:rPr>
        <w:t xml:space="preserve">Buyticle · Douala · document 5</w:t>
      </w:r>
    </w:p>
    <w:p>
      <w:pPr>
        <w:spacing w:after="120" w:line="276"/>
      </w:pPr>
      <w:r>
        <w:rPr>
          <w:rFonts w:ascii="Calibri" w:cs="Calibri" w:eastAsia="Calibri" w:hAnsi="Calibri"/>
          <w:color w:val="5A5A5A"/>
          <w:sz w:val="18"/>
          <w:szCs w:val="18"/>
        </w:rPr>
        <w:t xml:space="preserve">Spécification. Se lit par l'équipe technique et par l'équipe terrain.</w:t>
      </w:r>
    </w:p>
    <w:p>
      <w:r>
        <w:br w:type="page"/>
      </w:r>
    </w:p>
    <w:p>
      <w:pPr>
        <w:pStyle w:val="Heading1"/>
        <w:spacing w:after="160" w:before="360"/>
      </w:pPr>
      <w:r>
        <w:rPr>
          <w:rFonts w:ascii="Calibri" w:cs="Calibri" w:eastAsia="Calibri" w:hAnsi="Calibri"/>
          <w:b/>
          <w:bCs/>
          <w:color w:val="1A1A1A"/>
          <w:sz w:val="30"/>
          <w:szCs w:val="30"/>
        </w:rPr>
        <w:t xml:space="preserve">1. Les acteurs</w:t>
      </w:r>
    </w:p>
    <w:p>
      <w:pPr>
        <w:spacing w:after="120" w:line="276"/>
      </w:pPr>
      <w:r>
        <w:rPr>
          <w:rFonts w:ascii="Calibri" w:cs="Calibri" w:eastAsia="Calibri" w:hAnsi="Calibri"/>
          <w:color w:val="1A1A1A"/>
          <w:sz w:val="21"/>
          <w:szCs w:val="21"/>
        </w:rPr>
        <w:t xml:space="preserve">Jusqu'ici la plateforme n'avait qu'un type de commerçant. Il en faut deux, et la différence n'est pas cosmétique : elle produit un second type de relais.</w:t>
      </w:r>
    </w:p>
    <w:p>
      <w:pPr>
        <w:spacing w:after="60"/>
      </w:pPr>
    </w:p>
    <w:tbl>
      <w:tblPr>
        <w:tblW w:type="dxa" w:w="9000"/>
        <w:tblBorders>
          <w:top w:val="single" w:color="C9CDD2" w:sz="4"/>
          <w:left w:val="none"/>
          <w:bottom w:val="single" w:color="C9CDD2" w:sz="4"/>
          <w:right w:val="none"/>
          <w:insideH w:val="single" w:color="E4E7EA" w:sz="2"/>
          <w:insideV w:val="none"/>
        </w:tblBorders>
      </w:tblPr>
      <w:tblGrid>
        <w:gridCol w:w="2100"/>
        <w:gridCol w:w="3400"/>
        <w:gridCol w:w="3500"/>
      </w:tblGrid>
      <w:tr>
        <w:trPr>
          <w:tblHeader/>
        </w:trPr>
        <w:tc>
          <w:tcPr>
            <w:tcW w:type="dxa" w:w="21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
            </w:r>
          </w:p>
        </w:tc>
        <w:tc>
          <w:tcPr>
            <w:tcW w:type="dxa" w:w="34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Commerçant de produits</w:t>
            </w:r>
          </w:p>
        </w:tc>
        <w:tc>
          <w:tcPr>
            <w:tcW w:type="dxa" w:w="35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Commerçant de services</w:t>
            </w:r>
          </w:p>
        </w:tc>
      </w:tr>
      <w:tr>
        <w:tc>
          <w:tcPr>
            <w:tcW w:type="dxa" w:w="21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Ce qu'il vend</w:t>
            </w:r>
          </w:p>
        </w:tc>
        <w:tc>
          <w:tcPr>
            <w:tcW w:type="dxa" w:w="34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des articles en stock</w:t>
            </w:r>
          </w:p>
        </w:tc>
        <w:tc>
          <w:tcPr>
            <w:tcW w:type="dxa" w:w="35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une prestation — coiffure, pose, retouche, réparation, garage</w:t>
            </w:r>
          </w:p>
        </w:tc>
      </w:tr>
      <w:tr>
        <w:tc>
          <w:tcPr>
            <w:tcW w:type="dxa" w:w="21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Sa disponibilité</w:t>
            </w:r>
          </w:p>
        </w:tc>
        <w:tc>
          <w:tcPr>
            <w:tcW w:type="dxa" w:w="34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l'article est là ou il n'est pas là</w:t>
            </w:r>
          </w:p>
        </w:tc>
        <w:tc>
          <w:tcPr>
            <w:tcW w:type="dxa" w:w="35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un créneau, pas une référence</w:t>
            </w:r>
          </w:p>
        </w:tc>
      </w:tr>
      <w:tr>
        <w:tc>
          <w:tcPr>
            <w:tcW w:type="dxa" w:w="21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Son rôle dominant</w:t>
            </w:r>
          </w:p>
        </w:tc>
        <w:tc>
          <w:tcPr>
            <w:tcW w:type="dxa" w:w="34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il émet et il reçoit</w:t>
            </w:r>
          </w:p>
        </w:tc>
        <w:tc>
          <w:tcPr>
            <w:tcW w:type="dxa" w:w="35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il émet beaucoup, il ne reçoit pas de clients relayés</w:t>
            </w:r>
          </w:p>
        </w:tc>
      </w:tr>
      <w:tr>
        <w:tc>
          <w:tcPr>
            <w:tcW w:type="dxa" w:w="21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Ce qu'il déclenche</w:t>
            </w:r>
          </w:p>
        </w:tc>
        <w:tc>
          <w:tcPr>
            <w:tcW w:type="dxa" w:w="34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le relais classique : le client marche</w:t>
            </w:r>
          </w:p>
        </w:tc>
        <w:tc>
          <w:tcPr>
            <w:tcW w:type="dxa" w:w="35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le relais livré : l'article vient au client</w:t>
            </w:r>
          </w:p>
        </w:tc>
      </w:tr>
      <w:tr>
        <w:tc>
          <w:tcPr>
            <w:tcW w:type="dxa" w:w="21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Pourquoi il est précieux</w:t>
            </w:r>
          </w:p>
        </w:tc>
        <w:tc>
          <w:tcPr>
            <w:tcW w:type="dxa" w:w="34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il fait le chiffre</w:t>
            </w:r>
          </w:p>
        </w:tc>
        <w:tc>
          <w:tcPr>
            <w:tcW w:type="dxa" w:w="35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son client est immobilisé — c'est le meilleur émetteur du rayon</w:t>
            </w:r>
          </w:p>
        </w:tc>
      </w:tr>
    </w:tbl>
    <w:p>
      <w:pPr>
        <w:spacing w:after="140"/>
      </w:pPr>
    </w:p>
    <w:p>
      <w:pPr>
        <w:spacing w:after="120" w:line="276"/>
      </w:pPr>
      <w:r>
        <w:rPr>
          <w:rFonts w:ascii="Calibri" w:cs="Calibri" w:eastAsia="Calibri" w:hAnsi="Calibri"/>
          <w:b/>
          <w:bCs/>
          <w:color w:val="1A1A1A"/>
          <w:sz w:val="21"/>
          <w:szCs w:val="21"/>
        </w:rPr>
        <w:t xml:space="preserve">Le commerçant de services est déjà dans les rayons du document 1 sous le nom de sous-rayon de service : le salon, le couturier, le réparateur de téléphones, le garage. On ne l'ajoute pas, on lui donne enfin le parcours qui correspond à son métier.</w:t>
      </w:r>
    </w:p>
    <w:p>
      <w:r>
        <w:br w:type="page"/>
      </w:r>
    </w:p>
    <w:p>
      <w:pPr>
        <w:pStyle w:val="Heading1"/>
        <w:spacing w:after="160" w:before="360"/>
      </w:pPr>
      <w:r>
        <w:rPr>
          <w:rFonts w:ascii="Calibri" w:cs="Calibri" w:eastAsia="Calibri" w:hAnsi="Calibri"/>
          <w:b/>
          <w:bCs/>
          <w:color w:val="1A1A1A"/>
          <w:sz w:val="30"/>
          <w:szCs w:val="30"/>
        </w:rPr>
        <w:t xml:space="preserve">2. Le catalogue et l'appel</w:t>
      </w:r>
    </w:p>
    <w:p>
      <w:pPr>
        <w:spacing w:after="120" w:line="276"/>
      </w:pPr>
      <w:r>
        <w:rPr>
          <w:rFonts w:ascii="Calibri" w:cs="Calibri" w:eastAsia="Calibri" w:hAnsi="Calibri"/>
          <w:color w:val="1A1A1A"/>
          <w:sz w:val="21"/>
          <w:szCs w:val="21"/>
        </w:rPr>
        <w:t xml:space="preserve">Deux choses différentes, souvent confondues, et le circuit ne marche que si elles restent séparées.</w:t>
      </w:r>
    </w:p>
    <w:p>
      <w:pPr>
        <w:spacing w:after="60"/>
      </w:pPr>
    </w:p>
    <w:tbl>
      <w:tblPr>
        <w:tblW w:type="dxa" w:w="9000"/>
        <w:tblBorders>
          <w:top w:val="single" w:color="C9CDD2" w:sz="4"/>
          <w:left w:val="none"/>
          <w:bottom w:val="single" w:color="C9CDD2" w:sz="4"/>
          <w:right w:val="none"/>
          <w:insideH w:val="single" w:color="E4E7EA" w:sz="2"/>
          <w:insideV w:val="none"/>
        </w:tblBorders>
      </w:tblPr>
      <w:tblGrid>
        <w:gridCol w:w="2400"/>
        <w:gridCol w:w="3600"/>
        <w:gridCol w:w="3000"/>
      </w:tblGrid>
      <w:tr>
        <w:trPr>
          <w:tblHeader/>
        </w:trPr>
        <w:tc>
          <w:tcPr>
            <w:tcW w:type="dxa" w:w="24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
            </w:r>
          </w:p>
        </w:tc>
        <w:tc>
          <w:tcPr>
            <w:tcW w:type="dxa" w:w="36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Ce que ça dit</w:t>
            </w:r>
          </w:p>
        </w:tc>
        <w:tc>
          <w:tcPr>
            <w:tcW w:type="dxa" w:w="30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Ce que ça ne dit pas</w:t>
            </w:r>
          </w:p>
        </w:tc>
      </w:tr>
      <w:tr>
        <w:tc>
          <w:tcPr>
            <w:tcW w:type="dxa" w:w="24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Le catalogue du rayon</w:t>
            </w:r>
          </w:p>
        </w:tc>
        <w:tc>
          <w:tcPr>
            <w:tcW w:type="dxa" w:w="36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qui a déjà référencé cet article, et à quel prix net</w:t>
            </w:r>
          </w:p>
        </w:tc>
        <w:tc>
          <w:tcPr>
            <w:tcW w:type="dxa" w:w="3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s'il l'a maintenant</w:t>
            </w:r>
          </w:p>
        </w:tc>
      </w:tr>
      <w:tr>
        <w:tc>
          <w:tcPr>
            <w:tcW w:type="dxa" w:w="24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L'appel à disponibilité</w:t>
            </w:r>
          </w:p>
        </w:tc>
        <w:tc>
          <w:tcPr>
            <w:tcW w:type="dxa" w:w="36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qui l'a en rayon, à l'instant, et qui accepte le client</w:t>
            </w:r>
          </w:p>
        </w:tc>
        <w:tc>
          <w:tcPr>
            <w:tcW w:type="dxa" w:w="30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rien d'autre</w:t>
            </w:r>
          </w:p>
        </w:tc>
      </w:tr>
    </w:tbl>
    <w:p>
      <w:pPr>
        <w:spacing w:after="140"/>
      </w:pPr>
    </w:p>
    <w:tbl>
      <w:tblPr>
        <w:tblW w:type="dxa" w:w="9000"/>
        <w:tblBorders>
          <w:top w:val="single" w:color="0E6E63" w:sz="2"/>
          <w:left w:val="single" w:color="0E6E63" w:sz="18"/>
          <w:bottom w:val="single" w:color="0E6E63" w:sz="2"/>
          <w:right w:val="single" w:color="0E6E63" w:sz="2"/>
          <w:insideH w:val="none"/>
          <w:insideV w:val="none"/>
        </w:tblBorders>
      </w:tblPr>
      <w:tblGrid>
        <w:gridCol w:w="9000"/>
      </w:tblGrid>
      <w:tr>
        <w:tc>
          <w:tcPr>
            <w:tcW w:type="dxa" w:w="9000"/>
            <w:shd w:fill="EEF5F4" w:val="clear"/>
            <w:tcMar>
              <w:top w:type="dxa" w:w="160"/>
              <w:left w:type="dxa" w:w="220"/>
              <w:bottom w:type="dxa" w:w="160"/>
              <w:right w:type="dxa" w:w="220"/>
            </w:tcMar>
          </w:tcPr>
          <w:p>
            <w:pPr>
              <w:spacing w:after="70" w:line="276"/>
            </w:pPr>
            <w:r>
              <w:rPr>
                <w:rFonts w:ascii="Calibri" w:cs="Calibri" w:eastAsia="Calibri" w:hAnsi="Calibri"/>
                <w:b/>
                <w:bCs/>
                <w:color w:val="1A1A1A"/>
                <w:sz w:val="23"/>
                <w:szCs w:val="23"/>
              </w:rPr>
              <w:t xml:space="preserve">Le catalogue ne remplace jamais l'appel. Il le rend instantané.</w:t>
            </w:r>
          </w:p>
          <w:p>
            <w:pPr>
              <w:spacing w:after="70" w:line="276"/>
            </w:pPr>
            <w:r>
              <w:rPr>
                <w:rFonts w:ascii="Calibri" w:cs="Calibri" w:eastAsia="Calibri" w:hAnsi="Calibri"/>
                <w:color w:val="1A1A1A"/>
                <w:sz w:val="21"/>
                <w:szCs w:val="21"/>
              </w:rPr>
              <w:t xml:space="preserve">Quand l'article est déjà référencé, le commerçant ne reçoit pas une question ouverte à laquelle il doit réfléchir : il reçoit une fiche qu'il reconnaît, avec sa photo et son prix net, et deux boutons. Oui, je l'ai. Non, plus en stock.</w:t>
            </w:r>
          </w:p>
        </w:tc>
      </w:tr>
    </w:tbl>
    <w:p>
      <w:pPr>
        <w:spacing w:after="140"/>
      </w:pPr>
    </w:p>
    <w:p>
      <w:pPr>
        <w:spacing w:after="120" w:line="276"/>
      </w:pPr>
      <w:r>
        <w:rPr>
          <w:rFonts w:ascii="Calibri" w:cs="Calibri" w:eastAsia="Calibri" w:hAnsi="Calibri"/>
          <w:color w:val="1A1A1A"/>
          <w:sz w:val="21"/>
          <w:szCs w:val="21"/>
        </w:rPr>
        <w:t xml:space="preserve">C'est la différence entre « quelqu'un a une botte homme 45 ? » — qui l'oblige à fouiller sa mémoire, à retrouver de quel modèle on parle, à aller voir — et « tu as encore ça ? » avec l'image sous les yeux. Le premier prend une minute, le second prend deux secondes.</w:t>
      </w:r>
    </w:p>
    <w:p>
      <w:pPr>
        <w:spacing w:after="120" w:line="276"/>
      </w:pPr>
      <w:r>
        <w:rPr>
          <w:rFonts w:ascii="Calibri" w:cs="Calibri" w:eastAsia="Calibri" w:hAnsi="Calibri"/>
          <w:b/>
          <w:bCs/>
          <w:color w:val="1A1A1A"/>
          <w:sz w:val="21"/>
          <w:szCs w:val="21"/>
        </w:rPr>
        <w:t xml:space="preserve">La conséquence dépasse le confort. Le taux de réponse en trente secondes est le paramètre qui décide de la couverture du rayon — c'est écrit au chapitre 7 de la stratégie, et c'est le seul levier plus puissant que le nombre de boutiques. Un appel fermé le fait monter directement.</w:t>
      </w:r>
    </w:p>
    <w:p>
      <w:pPr>
        <w:spacing w:after="160"/>
      </w:pPr>
    </w:p>
    <w:p>
      <w:pPr>
        <w:pStyle w:val="Heading2"/>
        <w:spacing w:after="120" w:before="260"/>
      </w:pPr>
      <w:r>
        <w:rPr>
          <w:rFonts w:ascii="Calibri" w:cs="Calibri" w:eastAsia="Calibri" w:hAnsi="Calibri"/>
          <w:b/>
          <w:bCs/>
          <w:color w:val="0E6E63"/>
          <w:sz w:val="24"/>
          <w:szCs w:val="24"/>
        </w:rPr>
        <w:t xml:space="preserve">Les trois cas d'une recherche</w:t>
      </w:r>
    </w:p>
    <w:tbl>
      <w:tblPr>
        <w:tblW w:type="dxa" w:w="9000"/>
        <w:tblBorders>
          <w:top w:val="single" w:color="C9CDD2" w:sz="4"/>
          <w:left w:val="none"/>
          <w:bottom w:val="single" w:color="C9CDD2" w:sz="4"/>
          <w:right w:val="none"/>
          <w:insideH w:val="single" w:color="E4E7EA" w:sz="2"/>
          <w:insideV w:val="none"/>
        </w:tblBorders>
      </w:tblPr>
      <w:tblGrid>
        <w:gridCol w:w="2500"/>
        <w:gridCol w:w="4200"/>
        <w:gridCol w:w="2300"/>
      </w:tblGrid>
      <w:tr>
        <w:trPr>
          <w:tblHeader/>
        </w:trPr>
        <w:tc>
          <w:tcPr>
            <w:tcW w:type="dxa" w:w="25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Le cas</w:t>
            </w:r>
          </w:p>
        </w:tc>
        <w:tc>
          <w:tcPr>
            <w:tcW w:type="dxa" w:w="42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Ce que fait l'application</w:t>
            </w:r>
          </w:p>
        </w:tc>
        <w:tc>
          <w:tcPr>
            <w:tcW w:type="dxa" w:w="23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Ce que ça produit</w:t>
            </w:r>
          </w:p>
        </w:tc>
      </w:tr>
      <w:tr>
        <w:tc>
          <w:tcPr>
            <w:tcW w:type="dxa" w:w="25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 · L'article est au catalogue du rayon</w:t>
            </w:r>
          </w:p>
        </w:tc>
        <w:tc>
          <w:tcPr>
            <w:tcW w:type="dxa" w:w="42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l'appel part vers les seules boutiques qui l'ont référencé, sous forme fermée : la fiche, le prix net, oui ou non</w:t>
            </w:r>
          </w:p>
        </w:tc>
        <w:tc>
          <w:tcPr>
            <w:tcW w:type="dxa" w:w="23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réponse en deux secondes, taux de réponse maximal</w:t>
            </w:r>
          </w:p>
        </w:tc>
      </w:tr>
      <w:tr>
        <w:tc>
          <w:tcPr>
            <w:tcW w:type="dxa" w:w="25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B · L'article n'y est pas, la famille y est</w:t>
            </w:r>
          </w:p>
        </w:tc>
        <w:tc>
          <w:tcPr>
            <w:tcW w:type="dxa" w:w="42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l'appel part vers tous les porteurs de la famille, sous forme ouverte : usage, taille, budget. Celui qui répond oui saisit l'article et son prix net</w:t>
            </w:r>
          </w:p>
        </w:tc>
        <w:tc>
          <w:tcPr>
            <w:tcW w:type="dxa" w:w="23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le catalogue se construit — c'est le moteur de croissance du catalogue</w:t>
            </w:r>
          </w:p>
        </w:tc>
      </w:tr>
      <w:tr>
        <w:tc>
          <w:tcPr>
            <w:tcW w:type="dxa" w:w="25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 · Ni l'article ni la famille</w:t>
            </w:r>
          </w:p>
        </w:tc>
        <w:tc>
          <w:tcPr>
            <w:tcW w:type="dxa" w:w="42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aucun appel. La demande entre au journal des demandes non servies</w:t>
            </w:r>
          </w:p>
        </w:tc>
        <w:tc>
          <w:tcPr>
            <w:tcW w:type="dxa" w:w="23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elle dira quelle boutique recruter ensuite</w:t>
            </w:r>
          </w:p>
        </w:tc>
      </w:tr>
    </w:tbl>
    <w:p>
      <w:pPr>
        <w:spacing w:after="140"/>
      </w:pPr>
    </w:p>
    <w:p>
      <w:pPr>
        <w:spacing w:after="120" w:line="276"/>
      </w:pPr>
      <w:r>
        <w:rPr>
          <w:rFonts w:ascii="Calibri" w:cs="Calibri" w:eastAsia="Calibri" w:hAnsi="Calibri"/>
          <w:b/>
          <w:bCs/>
          <w:color w:val="1A1A1A"/>
          <w:sz w:val="21"/>
          <w:szCs w:val="21"/>
        </w:rPr>
        <w:t xml:space="preserve">Le cas B est celui qu'il ne faut pas traiter comme un échec. C'est lui qui remplit la plateforme : on ne demande à personne de saisir son stock, on lui demande de répondre à un client qui attend, et il saisit en répondant. Le catalogue est le résidu du service.</w:t>
      </w:r>
    </w:p>
    <w:p>
      <w:pPr>
        <w:spacing w:after="120"/>
      </w:pPr>
    </w:p>
    <w:p>
      <w:pPr>
        <w:spacing w:after="120" w:line="276"/>
      </w:pPr>
      <w:r>
        <w:rPr>
          <w:rFonts w:ascii="Calibri" w:cs="Calibri" w:eastAsia="Calibri" w:hAnsi="Calibri"/>
          <w:b/>
          <w:bCs/>
          <w:color w:val="9A3324"/>
          <w:sz w:val="21"/>
          <w:szCs w:val="21"/>
        </w:rPr>
        <w:t xml:space="preserve">Une règle qui ne souffre aucune exception : le catalogue n'autorise jamais à envoyer un client. Seule une réponse à l'appel le fait. Un client envoyé sur la foi d'une fiche périmée est un relais raté, et un commerçant qui se plante deux fois n'utilise plus jamais le mécanisme.</w:t>
      </w:r>
    </w:p>
    <w:p>
      <w:r>
        <w:br w:type="page"/>
      </w:r>
    </w:p>
    <w:p>
      <w:pPr>
        <w:pStyle w:val="Heading1"/>
        <w:spacing w:after="160" w:before="360"/>
      </w:pPr>
      <w:r>
        <w:rPr>
          <w:rFonts w:ascii="Calibri" w:cs="Calibri" w:eastAsia="Calibri" w:hAnsi="Calibri"/>
          <w:b/>
          <w:bCs/>
          <w:color w:val="1A1A1A"/>
          <w:sz w:val="30"/>
          <w:szCs w:val="30"/>
        </w:rPr>
        <w:t xml:space="preserve">3. Le parcours du vendeur, écran par écran</w:t>
      </w:r>
    </w:p>
    <w:p>
      <w:pPr>
        <w:spacing w:after="120" w:line="276"/>
      </w:pPr>
      <w:r>
        <w:rPr>
          <w:rFonts w:ascii="Calibri" w:cs="Calibri" w:eastAsia="Calibri" w:hAnsi="Calibri"/>
          <w:color w:val="1A1A1A"/>
          <w:sz w:val="21"/>
          <w:szCs w:val="21"/>
        </w:rPr>
        <w:t xml:space="preserve">Le client est debout devant lui. Tout ce qui suit se fait à une main, sur un téléphone, en moins de deux minutes.</w:t>
      </w:r>
    </w:p>
    <w:p>
      <w:pPr>
        <w:spacing w:after="80"/>
      </w:pPr>
    </w:p>
    <w:tbl>
      <w:tblPr>
        <w:tblW w:type="dxa" w:w="9000"/>
        <w:tblBorders>
          <w:top w:val="single" w:color="C9CDD2" w:sz="4"/>
          <w:left w:val="none"/>
          <w:bottom w:val="single" w:color="C9CDD2" w:sz="4"/>
          <w:right w:val="none"/>
          <w:insideH w:val="single" w:color="E4E7EA" w:sz="2"/>
          <w:insideV w:val="none"/>
        </w:tblBorders>
      </w:tblPr>
      <w:tblGrid>
        <w:gridCol w:w="2000"/>
        <w:gridCol w:w="3800"/>
        <w:gridCol w:w="3200"/>
      </w:tblGrid>
      <w:tr>
        <w:trPr>
          <w:tblHeader/>
        </w:trPr>
        <w:tc>
          <w:tcPr>
            <w:tcW w:type="dxa" w:w="20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Écran</w:t>
            </w:r>
          </w:p>
        </w:tc>
        <w:tc>
          <w:tcPr>
            <w:tcW w:type="dxa" w:w="38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Ce qu'il montre</w:t>
            </w:r>
          </w:p>
        </w:tc>
        <w:tc>
          <w:tcPr>
            <w:tcW w:type="dxa" w:w="32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Ce qui se passe</w:t>
            </w:r>
          </w:p>
        </w:tc>
      </w:tr>
      <w:tr>
        <w:tc>
          <w:tcPr>
            <w:tcW w:type="dxa" w:w="20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① Recherche</w:t>
            </w:r>
          </w:p>
        </w:tc>
        <w:tc>
          <w:tcPr>
            <w:tcW w:type="dxa" w:w="38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un champ, et les familles du rayon en raccourci. Il tape « timberland 45 » ou il choisit « botte homme » puis la pointure</w:t>
            </w:r>
          </w:p>
        </w:tc>
        <w:tc>
          <w:tcPr>
            <w:tcW w:type="dxa" w:w="32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l'application décide seule entre les cas A, B et C</w:t>
            </w:r>
          </w:p>
        </w:tc>
      </w:tr>
      <w:tr>
        <w:tc>
          <w:tcPr>
            <w:tcW w:type="dxa" w:w="20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② Ce que j'ai</w:t>
            </w:r>
          </w:p>
        </w:tc>
        <w:tc>
          <w:tcPr>
            <w:tcW w:type="dxa" w:w="38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d'abord son propre stock référencé, avant celui des autres</w:t>
            </w:r>
          </w:p>
        </w:tc>
        <w:tc>
          <w:tcPr>
            <w:tcW w:type="dxa" w:w="32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il vend chez lui si c'est possible — le relais est un dernier recours, pas un réflexe</w:t>
            </w:r>
          </w:p>
        </w:tc>
      </w:tr>
      <w:tr>
        <w:tc>
          <w:tcPr>
            <w:tcW w:type="dxa" w:w="20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③ Appel</w:t>
            </w:r>
          </w:p>
        </w:tc>
        <w:tc>
          <w:tcPr>
            <w:tcW w:type="dxa" w:w="38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un compte à rebours de 30 secondes, et les boutiques qui répondent à mesure</w:t>
            </w:r>
          </w:p>
        </w:tc>
        <w:tc>
          <w:tcPr>
            <w:tcW w:type="dxa" w:w="32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il ne choisit pas qui il interroge, l'application cible</w:t>
            </w:r>
          </w:p>
        </w:tc>
      </w:tr>
      <w:tr>
        <w:tc>
          <w:tcPr>
            <w:tcW w:type="dxa" w:w="20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④ Propositions</w:t>
            </w:r>
          </w:p>
        </w:tc>
        <w:tc>
          <w:tcPr>
            <w:tcW w:type="dxa" w:w="38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deux ou trois boutiques, classées, avec le prix net, la distance et le motif du classement</w:t>
            </w:r>
          </w:p>
        </w:tc>
        <w:tc>
          <w:tcPr>
            <w:tcW w:type="dxa" w:w="32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la première est celle qui a le plus donné au rayon</w:t>
            </w:r>
          </w:p>
        </w:tc>
      </w:tr>
      <w:tr>
        <w:tc>
          <w:tcPr>
            <w:tcW w:type="dxa" w:w="20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⑤ Identification</w:t>
            </w:r>
          </w:p>
        </w:tc>
        <w:tc>
          <w:tcPr>
            <w:tcW w:type="dxa" w:w="38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 demande au client de scanner l'affiche sur ton comptoir »</w:t>
            </w:r>
          </w:p>
        </w:tc>
        <w:tc>
          <w:tcPr>
            <w:tcW w:type="dxa" w:w="32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c'est seulement ici qu'on demande quelque chose au client</w:t>
            </w:r>
          </w:p>
        </w:tc>
      </w:tr>
      <w:tr>
        <w:tc>
          <w:tcPr>
            <w:tcW w:type="dxa" w:w="20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⑥ Type de relais</w:t>
            </w:r>
          </w:p>
        </w:tc>
        <w:tc>
          <w:tcPr>
            <w:tcW w:type="dxa" w:w="38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le client marche · l'article est livré ici</w:t>
            </w:r>
          </w:p>
        </w:tc>
        <w:tc>
          <w:tcPr>
            <w:tcW w:type="dxa" w:w="32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n'apparaît que pour un commerçant de services</w:t>
            </w:r>
          </w:p>
        </w:tc>
      </w:tr>
      <w:tr>
        <w:tc>
          <w:tcPr>
            <w:tcW w:type="dxa" w:w="20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⑦ Confirmé</w:t>
            </w:r>
          </w:p>
        </w:tc>
        <w:tc>
          <w:tcPr>
            <w:tcW w:type="dxa" w:w="38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le montant du bon réservé, et le nom de la boutique</w:t>
            </w:r>
          </w:p>
        </w:tc>
        <w:tc>
          <w:tcPr>
            <w:tcW w:type="dxa" w:w="32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il retourne à son comptoir, il a fini</w:t>
            </w:r>
          </w:p>
        </w:tc>
      </w:tr>
    </w:tbl>
    <w:p>
      <w:pPr>
        <w:spacing w:after="140"/>
      </w:pPr>
    </w:p>
    <w:p>
      <w:pPr>
        <w:pStyle w:val="Heading2"/>
        <w:spacing w:after="120" w:before="260"/>
      </w:pPr>
      <w:r>
        <w:rPr>
          <w:rFonts w:ascii="Calibri" w:cs="Calibri" w:eastAsia="Calibri" w:hAnsi="Calibri"/>
          <w:b/>
          <w:bCs/>
          <w:color w:val="0E6E63"/>
          <w:sz w:val="24"/>
          <w:szCs w:val="24"/>
        </w:rPr>
        <w:t xml:space="preserve">Deux points d'ordre qui ne se déplacent pas</w:t>
      </w:r>
    </w:p>
    <w:p>
      <w:pPr>
        <w:pStyle w:val="ListParagraph"/>
        <w:numPr>
          <w:ilvl w:val="0"/>
          <w:numId w:val="2"/>
        </w:numPr>
        <w:spacing w:after="80" w:line="276"/>
      </w:pPr>
      <w:r>
        <w:rPr>
          <w:rFonts w:ascii="Calibri" w:cs="Calibri" w:eastAsia="Calibri" w:hAnsi="Calibri"/>
          <w:color w:val="1A1A1A"/>
          <w:sz w:val="21"/>
          <w:szCs w:val="21"/>
        </w:rPr>
        <w:t xml:space="preserve">Son propre stock passe avant celui des autres. Le chapitre 2 de la stratégie repose là-dessus : il récupère les deux tiers des ruptures par sa propre substitution, et c'est son métier. Une application qui propose le voisin en premier lui prend des ventes et il la désinstalle.</w:t>
      </w:r>
    </w:p>
    <w:p>
      <w:pPr>
        <w:pStyle w:val="ListParagraph"/>
        <w:numPr>
          <w:ilvl w:val="0"/>
          <w:numId w:val="2"/>
        </w:numPr>
        <w:spacing w:after="80" w:line="276"/>
      </w:pPr>
      <w:r>
        <w:rPr>
          <w:rFonts w:ascii="Calibri" w:cs="Calibri" w:eastAsia="Calibri" w:hAnsi="Calibri"/>
          <w:color w:val="1A1A1A"/>
          <w:sz w:val="21"/>
          <w:szCs w:val="21"/>
        </w:rPr>
        <w:t xml:space="preserve">Le client n'est sollicité qu'à l'écran ⑤, quand on a déjà quelque chose à lui donner. Lui demander de créer un compte avant de savoir si une boutique a l'article, c'est lui demander un effort pour rien une fois sur dix.</w:t>
      </w:r>
    </w:p>
    <w:p>
      <w:pPr>
        <w:spacing w:after="140"/>
      </w:pPr>
    </w:p>
    <w:p>
      <w:pPr>
        <w:pStyle w:val="Heading2"/>
        <w:spacing w:after="120" w:before="260"/>
      </w:pPr>
      <w:r>
        <w:rPr>
          <w:rFonts w:ascii="Calibri" w:cs="Calibri" w:eastAsia="Calibri" w:hAnsi="Calibri"/>
          <w:b/>
          <w:bCs/>
          <w:color w:val="0E6E63"/>
          <w:sz w:val="24"/>
          <w:szCs w:val="24"/>
        </w:rPr>
        <w:t xml:space="preserve">L'arbitrage : ce que le vendeur peut et ne peut pas</w:t>
      </w:r>
    </w:p>
    <w:p>
      <w:pPr>
        <w:spacing w:after="120" w:line="276"/>
      </w:pPr>
      <w:r>
        <w:rPr>
          <w:rFonts w:ascii="Calibri" w:cs="Calibri" w:eastAsia="Calibri" w:hAnsi="Calibri"/>
          <w:color w:val="1A1A1A"/>
          <w:sz w:val="21"/>
          <w:szCs w:val="21"/>
        </w:rPr>
        <w:t xml:space="preserve">Il ne choisit pas la boutique. Il voit deux ou trois propositions classées par le compteur donné-reçu, et la première est celle qui a le plus donné au rayon.</w:t>
      </w:r>
    </w:p>
    <w:p>
      <w:pPr>
        <w:spacing w:after="120" w:line="276"/>
      </w:pPr>
      <w:r>
        <w:rPr>
          <w:rFonts w:ascii="Calibri" w:cs="Calibri" w:eastAsia="Calibri" w:hAnsi="Calibri"/>
          <w:b/>
          <w:bCs/>
          <w:color w:val="1A1A1A"/>
          <w:sz w:val="21"/>
          <w:szCs w:val="21"/>
        </w:rPr>
        <w:t xml:space="preserve">Il peut prendre la deuxième ou la troisième, et il doit alors dire pourquoi en un geste : trop loin, le client la connaît et n'en veut pas, autre. Ce motif est compté. Un vendeur dont 80 % des relais partent hors classement fait l'objet d'une visite, parce que c'est la signature du renvoi entre amis — celui qui vide le rayon.</w:t>
      </w:r>
    </w:p>
    <w:p>
      <w:pPr>
        <w:spacing w:after="140"/>
      </w:pPr>
    </w:p>
    <w:tbl>
      <w:tblPr>
        <w:tblW w:type="dxa" w:w="9000"/>
        <w:tblBorders>
          <w:top w:val="single" w:color="2C5282" w:sz="2"/>
          <w:left w:val="single" w:color="2C5282" w:sz="18"/>
          <w:bottom w:val="single" w:color="2C5282" w:sz="2"/>
          <w:right w:val="single" w:color="2C5282" w:sz="2"/>
          <w:insideH w:val="none"/>
          <w:insideV w:val="none"/>
        </w:tblBorders>
      </w:tblPr>
      <w:tblGrid>
        <w:gridCol w:w="9000"/>
      </w:tblGrid>
      <w:tr>
        <w:tc>
          <w:tcPr>
            <w:tcW w:type="dxa" w:w="9000"/>
            <w:shd w:fill="F2F6FA" w:val="clear"/>
            <w:tcMar>
              <w:top w:type="dxa" w:w="160"/>
              <w:left w:type="dxa" w:w="220"/>
              <w:bottom w:type="dxa" w:w="160"/>
              <w:right w:type="dxa" w:w="220"/>
            </w:tcMar>
          </w:tcPr>
          <w:p>
            <w:pPr>
              <w:spacing w:after="70" w:line="276"/>
              <w:jc w:val="center"/>
            </w:pPr>
            <w:r>
              <w:rPr>
                <w:rFonts w:ascii="Calibri" w:cs="Calibri" w:eastAsia="Calibri" w:hAnsi="Calibri"/>
                <w:b/>
                <w:bCs/>
                <w:color w:val="1A1A1A"/>
                <w:sz w:val="24"/>
                <w:szCs w:val="24"/>
              </w:rPr>
              <w:t xml:space="preserve">score  =  envoyés(30 j)  −  reçus(30 j)  −  5 × ruptures(30 j)</w:t>
            </w:r>
          </w:p>
          <w:p>
            <w:pPr>
              <w:spacing w:after="70" w:line="276"/>
              <w:jc w:val="center"/>
            </w:pPr>
            <w:r>
              <w:rPr>
                <w:rFonts w:ascii="Calibri" w:cs="Calibri" w:eastAsia="Calibri" w:hAnsi="Calibri"/>
                <w:color w:val="5A5A5A"/>
                <w:sz w:val="19"/>
                <w:szCs w:val="19"/>
              </w:rPr>
              <w:t xml:space="preserve">tri décroissant · départage : moins de reçus sur 7 jours, puis la plus proche</w:t>
            </w:r>
          </w:p>
          <w:p>
            <w:pPr>
              <w:spacing w:after="70" w:line="276"/>
              <w:jc w:val="center"/>
            </w:pPr>
            <w:r>
              <w:rPr>
                <w:rFonts w:ascii="Calibri" w:cs="Calibri" w:eastAsia="Calibri" w:hAnsi="Calibri"/>
                <w:color w:val="5A5A5A"/>
                <w:sz w:val="19"/>
                <w:szCs w:val="19"/>
              </w:rPr>
              <w:t xml:space="preserve">plancher : une boutique sous son minimum mensuel passe première · trois ruptures en 30 jours l'excluent 15 jours</w:t>
            </w:r>
          </w:p>
        </w:tc>
      </w:tr>
    </w:tbl>
    <w:p>
      <w:pPr>
        <w:spacing w:after="140"/>
      </w:pPr>
    </w:p>
    <w:p>
      <w:pPr>
        <w:spacing w:after="120" w:line="276"/>
      </w:pPr>
      <w:r>
        <w:rPr>
          <w:rFonts w:ascii="Calibri" w:cs="Calibri" w:eastAsia="Calibri" w:hAnsi="Calibri"/>
          <w:color w:val="1A1A1A"/>
          <w:sz w:val="21"/>
          <w:szCs w:val="21"/>
        </w:rPr>
        <w:t xml:space="preserve">La formule a été passée sur deux cents mois simulés du rayon de Mboppi, contre les deux règles qu'elle remplace.</w:t>
      </w:r>
    </w:p>
    <w:p>
      <w:pPr>
        <w:spacing w:after="60"/>
      </w:pPr>
    </w:p>
    <w:tbl>
      <w:tblPr>
        <w:tblW w:type="dxa" w:w="9000"/>
        <w:tblBorders>
          <w:top w:val="single" w:color="C9CDD2" w:sz="4"/>
          <w:left w:val="none"/>
          <w:bottom w:val="single" w:color="C9CDD2" w:sz="4"/>
          <w:right w:val="none"/>
          <w:insideH w:val="single" w:color="E4E7EA" w:sz="2"/>
          <w:insideV w:val="none"/>
        </w:tblBorders>
      </w:tblPr>
      <w:tblGrid>
        <w:gridCol w:w="3800"/>
        <w:gridCol w:w="1800"/>
        <w:gridCol w:w="2200"/>
        <w:gridCol w:w="1200"/>
      </w:tblGrid>
      <w:tr>
        <w:trPr>
          <w:tblHeader/>
        </w:trPr>
        <w:tc>
          <w:tcPr>
            <w:tcW w:type="dxa" w:w="38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La règle d'attribution</w:t>
            </w:r>
          </w:p>
        </w:tc>
        <w:tc>
          <w:tcPr>
            <w:tcW w:type="dxa" w:w="18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Part de la n° 1</w:t>
            </w:r>
          </w:p>
        </w:tc>
        <w:tc>
          <w:tcPr>
            <w:tcW w:type="dxa" w:w="22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Boutiques sous 5 clients</w:t>
            </w:r>
          </w:p>
        </w:tc>
        <w:tc>
          <w:tcPr>
            <w:tcW w:type="dxa" w:w="12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Gini</w:t>
            </w:r>
          </w:p>
        </w:tc>
      </w:tr>
      <w:tr>
        <w:tc>
          <w:tcPr>
            <w:tcW w:type="dxa" w:w="38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La mieux fournie, celle qui répond la première</w:t>
            </w:r>
          </w:p>
        </w:tc>
        <w:tc>
          <w:tcPr>
            <w:tcW w:type="dxa" w:w="18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19 %</w:t>
            </w:r>
          </w:p>
        </w:tc>
        <w:tc>
          <w:tcPr>
            <w:tcW w:type="dxa" w:w="22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2,5</w:t>
            </w:r>
          </w:p>
        </w:tc>
        <w:tc>
          <w:tcPr>
            <w:tcW w:type="dxa" w:w="12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0,42</w:t>
            </w:r>
          </w:p>
        </w:tc>
      </w:tr>
      <w:tr>
        <w:tc>
          <w:tcPr>
            <w:tcW w:type="dxa" w:w="38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Au hasard parmi celles qui ont répondu</w:t>
            </w:r>
          </w:p>
        </w:tc>
        <w:tc>
          <w:tcPr>
            <w:tcW w:type="dxa" w:w="18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12 %</w:t>
            </w:r>
          </w:p>
        </w:tc>
        <w:tc>
          <w:tcPr>
            <w:tcW w:type="dxa" w:w="22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1,6</w:t>
            </w:r>
          </w:p>
        </w:tc>
        <w:tc>
          <w:tcPr>
            <w:tcW w:type="dxa" w:w="12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0,24</w:t>
            </w:r>
          </w:p>
        </w:tc>
      </w:tr>
      <w:tr>
        <w:tc>
          <w:tcPr>
            <w:tcW w:type="dxa" w:w="38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Celle qui a le plus donné</w:t>
            </w:r>
          </w:p>
        </w:tc>
        <w:tc>
          <w:tcPr>
            <w:tcW w:type="dxa" w:w="1800"/>
            <w:shd w:fill="EEF5F4" w:val="clear"/>
            <w:tcMar>
              <w:top w:type="dxa" w:w="70"/>
              <w:left w:type="dxa" w:w="110"/>
              <w:bottom w:type="dxa" w:w="70"/>
              <w:right w:type="dxa" w:w="110"/>
            </w:tcMar>
          </w:tcPr>
          <w:p>
            <w:pPr>
              <w:spacing w:after="0" w:line="240"/>
              <w:jc w:val="right"/>
            </w:pPr>
            <w:r>
              <w:rPr>
                <w:rFonts w:ascii="Calibri" w:cs="Calibri" w:eastAsia="Calibri" w:hAnsi="Calibri"/>
                <w:b/>
                <w:bCs/>
                <w:color w:val="0E6E63"/>
                <w:sz w:val="19"/>
                <w:szCs w:val="19"/>
              </w:rPr>
              <w:t xml:space="preserve">12 %</w:t>
            </w:r>
          </w:p>
        </w:tc>
        <w:tc>
          <w:tcPr>
            <w:tcW w:type="dxa" w:w="2200"/>
            <w:shd w:fill="EEF5F4" w:val="clear"/>
            <w:tcMar>
              <w:top w:type="dxa" w:w="70"/>
              <w:left w:type="dxa" w:w="110"/>
              <w:bottom w:type="dxa" w:w="70"/>
              <w:right w:type="dxa" w:w="110"/>
            </w:tcMar>
          </w:tcPr>
          <w:p>
            <w:pPr>
              <w:spacing w:after="0" w:line="240"/>
              <w:jc w:val="right"/>
            </w:pPr>
            <w:r>
              <w:rPr>
                <w:rFonts w:ascii="Calibri" w:cs="Calibri" w:eastAsia="Calibri" w:hAnsi="Calibri"/>
                <w:b/>
                <w:bCs/>
                <w:color w:val="0E6E63"/>
                <w:sz w:val="19"/>
                <w:szCs w:val="19"/>
              </w:rPr>
              <w:t xml:space="preserve">1,2</w:t>
            </w:r>
          </w:p>
        </w:tc>
        <w:tc>
          <w:tcPr>
            <w:tcW w:type="dxa" w:w="1200"/>
            <w:shd w:fill="EEF5F4" w:val="clear"/>
            <w:tcMar>
              <w:top w:type="dxa" w:w="70"/>
              <w:left w:type="dxa" w:w="110"/>
              <w:bottom w:type="dxa" w:w="70"/>
              <w:right w:type="dxa" w:w="110"/>
            </w:tcMar>
          </w:tcPr>
          <w:p>
            <w:pPr>
              <w:spacing w:after="0" w:line="240"/>
              <w:jc w:val="right"/>
            </w:pPr>
            <w:r>
              <w:rPr>
                <w:rFonts w:ascii="Calibri" w:cs="Calibri" w:eastAsia="Calibri" w:hAnsi="Calibri"/>
                <w:b/>
                <w:bCs/>
                <w:color w:val="0E6E63"/>
                <w:sz w:val="19"/>
                <w:szCs w:val="19"/>
              </w:rPr>
              <w:t xml:space="preserve">0,23</w:t>
            </w:r>
          </w:p>
        </w:tc>
      </w:tr>
    </w:tbl>
    <w:p>
      <w:pPr>
        <w:spacing w:after="140"/>
      </w:pPr>
    </w:p>
    <w:p>
      <w:pPr>
        <w:spacing w:after="120" w:line="276"/>
      </w:pPr>
      <w:r>
        <w:rPr>
          <w:rFonts w:ascii="Calibri" w:cs="Calibri" w:eastAsia="Calibri" w:hAnsi="Calibri"/>
          <w:color w:val="1A1A1A"/>
          <w:sz w:val="21"/>
          <w:szCs w:val="21"/>
        </w:rPr>
        <w:t xml:space="preserve">La règle divise par deux la concentration et l'inégalité, sans coûter une seule vente — les trois règles perdent le même nombre de demandes, 22 % dans cette simulation, et cette perte vient du taux de réponse, pas de l'attribution.</w:t>
      </w:r>
    </w:p>
    <w:p>
      <w:pPr>
        <w:spacing w:after="120" w:line="276"/>
      </w:pPr>
      <w:r>
        <w:rPr>
          <w:rFonts w:ascii="Calibri" w:cs="Calibri" w:eastAsia="Calibri" w:hAnsi="Calibri"/>
          <w:i/>
          <w:iCs/>
          <w:color w:val="5A5A5A"/>
          <w:sz w:val="21"/>
          <w:szCs w:val="21"/>
        </w:rPr>
        <w:t xml:space="preserve">Une réserve honnête : la simulation laisse en moyenne une boutique sous cinq clients par mois, là où le document de stratégie annonçait zéro. Ce sont toujours les deux mêmes — Maillots 237 et Cordonnerie Moderne, les sous-rayons de service. Ça ne remet pas la règle en cause, ça confirme qu'elles ne peuvent pas payer le tarif plein.</w:t>
      </w:r>
    </w:p>
    <w:p>
      <w:r>
        <w:br w:type="page"/>
      </w:r>
    </w:p>
    <w:p>
      <w:pPr>
        <w:pStyle w:val="Heading1"/>
        <w:spacing w:after="160" w:before="360"/>
      </w:pPr>
      <w:r>
        <w:rPr>
          <w:rFonts w:ascii="Calibri" w:cs="Calibri" w:eastAsia="Calibri" w:hAnsi="Calibri"/>
          <w:b/>
          <w:bCs/>
          <w:color w:val="1A1A1A"/>
          <w:sz w:val="30"/>
          <w:szCs w:val="30"/>
        </w:rPr>
        <w:t xml:space="preserve">4. Le parcours du client</w:t>
      </w:r>
    </w:p>
    <w:p>
      <w:pPr>
        <w:spacing w:after="120" w:line="276"/>
      </w:pPr>
      <w:r>
        <w:rPr>
          <w:rFonts w:ascii="Calibri" w:cs="Calibri" w:eastAsia="Calibri" w:hAnsi="Calibri"/>
          <w:color w:val="1A1A1A"/>
          <w:sz w:val="21"/>
          <w:szCs w:val="21"/>
        </w:rPr>
        <w:t xml:space="preserve">Il n'a pas l'application. Il n'a jamais entendu parler de Buyticle. C'est le cas normal pendant les six premiers mois, et c'est le moment le plus précieux de tout le circuit : deux cent quarante-six personnes par mois et par rayon découvrent la plateforme exactement là. Rater cette conversion, c'est perdre le seul canal d'acquisition qu'on ait.</w:t>
      </w:r>
    </w:p>
    <w:p>
      <w:pPr>
        <w:spacing w:after="80"/>
      </w:pPr>
    </w:p>
    <w:tbl>
      <w:tblPr>
        <w:tblW w:type="dxa" w:w="9000"/>
        <w:tblBorders>
          <w:top w:val="single" w:color="C9CDD2" w:sz="4"/>
          <w:left w:val="none"/>
          <w:bottom w:val="single" w:color="C9CDD2" w:sz="4"/>
          <w:right w:val="none"/>
          <w:insideH w:val="single" w:color="E4E7EA" w:sz="2"/>
          <w:insideV w:val="none"/>
        </w:tblBorders>
      </w:tblPr>
      <w:tblGrid>
        <w:gridCol w:w="2000"/>
        <w:gridCol w:w="3800"/>
        <w:gridCol w:w="3200"/>
      </w:tblGrid>
      <w:tr>
        <w:trPr>
          <w:tblHeader/>
        </w:trPr>
        <w:tc>
          <w:tcPr>
            <w:tcW w:type="dxa" w:w="20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Écran</w:t>
            </w:r>
          </w:p>
        </w:tc>
        <w:tc>
          <w:tcPr>
            <w:tcW w:type="dxa" w:w="38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Ce qu'il montre</w:t>
            </w:r>
          </w:p>
        </w:tc>
        <w:tc>
          <w:tcPr>
            <w:tcW w:type="dxa" w:w="32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Ce qui se passe</w:t>
            </w:r>
          </w:p>
        </w:tc>
      </w:tr>
      <w:tr>
        <w:tc>
          <w:tcPr>
            <w:tcW w:type="dxa" w:w="20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① L'affiche</w:t>
            </w:r>
          </w:p>
        </w:tc>
        <w:tc>
          <w:tcPr>
            <w:tcW w:type="dxa" w:w="38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un autocollant sur le comptoir du vendeur, avec son code QR d'affiliation, permanent</w:t>
            </w:r>
          </w:p>
        </w:tc>
        <w:tc>
          <w:tcPr>
            <w:tcW w:type="dxa" w:w="32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il le scanne avec l'appareil photo — aucune application à installer</w:t>
            </w:r>
          </w:p>
        </w:tc>
      </w:tr>
      <w:tr>
        <w:tc>
          <w:tcPr>
            <w:tcW w:type="dxa" w:w="20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② La page</w:t>
            </w:r>
          </w:p>
        </w:tc>
        <w:tc>
          <w:tcPr>
            <w:tcW w:type="dxa" w:w="38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une page web : son numéro, un mot de passe, rien d'autre. Pas de vérification, pas de code par SMS</w:t>
            </w:r>
          </w:p>
        </w:tc>
        <w:tc>
          <w:tcPr>
            <w:tcW w:type="dxa" w:w="32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le compte existe en deux gestes</w:t>
            </w:r>
          </w:p>
        </w:tc>
      </w:tr>
      <w:tr>
        <w:tc>
          <w:tcPr>
            <w:tcW w:type="dxa" w:w="20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③ Mon relais</w:t>
            </w:r>
          </w:p>
        </w:tc>
        <w:tc>
          <w:tcPr>
            <w:tcW w:type="dxa" w:w="38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un seul bouton, plein écran : le produit, le prix, sa remise, la boutique</w:t>
            </w:r>
          </w:p>
        </w:tc>
        <w:tc>
          <w:tcPr>
            <w:tcW w:type="dxa" w:w="32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il voit ce qu'il gagne avant de marcher</w:t>
            </w:r>
          </w:p>
        </w:tc>
      </w:tr>
      <w:tr>
        <w:tc>
          <w:tcPr>
            <w:tcW w:type="dxa" w:w="20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④ L'itinéraire</w:t>
            </w:r>
          </w:p>
        </w:tc>
        <w:tc>
          <w:tcPr>
            <w:tcW w:type="dxa" w:w="38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trois étapes, la photo de la devanture, un repère humain, la distance qui descend</w:t>
            </w:r>
          </w:p>
        </w:tc>
        <w:tc>
          <w:tcPr>
            <w:tcW w:type="dxa" w:w="32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il marche</w:t>
            </w:r>
          </w:p>
        </w:tc>
      </w:tr>
      <w:tr>
        <w:tc>
          <w:tcPr>
            <w:tcW w:type="dxa" w:w="20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⑤ Au comptoir</w:t>
            </w:r>
          </w:p>
        </w:tc>
        <w:tc>
          <w:tcPr>
            <w:tcW w:type="dxa" w:w="38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son code à six caractères, en grand</w:t>
            </w:r>
          </w:p>
        </w:tc>
        <w:tc>
          <w:tcPr>
            <w:tcW w:type="dxa" w:w="32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le vendeur le lit ou le scanne</w:t>
            </w:r>
          </w:p>
        </w:tc>
      </w:tr>
      <w:tr>
        <w:tc>
          <w:tcPr>
            <w:tcW w:type="dxa" w:w="20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⑥ Le paiement</w:t>
            </w:r>
          </w:p>
        </w:tc>
        <w:tc>
          <w:tcPr>
            <w:tcW w:type="dxa" w:w="38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le prix affiché, sa remise déduite, le total. Mobile Money</w:t>
            </w:r>
          </w:p>
        </w:tc>
        <w:tc>
          <w:tcPr>
            <w:tcW w:type="dxa" w:w="32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c'est ici que son numéro est vérifié — le paiement fait la vérification</w:t>
            </w:r>
          </w:p>
        </w:tc>
      </w:tr>
      <w:tr>
        <w:tc>
          <w:tcPr>
            <w:tcW w:type="dxa" w:w="20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⑦ J'ai mon article</w:t>
            </w:r>
          </w:p>
        </w:tc>
        <w:tc>
          <w:tcPr>
            <w:tcW w:type="dxa" w:w="38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un bouton, et c'est tout</w:t>
            </w:r>
          </w:p>
        </w:tc>
        <w:tc>
          <w:tcPr>
            <w:tcW w:type="dxa" w:w="32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le solde part chez le commerçant, le bon est crédité à l'envoyeur</w:t>
            </w:r>
          </w:p>
        </w:tc>
      </w:tr>
      <w:tr>
        <w:tc>
          <w:tcPr>
            <w:tcW w:type="dxa" w:w="20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⑧ Plus tard</w:t>
            </w:r>
          </w:p>
        </w:tc>
        <w:tc>
          <w:tcPr>
            <w:tcW w:type="dxa" w:w="38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une notification, quelques heures après : ton avis sur la boutique, ton avis sur le produit</w:t>
            </w:r>
          </w:p>
        </w:tc>
        <w:tc>
          <w:tcPr>
            <w:tcW w:type="dxa" w:w="32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jamais au comptoir, jamais avant d'avoir l'article en main</w:t>
            </w:r>
          </w:p>
        </w:tc>
      </w:tr>
    </w:tbl>
    <w:p>
      <w:pPr>
        <w:spacing w:after="140"/>
      </w:pPr>
    </w:p>
    <w:p>
      <w:pPr>
        <w:pStyle w:val="Heading2"/>
        <w:spacing w:after="120" w:before="260"/>
      </w:pPr>
      <w:r>
        <w:rPr>
          <w:rFonts w:ascii="Calibri" w:cs="Calibri" w:eastAsia="Calibri" w:hAnsi="Calibri"/>
          <w:b/>
          <w:bCs/>
          <w:color w:val="0E6E63"/>
          <w:sz w:val="24"/>
          <w:szCs w:val="24"/>
        </w:rPr>
        <w:t xml:space="preserve">Pourquoi la création de compte n'est pas vérifiée</w:t>
      </w:r>
    </w:p>
    <w:p>
      <w:pPr>
        <w:spacing w:after="120" w:line="276"/>
      </w:pPr>
      <w:r>
        <w:rPr>
          <w:rFonts w:ascii="Calibri" w:cs="Calibri" w:eastAsia="Calibri" w:hAnsi="Calibri"/>
          <w:color w:val="1A1A1A"/>
          <w:sz w:val="21"/>
          <w:szCs w:val="21"/>
        </w:rPr>
        <w:t xml:space="preserve">Demander un code SMS à quelqu'un qui n'a encore rien reçu, debout dans une boutique, avec un vendeur qui attend, fait tomber la conversion de moitié. On crée donc le compte sans rien vérifier.</w:t>
      </w:r>
    </w:p>
    <w:p>
      <w:pPr>
        <w:spacing w:after="120" w:line="276"/>
      </w:pPr>
      <w:r>
        <w:rPr>
          <w:rFonts w:ascii="Calibri" w:cs="Calibri" w:eastAsia="Calibri" w:hAnsi="Calibri"/>
          <w:b/>
          <w:bCs/>
          <w:color w:val="1A1A1A"/>
          <w:sz w:val="21"/>
          <w:szCs w:val="21"/>
        </w:rPr>
        <w:t xml:space="preserve">Le numéro se vérifie tout seul à l'écran ⑥ : on ne paie pas en Mobile Money avec le numéro de quelqu'un d'autre. La vérification arrive au moment où elle a une valeur — quand il y a de l'argent — et pas au moment où elle coûte un client.</w:t>
      </w:r>
    </w:p>
    <w:p>
      <w:pPr>
        <w:spacing w:after="160"/>
      </w:pPr>
    </w:p>
    <w:p>
      <w:pPr>
        <w:pStyle w:val="Heading2"/>
        <w:spacing w:after="120" w:before="260"/>
      </w:pPr>
      <w:r>
        <w:rPr>
          <w:rFonts w:ascii="Calibri" w:cs="Calibri" w:eastAsia="Calibri" w:hAnsi="Calibri"/>
          <w:b/>
          <w:bCs/>
          <w:color w:val="0E6E63"/>
          <w:sz w:val="24"/>
          <w:szCs w:val="24"/>
        </w:rPr>
        <w:t xml:space="preserve">Ce que ce nouvel utilisateur laisse derrière lui</w:t>
      </w:r>
    </w:p>
    <w:p>
      <w:pPr>
        <w:spacing w:after="120" w:line="276"/>
      </w:pPr>
      <w:r>
        <w:rPr>
          <w:rFonts w:ascii="Calibri" w:cs="Calibri" w:eastAsia="Calibri" w:hAnsi="Calibri"/>
          <w:color w:val="1A1A1A"/>
          <w:sz w:val="21"/>
          <w:szCs w:val="21"/>
        </w:rPr>
        <w:t xml:space="preserve">Il ne se contente pas d'exister dans une base. À la fin de son parcours il a déposé quatre choses qu'une place de marché neuve ne peut pas acheter : un compte avec un numéro vérifié par un paiement, un achat réellement livré, un avis sur la boutique et un avis sur le produit.</w:t>
      </w:r>
    </w:p>
    <w:p>
      <w:pPr>
        <w:spacing w:after="120" w:line="276"/>
      </w:pPr>
      <w:r>
        <w:rPr>
          <w:rFonts w:ascii="Calibri" w:cs="Calibri" w:eastAsia="Calibri" w:hAnsi="Calibri"/>
          <w:b/>
          <w:bCs/>
          <w:color w:val="1A1A1A"/>
          <w:sz w:val="21"/>
          <w:szCs w:val="21"/>
        </w:rPr>
        <w:t xml:space="preserve">C'est ce qui règle le problème du visiteur suivant. Celui qui arrivera dans trois mois sans passer par un relais ne trouvera pas une application vide dont personne n'a jamais rien testé : il trouvera des boutiques notées par des gens qui y sont allés à pied. La méfiance de la nouveauté, qui tue la plupart des places de marché à leur ouverture, est réglée par le relais avant même qu'elle se pose.</w:t>
      </w:r>
    </w:p>
    <w:p>
      <w:r>
        <w:br w:type="page"/>
      </w:r>
    </w:p>
    <w:p>
      <w:pPr>
        <w:pStyle w:val="Heading1"/>
        <w:spacing w:after="160" w:before="360"/>
      </w:pPr>
      <w:r>
        <w:rPr>
          <w:rFonts w:ascii="Calibri" w:cs="Calibri" w:eastAsia="Calibri" w:hAnsi="Calibri"/>
          <w:b/>
          <w:bCs/>
          <w:color w:val="1A1A1A"/>
          <w:sz w:val="30"/>
          <w:szCs w:val="30"/>
        </w:rPr>
        <w:t xml:space="preserve">5. Le relais livré</w:t>
      </w:r>
    </w:p>
    <w:p>
      <w:pPr>
        <w:spacing w:after="120" w:line="276"/>
      </w:pPr>
      <w:r>
        <w:rPr>
          <w:rFonts w:ascii="Calibri" w:cs="Calibri" w:eastAsia="Calibri" w:hAnsi="Calibri"/>
          <w:color w:val="1A1A1A"/>
          <w:sz w:val="21"/>
          <w:szCs w:val="21"/>
        </w:rPr>
        <w:t xml:space="preserve">Le second type de relais ne naît pas d'un choix d'ergonomie mais de l'arrivée du commerçant de services. Une cliente est assise dans le fauteuil, à moitié coiffée. Il manque une longueur de mèche. Elle ne peut pas se lever et marcher deux cents mètres.</w:t>
      </w:r>
    </w:p>
    <w:p>
      <w:pPr>
        <w:spacing w:after="120" w:line="276"/>
      </w:pPr>
      <w:r>
        <w:rPr>
          <w:rFonts w:ascii="Calibri" w:cs="Calibri" w:eastAsia="Calibri" w:hAnsi="Calibri"/>
          <w:color w:val="1A1A1A"/>
          <w:sz w:val="21"/>
          <w:szCs w:val="21"/>
        </w:rPr>
        <w:t xml:space="preserve">Le salon lance donc un relais, et coche « livré ici » au lieu de « le client marche ». Le reste du circuit est identique — appel, arbitrage, code, paiement, avis — sauf sur quatre points qu'il faut trancher explicitement.</w:t>
      </w:r>
    </w:p>
    <w:p>
      <w:pPr>
        <w:spacing w:after="80"/>
      </w:pPr>
    </w:p>
    <w:tbl>
      <w:tblPr>
        <w:tblW w:type="dxa" w:w="9000"/>
        <w:tblBorders>
          <w:top w:val="single" w:color="C9CDD2" w:sz="4"/>
          <w:left w:val="none"/>
          <w:bottom w:val="single" w:color="C9CDD2" w:sz="4"/>
          <w:right w:val="none"/>
          <w:insideH w:val="single" w:color="E4E7EA" w:sz="2"/>
          <w:insideV w:val="none"/>
        </w:tblBorders>
      </w:tblPr>
      <w:tblGrid>
        <w:gridCol w:w="2200"/>
        <w:gridCol w:w="4200"/>
        <w:gridCol w:w="2600"/>
      </w:tblGrid>
      <w:tr>
        <w:trPr>
          <w:tblHeader/>
        </w:trPr>
        <w:tc>
          <w:tcPr>
            <w:tcW w:type="dxa" w:w="22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La question</w:t>
            </w:r>
          </w:p>
        </w:tc>
        <w:tc>
          <w:tcPr>
            <w:tcW w:type="dxa" w:w="42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La réponse retenue</w:t>
            </w:r>
          </w:p>
        </w:tc>
        <w:tc>
          <w:tcPr>
            <w:tcW w:type="dxa" w:w="26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Pourquoi</w:t>
            </w:r>
          </w:p>
        </w:tc>
      </w:tr>
      <w:tr>
        <w:tc>
          <w:tcPr>
            <w:tcW w:type="dxa" w:w="22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Qui achète ?</w:t>
            </w:r>
          </w:p>
        </w:tc>
        <w:tc>
          <w:tcPr>
            <w:tcW w:type="dxa" w:w="42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la cliente, directement dans l'application — le salon n'est qu'un lieu de livraison</w:t>
            </w:r>
          </w:p>
        </w:tc>
        <w:tc>
          <w:tcPr>
            <w:tcW w:type="dxa" w:w="26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si le salon paie et refacture, il devient revendeur et le modèle du prix net s'effondre</w:t>
            </w:r>
          </w:p>
        </w:tc>
      </w:tr>
      <w:tr>
        <w:tc>
          <w:tcPr>
            <w:tcW w:type="dxa" w:w="22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Qui livre ?</w:t>
            </w:r>
          </w:p>
        </w:tc>
        <w:tc>
          <w:tcPr>
            <w:tcW w:type="dxa" w:w="42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la boutique qui vend, par son apprenti ou un moto-taxi qu'elle appelle</w:t>
            </w:r>
          </w:p>
        </w:tc>
        <w:tc>
          <w:tcPr>
            <w:tcW w:type="dxa" w:w="26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elle est celle qui gagne la vente ; personne d'autre n'a de raison de bouger</w:t>
            </w:r>
          </w:p>
        </w:tc>
      </w:tr>
      <w:tr>
        <w:tc>
          <w:tcPr>
            <w:tcW w:type="dxa" w:w="22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Qui paie la livraison ?</w:t>
            </w:r>
          </w:p>
        </w:tc>
        <w:tc>
          <w:tcPr>
            <w:tcW w:type="dxa" w:w="42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la cliente, en supplément affiché avant de valider — jamais caché dans les 13 %</w:t>
            </w:r>
          </w:p>
        </w:tc>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un coût caché sur le prix net casse l'engagement de prix ferme</w:t>
            </w:r>
          </w:p>
        </w:tc>
      </w:tr>
      <w:tr>
        <w:tc>
          <w:tcPr>
            <w:tcW w:type="dxa" w:w="22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Et si l'article livré ne va pas ?</w:t>
            </w:r>
          </w:p>
        </w:tc>
        <w:tc>
          <w:tcPr>
            <w:tcW w:type="dxa" w:w="42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la cliente refuse, elle n'est pas débitée, la boutique reprend l'article. Le relais repart sur la proposition suivante</w:t>
            </w:r>
          </w:p>
        </w:tc>
        <w:tc>
          <w:tcPr>
            <w:tcW w:type="dxa" w:w="26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elle est immobilisée : lui faire porter le risque du transport serait absurde</w:t>
            </w:r>
          </w:p>
        </w:tc>
      </w:tr>
    </w:tbl>
    <w:p>
      <w:pPr>
        <w:spacing w:after="140"/>
      </w:pPr>
    </w:p>
    <w:p>
      <w:pPr>
        <w:spacing w:after="120" w:line="276"/>
      </w:pPr>
      <w:r>
        <w:rPr>
          <w:rFonts w:ascii="Calibri" w:cs="Calibri" w:eastAsia="Calibri" w:hAnsi="Calibri"/>
          <w:b/>
          <w:bCs/>
          <w:color w:val="1A1A1A"/>
          <w:sz w:val="21"/>
          <w:szCs w:val="21"/>
        </w:rPr>
        <w:t xml:space="preserve">Une contrainte de temps propre à ce relais : la cliente attend dans un fauteuil. Au-delà de vingt minutes annoncées, on ne propose pas la boutique — même si elle a l'article et même si l'arbitrage la désigne. C'est la seule situation où la distance passe devant la règle du don.</w:t>
      </w:r>
    </w:p>
    <w:p>
      <w:pPr>
        <w:pBdr>
          <w:bottom w:val="single" w:color="DDE1E6" w:sz="6"/>
        </w:pBdr>
        <w:spacing w:after="200" w:before="200"/>
      </w:pPr>
    </w:p>
    <w:p>
      <w:pPr>
        <w:pStyle w:val="Heading2"/>
        <w:spacing w:after="120" w:before="260"/>
      </w:pPr>
      <w:r>
        <w:rPr>
          <w:rFonts w:ascii="Calibri" w:cs="Calibri" w:eastAsia="Calibri" w:hAnsi="Calibri"/>
          <w:b/>
          <w:bCs/>
          <w:color w:val="0E6E63"/>
          <w:sz w:val="24"/>
          <w:szCs w:val="24"/>
        </w:rPr>
        <w:t xml:space="preserve">Un seul compte par boutique, celui du patron</w:t>
      </w:r>
    </w:p>
    <w:p>
      <w:pPr>
        <w:spacing w:after="120" w:line="276"/>
      </w:pPr>
      <w:r>
        <w:rPr>
          <w:rFonts w:ascii="Calibri" w:cs="Calibri" w:eastAsia="Calibri" w:hAnsi="Calibri"/>
          <w:color w:val="1A1A1A"/>
          <w:sz w:val="21"/>
          <w:szCs w:val="21"/>
        </w:rPr>
        <w:t xml:space="preserve">Le chapitre 9 de la stratégie l'avait tranché et l'architecture doit s'y tenir : pas de comptes par employé, pas de rôles, pas de gestion d'équipe. Le patron a un compte, et il le connecte sur le téléphone de celui qui tient le comptoir.</w:t>
      </w:r>
    </w:p>
    <w:p>
      <w:pPr>
        <w:spacing w:after="120" w:line="276"/>
      </w:pPr>
      <w:r>
        <w:rPr>
          <w:rFonts w:ascii="Calibri" w:cs="Calibri" w:eastAsia="Calibri" w:hAnsi="Calibri"/>
          <w:color w:val="1A1A1A"/>
          <w:sz w:val="21"/>
          <w:szCs w:val="21"/>
        </w:rPr>
        <w:t xml:space="preserve">Conséquence directe : le renvoi est compté par boutique, jamais par personne. Le relevé dit « ton comptoir a fait 22 renvois ce mois-ci », et le patron sait très bien qui les a faits. Il verse sa prime en billets, comme prévu, et l'application ne touche jamais cet argent.</w:t>
      </w:r>
    </w:p>
    <w:p>
      <w:pPr>
        <w:spacing w:after="120" w:line="276"/>
      </w:pPr>
      <w:r>
        <w:rPr>
          <w:rFonts w:ascii="Calibri" w:cs="Calibri" w:eastAsia="Calibri" w:hAnsi="Calibri"/>
          <w:b/>
          <w:bCs/>
          <w:color w:val="1A1A1A"/>
          <w:sz w:val="21"/>
          <w:szCs w:val="21"/>
        </w:rPr>
        <w:t xml:space="preserve">Ce que ça coûte : on ne saura pas distinguer deux vendeurs d'une même boutique. Ce que ça évite : une application qui verse de l'argent au personnel d'un patron sans qu'il le sache se fait bannir de la boutique le jour où il l'apprend. L'échange est bon, et il se renverse plus tard si le compteur prouve que la prime augmente le volume.</w:t>
      </w:r>
    </w:p>
    <w:p>
      <w:pPr>
        <w:spacing w:after="120"/>
      </w:pPr>
    </w:p>
    <w:p>
      <w:pPr>
        <w:spacing w:after="120" w:line="276"/>
      </w:pPr>
      <w:r>
        <w:rPr>
          <w:rFonts w:ascii="Calibri" w:cs="Calibri" w:eastAsia="Calibri" w:hAnsi="Calibri"/>
          <w:color w:val="1A1A1A"/>
          <w:sz w:val="21"/>
          <w:szCs w:val="21"/>
        </w:rPr>
        <w:t xml:space="preserve">Et une conséquence sur les avis : elle n'a jamais vu la boutique. Son avis porte sur le produit et sur la livraison, pas sur l'accueil. Les deux ne se mélangent pas dans la note de la boutique.</w:t>
      </w:r>
    </w:p>
    <w:p>
      <w:r>
        <w:br w:type="page"/>
      </w:r>
    </w:p>
    <w:p>
      <w:pPr>
        <w:pStyle w:val="Heading1"/>
        <w:spacing w:after="160" w:before="360"/>
      </w:pPr>
      <w:r>
        <w:rPr>
          <w:rFonts w:ascii="Calibri" w:cs="Calibri" w:eastAsia="Calibri" w:hAnsi="Calibri"/>
          <w:b/>
          <w:bCs/>
          <w:color w:val="1A1A1A"/>
          <w:sz w:val="30"/>
          <w:szCs w:val="30"/>
        </w:rPr>
        <w:t xml:space="preserve">6. La machine à états d'un relais</w:t>
      </w:r>
    </w:p>
    <w:p>
      <w:pPr>
        <w:spacing w:after="120" w:line="276"/>
      </w:pPr>
      <w:r>
        <w:rPr>
          <w:rFonts w:ascii="Calibri" w:cs="Calibri" w:eastAsia="Calibri" w:hAnsi="Calibri"/>
          <w:color w:val="1A1A1A"/>
          <w:sz w:val="21"/>
          <w:szCs w:val="21"/>
        </w:rPr>
        <w:t xml:space="preserve">Douze états. Tout ce qui n'y figure pas n'existe pas, et chaque passage d'un état à l'autre doit être déclenché par quelqu'un ou par une horloge — jamais par un humain chez nous.</w:t>
      </w:r>
    </w:p>
    <w:p>
      <w:pPr>
        <w:spacing w:after="80"/>
      </w:pPr>
    </w:p>
    <w:tbl>
      <w:tblPr>
        <w:tblW w:type="dxa" w:w="9000"/>
        <w:tblBorders>
          <w:top w:val="single" w:color="C9CDD2" w:sz="4"/>
          <w:left w:val="none"/>
          <w:bottom w:val="single" w:color="C9CDD2" w:sz="4"/>
          <w:right w:val="none"/>
          <w:insideH w:val="single" w:color="E4E7EA" w:sz="2"/>
          <w:insideV w:val="none"/>
        </w:tblBorders>
      </w:tblPr>
      <w:tblGrid>
        <w:gridCol w:w="1700"/>
        <w:gridCol w:w="4200"/>
        <w:gridCol w:w="3100"/>
      </w:tblGrid>
      <w:tr>
        <w:trPr>
          <w:tblHeader/>
        </w:trPr>
        <w:tc>
          <w:tcPr>
            <w:tcW w:type="dxa" w:w="17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État</w:t>
            </w:r>
          </w:p>
        </w:tc>
        <w:tc>
          <w:tcPr>
            <w:tcW w:type="dxa" w:w="42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On y entre quand</w:t>
            </w:r>
          </w:p>
        </w:tc>
        <w:tc>
          <w:tcPr>
            <w:tcW w:type="dxa" w:w="31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On en sort vers</w:t>
            </w:r>
          </w:p>
        </w:tc>
      </w:tr>
      <w:tr>
        <w:tc>
          <w:tcPr>
            <w:tcW w:type="dxa" w:w="17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demande</w:t>
            </w:r>
          </w:p>
        </w:tc>
        <w:tc>
          <w:tcPr>
            <w:tcW w:type="dxa" w:w="42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le vendeur lance une recherche qui n'aboutit pas chez lui</w:t>
            </w:r>
          </w:p>
        </w:tc>
        <w:tc>
          <w:tcPr>
            <w:tcW w:type="dxa" w:w="31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appel · journal</w:t>
            </w:r>
          </w:p>
        </w:tc>
      </w:tr>
      <w:tr>
        <w:tc>
          <w:tcPr>
            <w:tcW w:type="dxa" w:w="17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appel</w:t>
            </w:r>
          </w:p>
        </w:tc>
        <w:tc>
          <w:tcPr>
            <w:tcW w:type="dxa" w:w="42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l'appel est diffusé — horloge de 30 secondes</w:t>
            </w:r>
          </w:p>
        </w:tc>
        <w:tc>
          <w:tcPr>
            <w:tcW w:type="dxa" w:w="31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propositions · sans_reponse</w:t>
            </w:r>
          </w:p>
        </w:tc>
      </w:tr>
      <w:tr>
        <w:tc>
          <w:tcPr>
            <w:tcW w:type="dxa" w:w="17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sans_reponse</w:t>
            </w:r>
          </w:p>
        </w:tc>
        <w:tc>
          <w:tcPr>
            <w:tcW w:type="dxa" w:w="42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personne n'a répondu dans les 30 secondes</w:t>
            </w:r>
          </w:p>
        </w:tc>
        <w:tc>
          <w:tcPr>
            <w:tcW w:type="dxa" w:w="31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terminal — va au journal</w:t>
            </w:r>
          </w:p>
        </w:tc>
      </w:tr>
      <w:tr>
        <w:tc>
          <w:tcPr>
            <w:tcW w:type="dxa" w:w="17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propositions</w:t>
            </w:r>
          </w:p>
        </w:tc>
        <w:tc>
          <w:tcPr>
            <w:tcW w:type="dxa" w:w="42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au moins une boutique a dit « je l'ai »</w:t>
            </w:r>
          </w:p>
        </w:tc>
        <w:tc>
          <w:tcPr>
            <w:tcW w:type="dxa" w:w="31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attribue · abandonne</w:t>
            </w:r>
          </w:p>
        </w:tc>
      </w:tr>
      <w:tr>
        <w:tc>
          <w:tcPr>
            <w:tcW w:type="dxa" w:w="17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abandonne</w:t>
            </w:r>
          </w:p>
        </w:tc>
        <w:tc>
          <w:tcPr>
            <w:tcW w:type="dxa" w:w="42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le vendeur ferme : le client est parti, ou il refuse</w:t>
            </w:r>
          </w:p>
        </w:tc>
        <w:tc>
          <w:tcPr>
            <w:tcW w:type="dxa" w:w="31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terminal</w:t>
            </w:r>
          </w:p>
        </w:tc>
      </w:tr>
      <w:tr>
        <w:tc>
          <w:tcPr>
            <w:tcW w:type="dxa" w:w="17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attribue</w:t>
            </w:r>
          </w:p>
        </w:tc>
        <w:tc>
          <w:tcPr>
            <w:tcW w:type="dxa" w:w="42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le client est identifié — bon réservé, horloge de 48 h</w:t>
            </w:r>
          </w:p>
        </w:tc>
        <w:tc>
          <w:tcPr>
            <w:tcW w:type="dxa" w:w="31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arrive · expire</w:t>
            </w:r>
          </w:p>
        </w:tc>
      </w:tr>
      <w:tr>
        <w:tc>
          <w:tcPr>
            <w:tcW w:type="dxa" w:w="17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expire</w:t>
            </w:r>
          </w:p>
        </w:tc>
        <w:tc>
          <w:tcPr>
            <w:tcW w:type="dxa" w:w="42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48 h sans arrivée</w:t>
            </w:r>
          </w:p>
        </w:tc>
        <w:tc>
          <w:tcPr>
            <w:tcW w:type="dxa" w:w="31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terminal — aucun bon crédité</w:t>
            </w:r>
          </w:p>
        </w:tc>
      </w:tr>
      <w:tr>
        <w:tc>
          <w:tcPr>
            <w:tcW w:type="dxa" w:w="17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arrive</w:t>
            </w:r>
          </w:p>
        </w:tc>
        <w:tc>
          <w:tcPr>
            <w:tcW w:type="dxa" w:w="42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le code est validé au comptoir de la boutique réceptrice</w:t>
            </w:r>
          </w:p>
        </w:tc>
        <w:tc>
          <w:tcPr>
            <w:tcW w:type="dxa" w:w="31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paye · rupture · annule</w:t>
            </w:r>
          </w:p>
        </w:tc>
      </w:tr>
      <w:tr>
        <w:tc>
          <w:tcPr>
            <w:tcW w:type="dxa" w:w="17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rupture</w:t>
            </w:r>
          </w:p>
        </w:tc>
        <w:tc>
          <w:tcPr>
            <w:tcW w:type="dxa" w:w="42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la boutique déclare ne plus l'avoir alors qu'elle avait confirmé</w:t>
            </w:r>
          </w:p>
        </w:tc>
        <w:tc>
          <w:tcPr>
            <w:tcW w:type="dxa" w:w="31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propositions — et pénalité</w:t>
            </w:r>
          </w:p>
        </w:tc>
      </w:tr>
      <w:tr>
        <w:tc>
          <w:tcPr>
            <w:tcW w:type="dxa" w:w="17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annule</w:t>
            </w:r>
          </w:p>
        </w:tc>
        <w:tc>
          <w:tcPr>
            <w:tcW w:type="dxa" w:w="42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le client est venu et n'achète pas</w:t>
            </w:r>
          </w:p>
        </w:tc>
        <w:tc>
          <w:tcPr>
            <w:tcW w:type="dxa" w:w="31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terminal — aucune pénalité</w:t>
            </w:r>
          </w:p>
        </w:tc>
      </w:tr>
      <w:tr>
        <w:tc>
          <w:tcPr>
            <w:tcW w:type="dxa" w:w="17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paye</w:t>
            </w:r>
          </w:p>
        </w:tc>
        <w:tc>
          <w:tcPr>
            <w:tcW w:type="dxa" w:w="42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le paiement est confirmé</w:t>
            </w:r>
          </w:p>
        </w:tc>
        <w:tc>
          <w:tcPr>
            <w:tcW w:type="dxa" w:w="31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remis</w:t>
            </w:r>
          </w:p>
        </w:tc>
      </w:tr>
      <w:tr>
        <w:tc>
          <w:tcPr>
            <w:tcW w:type="dxa" w:w="17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remis</w:t>
            </w:r>
          </w:p>
        </w:tc>
        <w:tc>
          <w:tcPr>
            <w:tcW w:type="dxa" w:w="42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le client confirme, ou 2 h après le paiement</w:t>
            </w:r>
          </w:p>
        </w:tc>
        <w:tc>
          <w:tcPr>
            <w:tcW w:type="dxa" w:w="31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terminal — l'argent bouge ici</w:t>
            </w:r>
          </w:p>
        </w:tc>
      </w:tr>
    </w:tbl>
    <w:p>
      <w:pPr>
        <w:spacing w:after="140"/>
      </w:pPr>
    </w:p>
    <w:p>
      <w:pPr>
        <w:pStyle w:val="Heading2"/>
        <w:spacing w:after="120" w:before="260"/>
      </w:pPr>
      <w:r>
        <w:rPr>
          <w:rFonts w:ascii="Calibri" w:cs="Calibri" w:eastAsia="Calibri" w:hAnsi="Calibri"/>
          <w:b/>
          <w:bCs/>
          <w:color w:val="0E6E63"/>
          <w:sz w:val="24"/>
          <w:szCs w:val="24"/>
        </w:rPr>
        <w:t xml:space="preserve">Les trois états qu'on oublie toujours et qui décident de tout</w:t>
      </w:r>
    </w:p>
    <w:p>
      <w:pPr>
        <w:pStyle w:val="ListParagraph"/>
        <w:numPr>
          <w:ilvl w:val="0"/>
          <w:numId w:val="2"/>
        </w:numPr>
        <w:spacing w:after="80" w:line="276"/>
      </w:pPr>
      <w:r>
        <w:rPr>
          <w:rFonts w:ascii="Calibri" w:cs="Calibri" w:eastAsia="Calibri" w:hAnsi="Calibri"/>
          <w:color w:val="1A1A1A"/>
          <w:sz w:val="21"/>
          <w:szCs w:val="21"/>
        </w:rPr>
        <w:t xml:space="preserve">expire — le client n'y est jamais allé. Le bon n'est pas crédité, et l'envoyeur reçoit une notification neutre. Surtout pas de reproche : il a bien fait son travail, c'est le client qui a changé d'avis.</w:t>
      </w:r>
    </w:p>
    <w:p>
      <w:pPr>
        <w:pStyle w:val="ListParagraph"/>
        <w:numPr>
          <w:ilvl w:val="0"/>
          <w:numId w:val="2"/>
        </w:numPr>
        <w:spacing w:after="80" w:line="276"/>
      </w:pPr>
      <w:r>
        <w:rPr>
          <w:rFonts w:ascii="Calibri" w:cs="Calibri" w:eastAsia="Calibri" w:hAnsi="Calibri"/>
          <w:color w:val="1A1A1A"/>
          <w:sz w:val="21"/>
          <w:szCs w:val="21"/>
        </w:rPr>
        <w:t xml:space="preserve">rupture — la boutique a confirmé puis n'avait pas. C'est le pire cas du modèle, parce que c'est celui qui fait perdre confiance à l'envoyeur. Le client est re-relayé depuis l'endroit où il se trouve, jamais renvoyé chez lui, et la boutique prend une pénalité dans l'arbitrage — trois ruptures en un mois et elle ne reçoit plus rien pendant quinze jours.</w:t>
      </w:r>
    </w:p>
    <w:p>
      <w:pPr>
        <w:pStyle w:val="ListParagraph"/>
        <w:numPr>
          <w:ilvl w:val="0"/>
          <w:numId w:val="2"/>
        </w:numPr>
        <w:spacing w:after="80" w:line="276"/>
      </w:pPr>
      <w:r>
        <w:rPr>
          <w:rFonts w:ascii="Calibri" w:cs="Calibri" w:eastAsia="Calibri" w:hAnsi="Calibri"/>
          <w:color w:val="1A1A1A"/>
          <w:sz w:val="21"/>
          <w:szCs w:val="21"/>
        </w:rPr>
        <w:t xml:space="preserve">annule — il est venu, il a regardé, il n'a pas acheté. Personne n'est fautif, aucun bon, aucune pénalité. Mais ça se compte : une boutique dont la moitié des clients relayés repartent sans acheter a un problème de prix ou d'accueil, et son taux de transformation le dira avant sa note.</w:t>
      </w:r>
    </w:p>
    <w:p>
      <w:pPr>
        <w:spacing w:after="140"/>
      </w:pPr>
    </w:p>
    <w:p>
      <w:pPr>
        <w:spacing w:after="120" w:line="276"/>
      </w:pPr>
      <w:r>
        <w:rPr>
          <w:rFonts w:ascii="Calibri" w:cs="Calibri" w:eastAsia="Calibri" w:hAnsi="Calibri"/>
          <w:b/>
          <w:bCs/>
          <w:color w:val="1A1A1A"/>
          <w:sz w:val="21"/>
          <w:szCs w:val="21"/>
        </w:rPr>
        <w:t xml:space="preserve">Règle comptable, reprise du chapitre 16 de la stratégie : un bon réservé n'est pas un revenu. Rien n'est crédité avant l'état remis.</w:t>
      </w:r>
    </w:p>
    <w:p>
      <w:pPr>
        <w:spacing w:after="140"/>
      </w:pPr>
    </w:p>
    <w:p>
      <w:pPr>
        <w:pStyle w:val="Heading2"/>
        <w:spacing w:after="120" w:before="260"/>
      </w:pPr>
      <w:r>
        <w:rPr>
          <w:rFonts w:ascii="Calibri" w:cs="Calibri" w:eastAsia="Calibri" w:hAnsi="Calibri"/>
          <w:b/>
          <w:bCs/>
          <w:color w:val="0E6E63"/>
          <w:sz w:val="24"/>
          <w:szCs w:val="24"/>
        </w:rPr>
        <w:t xml:space="preserve">La commande ne naît qu'au paiement</w:t>
      </w:r>
    </w:p>
    <w:p>
      <w:pPr>
        <w:spacing w:after="120" w:line="276"/>
      </w:pPr>
      <w:r>
        <w:rPr>
          <w:rFonts w:ascii="Calibri" w:cs="Calibri" w:eastAsia="Calibri" w:hAnsi="Calibri"/>
          <w:color w:val="1A1A1A"/>
          <w:sz w:val="21"/>
          <w:szCs w:val="21"/>
        </w:rPr>
        <w:t xml:space="preserve">Tout ce qui précède l'état paye appartient au relais, pas à une commande. Il n'existe aucune commande tant que le client n'a pas payé au comptoir.</w:t>
      </w:r>
    </w:p>
    <w:p>
      <w:pPr>
        <w:spacing w:after="40"/>
      </w:pPr>
    </w:p>
    <w:p>
      <w:pPr>
        <w:pStyle w:val="ListParagraph"/>
        <w:numPr>
          <w:ilvl w:val="0"/>
          <w:numId w:val="2"/>
        </w:numPr>
        <w:spacing w:after="80" w:line="276"/>
      </w:pPr>
      <w:r>
        <w:rPr>
          <w:rFonts w:ascii="Calibri" w:cs="Calibri" w:eastAsia="Calibri" w:hAnsi="Calibri"/>
          <w:color w:val="1A1A1A"/>
          <w:sz w:val="21"/>
          <w:szCs w:val="21"/>
        </w:rPr>
        <w:t xml:space="preserve">Aucune commande fantôme à nettoyer pour les clients qui ne viennent jamais — et il y en a un sur dix.</w:t>
      </w:r>
    </w:p>
    <w:p>
      <w:pPr>
        <w:pStyle w:val="ListParagraph"/>
        <w:numPr>
          <w:ilvl w:val="0"/>
          <w:numId w:val="2"/>
        </w:numPr>
        <w:spacing w:after="80" w:line="276"/>
      </w:pPr>
      <w:r>
        <w:rPr>
          <w:rFonts w:ascii="Calibri" w:cs="Calibri" w:eastAsia="Calibri" w:hAnsi="Calibri"/>
          <w:color w:val="1A1A1A"/>
          <w:sz w:val="21"/>
          <w:szCs w:val="21"/>
        </w:rPr>
        <w:t xml:space="preserve">La marche n'est pas un transit de livraison. Elle appartient au relais, entre attribue et arrive. Le mode d'exécution de la commande est « retrait au comptoir », et il n'a que deux statuts : payée, puis remise.</w:t>
      </w:r>
    </w:p>
    <w:p>
      <w:pPr>
        <w:pStyle w:val="ListParagraph"/>
        <w:numPr>
          <w:ilvl w:val="0"/>
          <w:numId w:val="2"/>
        </w:numPr>
        <w:spacing w:after="80" w:line="276"/>
      </w:pPr>
      <w:r>
        <w:rPr>
          <w:rFonts w:ascii="Calibri" w:cs="Calibri" w:eastAsia="Calibri" w:hAnsi="Calibri"/>
          <w:color w:val="1A1A1A"/>
          <w:sz w:val="21"/>
          <w:szCs w:val="21"/>
        </w:rPr>
        <w:t xml:space="preserve">Rien à changer au circuit de livraison existant, qui continue de servir les commandes normales et le relais livré.</w:t>
      </w:r>
    </w:p>
    <w:p>
      <w:r>
        <w:br w:type="page"/>
      </w:r>
    </w:p>
    <w:p>
      <w:pPr>
        <w:pStyle w:val="Heading1"/>
        <w:spacing w:after="160" w:before="360"/>
      </w:pPr>
      <w:r>
        <w:rPr>
          <w:rFonts w:ascii="Calibri" w:cs="Calibri" w:eastAsia="Calibri" w:hAnsi="Calibri"/>
          <w:b/>
          <w:bCs/>
          <w:color w:val="1A1A1A"/>
          <w:sz w:val="30"/>
          <w:szCs w:val="30"/>
        </w:rPr>
        <w:t xml:space="preserve">7. L'argent : qui touche quoi, et quand</w:t>
      </w:r>
    </w:p>
    <w:p>
      <w:pPr>
        <w:pStyle w:val="Heading2"/>
        <w:spacing w:after="120" w:before="260"/>
      </w:pPr>
      <w:r>
        <w:rPr>
          <w:rFonts w:ascii="Calibri" w:cs="Calibri" w:eastAsia="Calibri" w:hAnsi="Calibri"/>
          <w:b/>
          <w:bCs/>
          <w:color w:val="0E6E63"/>
          <w:sz w:val="24"/>
          <w:szCs w:val="24"/>
        </w:rPr>
        <w:t xml:space="preserve">Le prix saisi est le prix net</w:t>
      </w:r>
    </w:p>
    <w:p>
      <w:pPr>
        <w:spacing w:after="120" w:line="276"/>
      </w:pPr>
      <w:r>
        <w:rPr>
          <w:rFonts w:ascii="Calibri" w:cs="Calibri" w:eastAsia="Calibri" w:hAnsi="Calibri"/>
          <w:color w:val="1A1A1A"/>
          <w:sz w:val="21"/>
          <w:szCs w:val="21"/>
        </w:rPr>
        <w:t xml:space="preserve">Aucune colonne nouvelle, aucune migration : le prix que la boutique saisit sur sa fiche produit EST son prix net. La plateforme affiche ce prix majoré de 13 % et calcule les trois parts.</w:t>
      </w:r>
    </w:p>
    <w:p>
      <w:pPr>
        <w:spacing w:after="120" w:line="276"/>
      </w:pPr>
      <w:r>
        <w:rPr>
          <w:rFonts w:ascii="Calibri" w:cs="Calibri" w:eastAsia="Calibri" w:hAnsi="Calibri"/>
          <w:color w:val="1A1A1A"/>
          <w:sz w:val="21"/>
          <w:szCs w:val="21"/>
        </w:rPr>
        <w:t xml:space="preserve">La majoration s'applique aux boutiques d'un rayon, et à elles seules. Une boutique hors rayon garde son affichage actuel — c'est une propriété du rayon, pas du produit, et ça se résout tout seul le jour où tout est en rayon.</w:t>
      </w:r>
    </w:p>
    <w:p>
      <w:pPr>
        <w:spacing w:after="60"/>
      </w:pPr>
    </w:p>
    <w:tbl>
      <w:tblPr>
        <w:tblW w:type="dxa" w:w="9000"/>
        <w:tblBorders>
          <w:top w:val="single" w:color="0E6E63" w:sz="2"/>
          <w:left w:val="single" w:color="0E6E63" w:sz="18"/>
          <w:bottom w:val="single" w:color="0E6E63" w:sz="2"/>
          <w:right w:val="single" w:color="0E6E63" w:sz="2"/>
          <w:insideH w:val="none"/>
          <w:insideV w:val="none"/>
        </w:tblBorders>
      </w:tblPr>
      <w:tblGrid>
        <w:gridCol w:w="9000"/>
      </w:tblGrid>
      <w:tr>
        <w:tc>
          <w:tcPr>
            <w:tcW w:type="dxa" w:w="9000"/>
            <w:shd w:fill="EEF5F4" w:val="clear"/>
            <w:tcMar>
              <w:top w:type="dxa" w:w="160"/>
              <w:left w:type="dxa" w:w="220"/>
              <w:bottom w:type="dxa" w:w="160"/>
              <w:right w:type="dxa" w:w="220"/>
            </w:tcMar>
          </w:tcPr>
          <w:p>
            <w:pPr>
              <w:spacing w:after="70" w:line="276"/>
            </w:pPr>
            <w:r>
              <w:rPr>
                <w:rFonts w:ascii="Calibri" w:cs="Calibri" w:eastAsia="Calibri" w:hAnsi="Calibri"/>
                <w:b/>
                <w:bCs/>
                <w:color w:val="0E6E63"/>
                <w:sz w:val="18"/>
                <w:szCs w:val="18"/>
              </w:rPr>
              <w:t xml:space="preserve">LE FORMULAIRE PRODUIT DOIT MONTRER LES DEUX NOMBRES, PENDANT QU'IL TAPE</w:t>
            </w:r>
          </w:p>
          <w:p>
            <w:pPr>
              <w:spacing w:after="70" w:line="276"/>
            </w:pPr>
            <w:r>
              <w:rPr>
                <w:rFonts w:ascii="Calibri" w:cs="Calibri" w:eastAsia="Calibri" w:hAnsi="Calibri"/>
                <w:color w:val="1A1A1A"/>
                <w:sz w:val="22"/>
                <w:szCs w:val="22"/>
              </w:rPr>
              <w:t xml:space="preserve">Ton prix net · 48 000 F — c'est ce que tu reçois, en entier</w:t>
            </w:r>
          </w:p>
          <w:p>
            <w:pPr>
              <w:spacing w:after="70" w:line="276"/>
            </w:pPr>
            <w:r>
              <w:rPr>
                <w:rFonts w:ascii="Calibri" w:cs="Calibri" w:eastAsia="Calibri" w:hAnsi="Calibri"/>
                <w:color w:val="1A1A1A"/>
                <w:sz w:val="22"/>
                <w:szCs w:val="22"/>
              </w:rPr>
              <w:t xml:space="preserve">Prix affiché sur Buyticle · 54 240 F  ·  ton client relayé paiera 51 840 F</w:t>
            </w:r>
          </w:p>
        </w:tc>
      </w:tr>
    </w:tbl>
    <w:p>
      <w:pPr>
        <w:spacing w:after="120"/>
      </w:pPr>
    </w:p>
    <w:p>
      <w:pPr>
        <w:spacing w:after="120" w:line="276"/>
      </w:pPr>
      <w:r>
        <w:rPr>
          <w:rFonts w:ascii="Calibri" w:cs="Calibri" w:eastAsia="Calibri" w:hAnsi="Calibri"/>
          <w:b/>
          <w:bCs/>
          <w:color w:val="1A1A1A"/>
          <w:sz w:val="21"/>
          <w:szCs w:val="21"/>
        </w:rPr>
        <w:t xml:space="preserve">C'est le plus gros risque d'adoption de tout le projet, et il se joue sur un écran. Le premier commerçant qui découvre 54 240 F sur sa fiche là où il a tapé 48 000 pensera qu'on gonfle ses prix, il le dira dans l'allée, et le marché sera perdu avant d'avoir commencé.</w:t>
      </w:r>
    </w:p>
    <w:p>
      <w:pPr>
        <w:pBdr>
          <w:bottom w:val="single" w:color="DDE1E6" w:sz="6"/>
        </w:pBdr>
        <w:spacing w:after="200" w:before="200"/>
      </w:pPr>
    </w:p>
    <w:p>
      <w:pPr>
        <w:pStyle w:val="Heading2"/>
        <w:spacing w:after="120" w:before="260"/>
      </w:pPr>
      <w:r>
        <w:rPr>
          <w:rFonts w:ascii="Calibri" w:cs="Calibri" w:eastAsia="Calibri" w:hAnsi="Calibri"/>
          <w:b/>
          <w:bCs/>
          <w:color w:val="0E6E63"/>
          <w:sz w:val="24"/>
          <w:szCs w:val="24"/>
        </w:rPr>
        <w:t xml:space="preserve">L'affiliation paie en points, et jamais sur un relais</w:t>
      </w:r>
    </w:p>
    <w:p>
      <w:pPr>
        <w:spacing w:after="120" w:line="276"/>
      </w:pPr>
      <w:r>
        <w:rPr>
          <w:rFonts w:ascii="Calibri" w:cs="Calibri" w:eastAsia="Calibri" w:hAnsi="Calibri"/>
          <w:color w:val="1A1A1A"/>
          <w:sz w:val="21"/>
          <w:szCs w:val="21"/>
        </w:rPr>
        <w:t xml:space="preserve">Deux commissions de 5 % ne peuvent pas coexister sur la même vente : la majoration n'en finance qu'une. Trois règles règlent l'ensemble.</w:t>
      </w:r>
    </w:p>
    <w:p>
      <w:pPr>
        <w:spacing w:after="40"/>
      </w:pPr>
    </w:p>
    <w:p>
      <w:pPr>
        <w:pStyle w:val="ListParagraph"/>
        <w:numPr>
          <w:ilvl w:val="0"/>
          <w:numId w:val="2"/>
        </w:numPr>
        <w:spacing w:after="80" w:line="276"/>
      </w:pPr>
      <w:r>
        <w:rPr>
          <w:rFonts w:ascii="Calibri" w:cs="Calibri" w:eastAsia="Calibri" w:hAnsi="Calibri"/>
          <w:color w:val="1A1A1A"/>
          <w:sz w:val="21"/>
          <w:szCs w:val="21"/>
        </w:rPr>
        <w:t xml:space="preserve">Un client arrivé par relais ne déclenche aucune commission d'affiliation. Le relais l'emporte, toujours.</w:t>
      </w:r>
    </w:p>
    <w:p>
      <w:pPr>
        <w:pStyle w:val="ListParagraph"/>
        <w:numPr>
          <w:ilvl w:val="0"/>
          <w:numId w:val="2"/>
        </w:numPr>
        <w:spacing w:after="80" w:line="276"/>
      </w:pPr>
      <w:r>
        <w:rPr>
          <w:rFonts w:ascii="Calibri" w:cs="Calibri" w:eastAsia="Calibri" w:hAnsi="Calibri"/>
          <w:color w:val="1A1A1A"/>
          <w:sz w:val="21"/>
          <w:szCs w:val="21"/>
        </w:rPr>
        <w:t xml:space="preserve">Toute autre inscription la déclenche, et elle se paie en points, plus en argent. Les paliers existants — 200 points au premier filleul, 1 500 à cinq, 4 000 à dix — remplacent le pourcentage.</w:t>
      </w:r>
    </w:p>
    <w:p>
      <w:pPr>
        <w:pStyle w:val="ListParagraph"/>
        <w:numPr>
          <w:ilvl w:val="0"/>
          <w:numId w:val="2"/>
        </w:numPr>
        <w:spacing w:after="80" w:line="276"/>
      </w:pPr>
      <w:r>
        <w:rPr>
          <w:rFonts w:ascii="Calibri" w:cs="Calibri" w:eastAsia="Calibri" w:hAnsi="Calibri"/>
          <w:color w:val="1A1A1A"/>
          <w:sz w:val="21"/>
          <w:szCs w:val="21"/>
        </w:rPr>
        <w:t xml:space="preserve">Les points ne se dépensent pas sur une commande relayée : le client y a déjà ses 5 %, et une remise en points par-dessus sortirait de notre commission. Ils se dépensent quand il revient de lui-même — ce qui pousse exactement le comportement recherché.</w:t>
      </w:r>
    </w:p>
    <w:p>
      <w:pPr>
        <w:spacing w:after="120"/>
      </w:pPr>
    </w:p>
    <w:p>
      <w:pPr>
        <w:spacing w:after="120" w:line="276"/>
      </w:pPr>
      <w:r>
        <w:rPr>
          <w:rFonts w:ascii="Calibri" w:cs="Calibri" w:eastAsia="Calibri" w:hAnsi="Calibri"/>
          <w:i/>
          <w:iCs/>
          <w:color w:val="5A5A5A"/>
          <w:sz w:val="21"/>
          <w:szCs w:val="21"/>
        </w:rPr>
        <w:t xml:space="preserve">Un point vaut 0,80 F au catalogue de récompenses actuel, et on en donne un par 100 F d'achat : le programme de fidélité coûte 0,8 % du chiffre si tout se rachète. À comparer à ce qui suit.</w:t>
      </w:r>
    </w:p>
    <w:p>
      <w:pPr>
        <w:spacing w:after="160"/>
      </w:pPr>
    </w:p>
    <w:p>
      <w:pPr>
        <w:pStyle w:val="Heading2"/>
        <w:spacing w:after="120" w:before="260"/>
      </w:pPr>
      <w:r>
        <w:rPr>
          <w:rFonts w:ascii="Calibri" w:cs="Calibri" w:eastAsia="Calibri" w:hAnsi="Calibri"/>
          <w:b/>
          <w:bCs/>
          <w:color w:val="0E6E63"/>
          <w:sz w:val="24"/>
          <w:szCs w:val="24"/>
        </w:rPr>
        <w:t xml:space="preserve">Le circuit d'une vente relayée</w:t>
      </w:r>
    </w:p>
    <w:p>
      <w:pPr>
        <w:spacing w:after="120" w:line="276"/>
      </w:pPr>
      <w:r>
        <w:rPr>
          <w:rFonts w:ascii="Calibri" w:cs="Calibri" w:eastAsia="Calibri" w:hAnsi="Calibri"/>
          <w:color w:val="1A1A1A"/>
          <w:sz w:val="21"/>
          <w:szCs w:val="21"/>
        </w:rPr>
        <w:t xml:space="preserve">Sur une paire à 48 000 F de prix net, relayée et payée dans l'application.</w:t>
      </w:r>
    </w:p>
    <w:p>
      <w:pPr>
        <w:spacing w:after="60"/>
      </w:pPr>
    </w:p>
    <w:tbl>
      <w:tblPr>
        <w:tblW w:type="dxa" w:w="9000"/>
        <w:tblBorders>
          <w:top w:val="single" w:color="C9CDD2" w:sz="4"/>
          <w:left w:val="none"/>
          <w:bottom w:val="single" w:color="C9CDD2" w:sz="4"/>
          <w:right w:val="none"/>
          <w:insideH w:val="single" w:color="E4E7EA" w:sz="2"/>
          <w:insideV w:val="none"/>
        </w:tblBorders>
      </w:tblPr>
      <w:tblGrid>
        <w:gridCol w:w="2000"/>
        <w:gridCol w:w="4500"/>
        <w:gridCol w:w="2500"/>
      </w:tblGrid>
      <w:tr>
        <w:trPr>
          <w:tblHeader/>
        </w:trPr>
        <w:tc>
          <w:tcPr>
            <w:tcW w:type="dxa" w:w="20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Moment</w:t>
            </w:r>
          </w:p>
        </w:tc>
        <w:tc>
          <w:tcPr>
            <w:tcW w:type="dxa" w:w="45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Ce qui bouge</w:t>
            </w:r>
          </w:p>
        </w:tc>
        <w:tc>
          <w:tcPr>
            <w:tcW w:type="dxa" w:w="25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Montant</w:t>
            </w:r>
          </w:p>
        </w:tc>
      </w:tr>
      <w:tr>
        <w:tc>
          <w:tcPr>
            <w:tcW w:type="dxa" w:w="2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attribue</w:t>
            </w:r>
          </w:p>
        </w:tc>
        <w:tc>
          <w:tcPr>
            <w:tcW w:type="dxa" w:w="45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rien ne bouge — le bon est réservé, pas crédité</w:t>
            </w:r>
          </w:p>
        </w:tc>
        <w:tc>
          <w:tcPr>
            <w:tcW w:type="dxa" w:w="25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0 F</w:t>
            </w:r>
          </w:p>
        </w:tc>
      </w:tr>
      <w:tr>
        <w:tc>
          <w:tcPr>
            <w:tcW w:type="dxa" w:w="20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paye</w:t>
            </w:r>
          </w:p>
        </w:tc>
        <w:tc>
          <w:tcPr>
            <w:tcW w:type="dxa" w:w="45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le client est débité, Buyticle détient</w:t>
            </w:r>
          </w:p>
        </w:tc>
        <w:tc>
          <w:tcPr>
            <w:tcW w:type="dxa" w:w="25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51 840 F</w:t>
            </w:r>
          </w:p>
        </w:tc>
      </w:tr>
      <w:tr>
        <w:tc>
          <w:tcPr>
            <w:tcW w:type="dxa" w:w="20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remis</w:t>
            </w:r>
          </w:p>
        </w:tc>
        <w:tc>
          <w:tcPr>
            <w:tcW w:type="dxa" w:w="45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le solde du commerçant qui vend est crédité</w:t>
            </w:r>
          </w:p>
        </w:tc>
        <w:tc>
          <w:tcPr>
            <w:tcW w:type="dxa" w:w="2500"/>
            <w:shd w:fill="EEF5F4" w:val="clear"/>
            <w:tcMar>
              <w:top w:type="dxa" w:w="70"/>
              <w:left w:type="dxa" w:w="110"/>
              <w:bottom w:type="dxa" w:w="70"/>
              <w:right w:type="dxa" w:w="110"/>
            </w:tcMar>
          </w:tcPr>
          <w:p>
            <w:pPr>
              <w:spacing w:after="0" w:line="240"/>
              <w:jc w:val="right"/>
            </w:pPr>
            <w:r>
              <w:rPr>
                <w:rFonts w:ascii="Calibri" w:cs="Calibri" w:eastAsia="Calibri" w:hAnsi="Calibri"/>
                <w:b/>
                <w:bCs/>
                <w:color w:val="0E6E63"/>
                <w:sz w:val="19"/>
                <w:szCs w:val="19"/>
              </w:rPr>
              <w:t xml:space="preserve">48 000 F</w:t>
            </w:r>
          </w:p>
        </w:tc>
      </w:tr>
      <w:tr>
        <w:tc>
          <w:tcPr>
            <w:tcW w:type="dxa" w:w="20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remis</w:t>
            </w:r>
          </w:p>
        </w:tc>
        <w:tc>
          <w:tcPr>
            <w:tcW w:type="dxa" w:w="45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le bon de la boutique qui a envoyé est crédité</w:t>
            </w:r>
          </w:p>
        </w:tc>
        <w:tc>
          <w:tcPr>
            <w:tcW w:type="dxa" w:w="25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2 400 F</w:t>
            </w:r>
          </w:p>
        </w:tc>
      </w:tr>
      <w:tr>
        <w:tc>
          <w:tcPr>
            <w:tcW w:type="dxa" w:w="2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remis</w:t>
            </w:r>
          </w:p>
        </w:tc>
        <w:tc>
          <w:tcPr>
            <w:tcW w:type="dxa" w:w="45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la commission Buyticle est acquise</w:t>
            </w:r>
          </w:p>
        </w:tc>
        <w:tc>
          <w:tcPr>
            <w:tcW w:type="dxa" w:w="25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1 440 F</w:t>
            </w:r>
          </w:p>
        </w:tc>
      </w:tr>
      <w:tr>
        <w:tc>
          <w:tcPr>
            <w:tcW w:type="dxa" w:w="20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à la demande</w:t>
            </w:r>
          </w:p>
        </w:tc>
        <w:tc>
          <w:tcPr>
            <w:tcW w:type="dxa" w:w="45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le commerçant retire son solde, une fois par semaine ou par mois</w:t>
            </w:r>
          </w:p>
        </w:tc>
        <w:tc>
          <w:tcPr>
            <w:tcW w:type="dxa" w:w="25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w:t>
            </w:r>
          </w:p>
        </w:tc>
      </w:tr>
    </w:tbl>
    <w:p>
      <w:pPr>
        <w:spacing w:after="140"/>
      </w:pPr>
    </w:p>
    <w:p>
      <w:pPr>
        <w:spacing w:after="120" w:line="276"/>
      </w:pPr>
      <w:r>
        <w:rPr>
          <w:rFonts w:ascii="Calibri" w:cs="Calibri" w:eastAsia="Calibri" w:hAnsi="Calibri"/>
          <w:b/>
          <w:bCs/>
          <w:color w:val="1A1A1A"/>
          <w:sz w:val="21"/>
          <w:szCs w:val="21"/>
        </w:rPr>
        <w:t xml:space="preserve">Le paiement en espèces reste possible au comptoir, mais alors aucun des trois avantages n'existe : pas de remise pour le client, pas de bon pour l'envoyeur, pas d'avis vérifié. Et le prix payé en espèces est le prix net, jamais le prix affiché — sinon le commerçant encaisse les 13 % de majoration et l'engagement de prix ferme est mort dès la première semaine.</w:t>
      </w:r>
    </w:p>
    <w:p>
      <w:pPr>
        <w:pBdr>
          <w:bottom w:val="single" w:color="DDE1E6" w:sz="6"/>
        </w:pBdr>
        <w:spacing w:after="200" w:before="200"/>
      </w:pPr>
    </w:p>
    <w:p>
      <w:pPr>
        <w:pStyle w:val="Heading2"/>
        <w:spacing w:after="120" w:before="260"/>
      </w:pPr>
      <w:r>
        <w:rPr>
          <w:rFonts w:ascii="Calibri" w:cs="Calibri" w:eastAsia="Calibri" w:hAnsi="Calibri"/>
          <w:b/>
          <w:bCs/>
          <w:color w:val="0E6E63"/>
          <w:sz w:val="24"/>
          <w:szCs w:val="24"/>
        </w:rPr>
        <w:t xml:space="preserve">Ce que les frais de paiement changent, et il faut le regarder en face</w:t>
      </w:r>
    </w:p>
    <w:p>
      <w:pPr>
        <w:spacing w:after="120" w:line="276"/>
      </w:pPr>
      <w:r>
        <w:rPr>
          <w:rFonts w:ascii="Calibri" w:cs="Calibri" w:eastAsia="Calibri" w:hAnsi="Calibri"/>
          <w:color w:val="1A1A1A"/>
          <w:sz w:val="21"/>
          <w:szCs w:val="21"/>
        </w:rPr>
        <w:t xml:space="preserve">Encaisser en Mobile Money coûte. Sur un rayon de Mboppi, les clients paient 6 415 848 F et notre commission brute est de 178 218 F. Voilà ce qu'il en reste selon le tarif obtenu.</w:t>
      </w:r>
    </w:p>
    <w:p>
      <w:pPr>
        <w:spacing w:after="60"/>
      </w:pPr>
    </w:p>
    <w:tbl>
      <w:tblPr>
        <w:tblW w:type="dxa" w:w="9200"/>
        <w:tblBorders>
          <w:top w:val="single" w:color="C9CDD2" w:sz="4"/>
          <w:left w:val="none"/>
          <w:bottom w:val="single" w:color="C9CDD2" w:sz="4"/>
          <w:right w:val="none"/>
          <w:insideH w:val="single" w:color="E4E7EA" w:sz="2"/>
          <w:insideV w:val="none"/>
        </w:tblBorders>
      </w:tblPr>
      <w:tblGrid>
        <w:gridCol w:w="3000"/>
        <w:gridCol w:w="2200"/>
        <w:gridCol w:w="2200"/>
        <w:gridCol w:w="1800"/>
      </w:tblGrid>
      <w:tr>
        <w:trPr>
          <w:tblHeader/>
        </w:trPr>
        <w:tc>
          <w:tcPr>
            <w:tcW w:type="dxa" w:w="30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Tarif d'encaissement</w:t>
            </w:r>
          </w:p>
        </w:tc>
        <w:tc>
          <w:tcPr>
            <w:tcW w:type="dxa" w:w="22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Frais du mois</w:t>
            </w:r>
          </w:p>
        </w:tc>
        <w:tc>
          <w:tcPr>
            <w:tcW w:type="dxa" w:w="22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Commission nette</w:t>
            </w:r>
          </w:p>
        </w:tc>
        <w:tc>
          <w:tcPr>
            <w:tcW w:type="dxa" w:w="18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En % du prix net</w:t>
            </w:r>
          </w:p>
        </w:tc>
      </w:tr>
      <w:tr>
        <w:tc>
          <w:tcPr>
            <w:tcW w:type="dxa" w:w="3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2,5 % — tarif affiché courant</w:t>
            </w:r>
          </w:p>
        </w:tc>
        <w:tc>
          <w:tcPr>
            <w:tcW w:type="dxa" w:w="22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163 096 F</w:t>
            </w:r>
          </w:p>
        </w:tc>
        <w:tc>
          <w:tcPr>
            <w:tcW w:type="dxa" w:w="22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15 122 F</w:t>
            </w:r>
          </w:p>
        </w:tc>
        <w:tc>
          <w:tcPr>
            <w:tcW w:type="dxa" w:w="18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0,25 %</w:t>
            </w:r>
          </w:p>
        </w:tc>
      </w:tr>
      <w:tr>
        <w:tc>
          <w:tcPr>
            <w:tcW w:type="dxa" w:w="30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1,8 % — tarif marchand ordinaire</w:t>
            </w:r>
          </w:p>
        </w:tc>
        <w:tc>
          <w:tcPr>
            <w:tcW w:type="dxa" w:w="22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118 185 F</w:t>
            </w:r>
          </w:p>
        </w:tc>
        <w:tc>
          <w:tcPr>
            <w:tcW w:type="dxa" w:w="22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60 032 F</w:t>
            </w:r>
          </w:p>
        </w:tc>
        <w:tc>
          <w:tcPr>
            <w:tcW w:type="dxa" w:w="18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1,01 %</w:t>
            </w:r>
          </w:p>
        </w:tc>
      </w:tr>
      <w:tr>
        <w:tc>
          <w:tcPr>
            <w:tcW w:type="dxa" w:w="30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1,2 % — négocié au volume</w:t>
            </w:r>
          </w:p>
        </w:tc>
        <w:tc>
          <w:tcPr>
            <w:tcW w:type="dxa" w:w="2200"/>
            <w:shd w:fill="EEF5F4" w:val="clear"/>
            <w:tcMar>
              <w:top w:type="dxa" w:w="70"/>
              <w:left w:type="dxa" w:w="110"/>
              <w:bottom w:type="dxa" w:w="70"/>
              <w:right w:type="dxa" w:w="110"/>
            </w:tcMar>
          </w:tcPr>
          <w:p>
            <w:pPr>
              <w:spacing w:after="0" w:line="240"/>
              <w:jc w:val="right"/>
            </w:pPr>
            <w:r>
              <w:rPr>
                <w:rFonts w:ascii="Calibri" w:cs="Calibri" w:eastAsia="Calibri" w:hAnsi="Calibri"/>
                <w:b/>
                <w:bCs/>
                <w:color w:val="0E6E63"/>
                <w:sz w:val="19"/>
                <w:szCs w:val="19"/>
              </w:rPr>
              <w:t xml:space="preserve">79 690 F</w:t>
            </w:r>
          </w:p>
        </w:tc>
        <w:tc>
          <w:tcPr>
            <w:tcW w:type="dxa" w:w="2200"/>
            <w:shd w:fill="EEF5F4" w:val="clear"/>
            <w:tcMar>
              <w:top w:type="dxa" w:w="70"/>
              <w:left w:type="dxa" w:w="110"/>
              <w:bottom w:type="dxa" w:w="70"/>
              <w:right w:type="dxa" w:w="110"/>
            </w:tcMar>
          </w:tcPr>
          <w:p>
            <w:pPr>
              <w:spacing w:after="0" w:line="240"/>
              <w:jc w:val="right"/>
            </w:pPr>
            <w:r>
              <w:rPr>
                <w:rFonts w:ascii="Calibri" w:cs="Calibri" w:eastAsia="Calibri" w:hAnsi="Calibri"/>
                <w:b/>
                <w:bCs/>
                <w:color w:val="0E6E63"/>
                <w:sz w:val="19"/>
                <w:szCs w:val="19"/>
              </w:rPr>
              <w:t xml:space="preserve">98 528 F</w:t>
            </w:r>
          </w:p>
        </w:tc>
        <w:tc>
          <w:tcPr>
            <w:tcW w:type="dxa" w:w="1800"/>
            <w:shd w:fill="EEF5F4" w:val="clear"/>
            <w:tcMar>
              <w:top w:type="dxa" w:w="70"/>
              <w:left w:type="dxa" w:w="110"/>
              <w:bottom w:type="dxa" w:w="70"/>
              <w:right w:type="dxa" w:w="110"/>
            </w:tcMar>
          </w:tcPr>
          <w:p>
            <w:pPr>
              <w:spacing w:after="0" w:line="240"/>
              <w:jc w:val="right"/>
            </w:pPr>
            <w:r>
              <w:rPr>
                <w:rFonts w:ascii="Calibri" w:cs="Calibri" w:eastAsia="Calibri" w:hAnsi="Calibri"/>
                <w:b/>
                <w:bCs/>
                <w:color w:val="0E6E63"/>
                <w:sz w:val="19"/>
                <w:szCs w:val="19"/>
              </w:rPr>
              <w:t xml:space="preserve">1,66 %</w:t>
            </w:r>
          </w:p>
        </w:tc>
      </w:tr>
    </w:tbl>
    <w:p>
      <w:pPr>
        <w:spacing w:after="140"/>
      </w:pPr>
    </w:p>
    <w:p>
      <w:pPr>
        <w:spacing w:after="120" w:line="276"/>
      </w:pPr>
      <w:r>
        <w:rPr>
          <w:rFonts w:ascii="Calibri" w:cs="Calibri" w:eastAsia="Calibri" w:hAnsi="Calibri"/>
          <w:color w:val="1A1A1A"/>
          <w:sz w:val="21"/>
          <w:szCs w:val="21"/>
        </w:rPr>
        <w:t xml:space="preserve">La commission de 3 % ne rapporte donc pas 3 %. Au tarif ordinaire elle en rapporte 1, et au tarif affiché elle ne rapporte presque rien. Trois conséquences d'architecture, et elles ne sont pas négociables.</w:t>
      </w:r>
    </w:p>
    <w:p>
      <w:pPr>
        <w:spacing w:after="40"/>
      </w:pPr>
    </w:p>
    <w:p>
      <w:pPr>
        <w:pStyle w:val="ListParagraph"/>
        <w:numPr>
          <w:ilvl w:val="0"/>
          <w:numId w:val="3"/>
        </w:numPr>
        <w:spacing w:after="90" w:line="276"/>
      </w:pPr>
      <w:r>
        <w:rPr>
          <w:rFonts w:ascii="Calibri" w:cs="Calibri" w:eastAsia="Calibri" w:hAnsi="Calibri"/>
          <w:color w:val="1A1A1A"/>
          <w:sz w:val="21"/>
          <w:szCs w:val="21"/>
        </w:rPr>
        <w:t xml:space="preserve">On ne décaisse jamais à chaque vente. Le solde du commerçant s'accumule et il retire quand il veut, à partir d'un seuil. Un décaissement par vente coûte à lui seul plus que la commission entière — le mois passe en négatif.</w:t>
      </w:r>
    </w:p>
    <w:p>
      <w:pPr>
        <w:pStyle w:val="ListParagraph"/>
        <w:numPr>
          <w:ilvl w:val="0"/>
          <w:numId w:val="3"/>
        </w:numPr>
        <w:spacing w:after="90" w:line="276"/>
      </w:pPr>
      <w:r>
        <w:rPr>
          <w:rFonts w:ascii="Calibri" w:cs="Calibri" w:eastAsia="Calibri" w:hAnsi="Calibri"/>
          <w:color w:val="1A1A1A"/>
          <w:sz w:val="21"/>
          <w:szCs w:val="21"/>
        </w:rPr>
        <w:t xml:space="preserve">Le tarif d'encaissement se négocie avant d'ouvrir le deuxième rayon, pas après. C'est le seul poste où un point de pourcentage vaut plus que dix boutiques recrutées.</w:t>
      </w:r>
    </w:p>
    <w:p>
      <w:pPr>
        <w:pStyle w:val="ListParagraph"/>
        <w:numPr>
          <w:ilvl w:val="0"/>
          <w:numId w:val="3"/>
        </w:numPr>
        <w:spacing w:after="90" w:line="276"/>
      </w:pPr>
      <w:r>
        <w:rPr>
          <w:rFonts w:ascii="Calibri" w:cs="Calibri" w:eastAsia="Calibri" w:hAnsi="Calibri"/>
          <w:color w:val="1A1A1A"/>
          <w:sz w:val="21"/>
          <w:szCs w:val="21"/>
        </w:rPr>
        <w:t xml:space="preserve">Le plan financier se construit sur une commission nette de 1 %, pas de 3 %. Ce qui ne change pas la conclusion du chapitre 11 de la stratégie — la commission reste la seule ligne qui grandit quand le relais recule — mais réduit son poids de moitié face à l'abonnement, et interdit de rendre l'abonnement déductible trop vite.</w:t>
      </w:r>
    </w:p>
    <w:p>
      <w:pPr>
        <w:spacing w:after="140"/>
      </w:pPr>
    </w:p>
    <w:p>
      <w:pPr>
        <w:spacing w:after="120" w:line="276"/>
      </w:pPr>
      <w:r>
        <w:rPr>
          <w:rFonts w:ascii="Calibri" w:cs="Calibri" w:eastAsia="Calibri" w:hAnsi="Calibri"/>
          <w:b/>
          <w:bCs/>
          <w:color w:val="1A1A1A"/>
          <w:sz w:val="21"/>
          <w:szCs w:val="21"/>
        </w:rPr>
        <w:t xml:space="preserve">C'est le chiffre le plus important de ce document, et c'est celui qu'on découvre d'habitude au sixième mois.</w:t>
      </w:r>
    </w:p>
    <w:p>
      <w:r>
        <w:br w:type="page"/>
      </w:r>
    </w:p>
    <w:p>
      <w:pPr>
        <w:pStyle w:val="Heading1"/>
        <w:spacing w:after="160" w:before="360"/>
      </w:pPr>
      <w:r>
        <w:rPr>
          <w:rFonts w:ascii="Calibri" w:cs="Calibri" w:eastAsia="Calibri" w:hAnsi="Calibri"/>
          <w:b/>
          <w:bCs/>
          <w:color w:val="1A1A1A"/>
          <w:sz w:val="30"/>
          <w:szCs w:val="30"/>
        </w:rPr>
        <w:t xml:space="preserve">8. Le réseau, parce qu'on est à Mboppi</w:t>
      </w:r>
    </w:p>
    <w:p>
      <w:pPr>
        <w:spacing w:after="120" w:line="276"/>
      </w:pPr>
      <w:r>
        <w:rPr>
          <w:rFonts w:ascii="Calibri" w:cs="Calibri" w:eastAsia="Calibri" w:hAnsi="Calibri"/>
          <w:color w:val="1A1A1A"/>
          <w:sz w:val="21"/>
          <w:szCs w:val="21"/>
        </w:rPr>
        <w:t xml:space="preserve">La data tombe, les téléphones sont pleins, et le mécanisme repose sur une réponse en trente secondes. Trois choses doivent fonctionner sans connexion, les autres peuvent attendre.</w:t>
      </w:r>
    </w:p>
    <w:p>
      <w:pPr>
        <w:spacing w:after="60"/>
      </w:pPr>
    </w:p>
    <w:tbl>
      <w:tblPr>
        <w:tblW w:type="dxa" w:w="9000"/>
        <w:tblBorders>
          <w:top w:val="single" w:color="C9CDD2" w:sz="4"/>
          <w:left w:val="none"/>
          <w:bottom w:val="single" w:color="C9CDD2" w:sz="4"/>
          <w:right w:val="none"/>
          <w:insideH w:val="single" w:color="E4E7EA" w:sz="2"/>
          <w:insideV w:val="none"/>
        </w:tblBorders>
      </w:tblPr>
      <w:tblGrid>
        <w:gridCol w:w="2700"/>
        <w:gridCol w:w="3900"/>
        <w:gridCol w:w="2400"/>
      </w:tblGrid>
      <w:tr>
        <w:trPr>
          <w:tblHeader/>
        </w:trPr>
        <w:tc>
          <w:tcPr>
            <w:tcW w:type="dxa" w:w="27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Ce qui doit marcher hors ligne</w:t>
            </w:r>
          </w:p>
        </w:tc>
        <w:tc>
          <w:tcPr>
            <w:tcW w:type="dxa" w:w="39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Comment</w:t>
            </w:r>
          </w:p>
        </w:tc>
        <w:tc>
          <w:tcPr>
            <w:tcW w:type="dxa" w:w="24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Ce qui se synchronise après</w:t>
            </w:r>
          </w:p>
        </w:tc>
      </w:tr>
      <w:tr>
        <w:tc>
          <w:tcPr>
            <w:tcW w:type="dxa" w:w="27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Valider un code au comptoir</w:t>
            </w:r>
          </w:p>
        </w:tc>
        <w:tc>
          <w:tcPr>
            <w:tcW w:type="dxa" w:w="39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en réalité, pas besoin : le paiement qui suit trente secondes plus tard exige du réseau de toute façon</w:t>
            </w:r>
          </w:p>
        </w:tc>
        <w:tc>
          <w:tcPr>
            <w:tcW w:type="dxa" w:w="24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rien — le code se vérifie en ligne</w:t>
            </w:r>
          </w:p>
        </w:tc>
      </w:tr>
      <w:tr>
        <w:tc>
          <w:tcPr>
            <w:tcW w:type="dxa" w:w="27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Afficher son itinéraire au client</w:t>
            </w:r>
          </w:p>
        </w:tc>
        <w:tc>
          <w:tcPr>
            <w:tcW w:type="dxa" w:w="39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les trois étapes et la photo sont chargées au moment de l'attribution</w:t>
            </w:r>
          </w:p>
        </w:tc>
        <w:tc>
          <w:tcPr>
            <w:tcW w:type="dxa" w:w="24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rien</w:t>
            </w:r>
          </w:p>
        </w:tc>
      </w:tr>
      <w:tr>
        <w:tc>
          <w:tcPr>
            <w:tcW w:type="dxa" w:w="27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Consulter son propre catalogue</w:t>
            </w:r>
          </w:p>
        </w:tc>
        <w:tc>
          <w:tcPr>
            <w:tcW w:type="dxa" w:w="39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le stock référencé de sa boutique est gardé sur le téléphone</w:t>
            </w:r>
          </w:p>
        </w:tc>
        <w:tc>
          <w:tcPr>
            <w:tcW w:type="dxa" w:w="24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les modifications</w:t>
            </w:r>
          </w:p>
        </w:tc>
      </w:tr>
      <w:tr>
        <w:tc>
          <w:tcPr>
            <w:tcW w:type="dxa" w:w="27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Répondre à un appel</w:t>
            </w:r>
          </w:p>
        </w:tc>
        <w:tc>
          <w:tcPr>
            <w:tcW w:type="dxa" w:w="39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impossible hors ligne — mais l'appel bascule en SMS après 10 secondes sans accusé de réception</w:t>
            </w:r>
          </w:p>
        </w:tc>
        <w:tc>
          <w:tcPr>
            <w:tcW w:type="dxa" w:w="24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la réponse par SMS remonte comme une réponse normale</w:t>
            </w:r>
          </w:p>
        </w:tc>
      </w:tr>
    </w:tbl>
    <w:p>
      <w:pPr>
        <w:spacing w:after="140"/>
      </w:pPr>
    </w:p>
    <w:p>
      <w:pPr>
        <w:spacing w:after="120" w:line="276"/>
      </w:pPr>
      <w:r>
        <w:rPr>
          <w:rFonts w:ascii="Calibri" w:cs="Calibri" w:eastAsia="Calibri" w:hAnsi="Calibri"/>
          <w:color w:val="1A1A1A"/>
          <w:sz w:val="21"/>
          <w:szCs w:val="21"/>
        </w:rPr>
        <w:t xml:space="preserve">Le paiement, lui, ne peut pas être hors ligne. Un client sans réseau au comptoir paie en espèces au prix net, et le relais se termine en annule — l'envoyeur ne touche rien. C'est frustrant et c'est honnête ; toute autre solution reviendrait à créer une créance entre nous et un commerçant.</w:t>
      </w:r>
    </w:p>
    <w:p>
      <w:r>
        <w:br w:type="page"/>
      </w:r>
    </w:p>
    <w:p>
      <w:pPr>
        <w:pStyle w:val="Heading1"/>
        <w:spacing w:after="160" w:before="360"/>
      </w:pPr>
      <w:r>
        <w:rPr>
          <w:rFonts w:ascii="Calibri" w:cs="Calibri" w:eastAsia="Calibri" w:hAnsi="Calibri"/>
          <w:b/>
          <w:bCs/>
          <w:color w:val="1A1A1A"/>
          <w:sz w:val="30"/>
          <w:szCs w:val="30"/>
        </w:rPr>
        <w:t xml:space="preserve">9. La fraude</w:t>
      </w:r>
    </w:p>
    <w:p>
      <w:pPr>
        <w:spacing w:after="120" w:line="276"/>
      </w:pPr>
      <w:r>
        <w:rPr>
          <w:rFonts w:ascii="Calibri" w:cs="Calibri" w:eastAsia="Calibri" w:hAnsi="Calibri"/>
          <w:color w:val="1A1A1A"/>
          <w:sz w:val="21"/>
          <w:szCs w:val="21"/>
        </w:rPr>
        <w:t xml:space="preserve">Six manières de tricher, et ce qui les bloque. Cinq sont bloquées par la structure ; une seule demande une surveillance.</w:t>
      </w:r>
    </w:p>
    <w:p>
      <w:pPr>
        <w:spacing w:after="80"/>
      </w:pPr>
    </w:p>
    <w:tbl>
      <w:tblPr>
        <w:tblW w:type="dxa" w:w="9000"/>
        <w:tblBorders>
          <w:top w:val="single" w:color="C9CDD2" w:sz="4"/>
          <w:left w:val="none"/>
          <w:bottom w:val="single" w:color="C9CDD2" w:sz="4"/>
          <w:right w:val="none"/>
          <w:insideH w:val="single" w:color="E4E7EA" w:sz="2"/>
          <w:insideV w:val="none"/>
        </w:tblBorders>
      </w:tblPr>
      <w:tblGrid>
        <w:gridCol w:w="3400"/>
        <w:gridCol w:w="5600"/>
      </w:tblGrid>
      <w:tr>
        <w:trPr>
          <w:tblHeader/>
        </w:trPr>
        <w:tc>
          <w:tcPr>
            <w:tcW w:type="dxa" w:w="34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La triche</w:t>
            </w:r>
          </w:p>
        </w:tc>
        <w:tc>
          <w:tcPr>
            <w:tcW w:type="dxa" w:w="56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Ce qui la bloque</w:t>
            </w:r>
          </w:p>
        </w:tc>
      </w:tr>
      <w:tr>
        <w:tc>
          <w:tcPr>
            <w:tcW w:type="dxa" w:w="34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Déclarer comme relayé un client qui allait acheter là de toute façon</w:t>
            </w:r>
          </w:p>
        </w:tc>
        <w:tc>
          <w:tcPr>
            <w:tcW w:type="dxa" w:w="5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l'envoyeur ne choisit pas le destinataire. Il faudrait que l'arbitrage désigne justement le complice, dans les 30 secondes, et pour cette demande précise</w:t>
            </w:r>
          </w:p>
        </w:tc>
      </w:tr>
      <w:tr>
        <w:tc>
          <w:tcPr>
            <w:tcW w:type="dxa" w:w="34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Deux boutiques qui se renvoient de faux clients pour cultiver des bons</w:t>
            </w:r>
          </w:p>
        </w:tc>
        <w:tc>
          <w:tcPr>
            <w:tcW w:type="dxa" w:w="56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il faut un vrai paiement pour créer un bon : elles dépensent 8 % pour en récupérer 5. La triche coûte plus qu'elle ne rapporte</w:t>
            </w:r>
          </w:p>
        </w:tc>
      </w:tr>
      <w:tr>
        <w:tc>
          <w:tcPr>
            <w:tcW w:type="dxa" w:w="34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Déclarer un prix net gonflé pour absorber la majoration</w:t>
            </w:r>
          </w:p>
        </w:tc>
        <w:tc>
          <w:tcPr>
            <w:tcW w:type="dxa" w:w="5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les prix nets des répondants s'affichent côte à côte à l'arbitrage. Et ce sont les concurrents qui décident où part le client</w:t>
            </w:r>
          </w:p>
        </w:tc>
      </w:tr>
      <w:tr>
        <w:tc>
          <w:tcPr>
            <w:tcW w:type="dxa" w:w="34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Écrire de faux avis</w:t>
            </w:r>
          </w:p>
        </w:tc>
        <w:tc>
          <w:tcPr>
            <w:tcW w:type="dxa" w:w="56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un avis n'existe que sur un relais arrivé à l'état remis. Il n'y a pas d'autre porte</w:t>
            </w:r>
          </w:p>
        </w:tc>
      </w:tr>
      <w:tr>
        <w:tc>
          <w:tcPr>
            <w:tcW w:type="dxa" w:w="34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Le rabatteur qui intercepte le client en route</w:t>
            </w:r>
          </w:p>
        </w:tc>
        <w:tc>
          <w:tcPr>
            <w:tcW w:type="dxa" w:w="5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il ne peut pas honorer le code : la remise n'existe que chez la boutique désignée</w:t>
            </w:r>
          </w:p>
        </w:tc>
      </w:tr>
      <w:tr>
        <w:tc>
          <w:tcPr>
            <w:tcW w:type="dxa" w:w="34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Créer plusieurs comptes pour cumuler les remises</w:t>
            </w:r>
          </w:p>
        </w:tc>
        <w:tc>
          <w:tcPr>
            <w:tcW w:type="dxa" w:w="56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le numéro est vérifié par le paiement Mobile Money, et un même numéro ne peut pas être deux comptes</w:t>
            </w:r>
          </w:p>
        </w:tc>
      </w:tr>
    </w:tbl>
    <w:p>
      <w:pPr>
        <w:spacing w:after="140"/>
      </w:pPr>
    </w:p>
    <w:p>
      <w:pPr>
        <w:pStyle w:val="Heading2"/>
        <w:spacing w:after="120" w:before="260"/>
      </w:pPr>
      <w:r>
        <w:rPr>
          <w:rFonts w:ascii="Calibri" w:cs="Calibri" w:eastAsia="Calibri" w:hAnsi="Calibri"/>
          <w:b/>
          <w:bCs/>
          <w:color w:val="0E6E63"/>
          <w:sz w:val="24"/>
          <w:szCs w:val="24"/>
        </w:rPr>
        <w:t xml:space="preserve">Celle qui demande une surveillance</w:t>
      </w:r>
    </w:p>
    <w:p>
      <w:pPr>
        <w:spacing w:after="120" w:line="276"/>
      </w:pPr>
      <w:r>
        <w:rPr>
          <w:rFonts w:ascii="Calibri" w:cs="Calibri" w:eastAsia="Calibri" w:hAnsi="Calibri"/>
          <w:color w:val="1A1A1A"/>
          <w:sz w:val="21"/>
          <w:szCs w:val="21"/>
        </w:rPr>
        <w:t xml:space="preserve">La collusion durable entre deux boutiques voisines, qui contournent l'arbitrage en s'arrangeant hors application. Elle ne se bloque pas par la structure, mais elle se voit dans les chiffres : trois compteurs suffisent.</w:t>
      </w:r>
    </w:p>
    <w:p>
      <w:pPr>
        <w:spacing w:after="40"/>
      </w:pPr>
    </w:p>
    <w:p>
      <w:pPr>
        <w:pStyle w:val="ListParagraph"/>
        <w:numPr>
          <w:ilvl w:val="0"/>
          <w:numId w:val="2"/>
        </w:numPr>
        <w:spacing w:after="80" w:line="276"/>
      </w:pPr>
      <w:r>
        <w:rPr>
          <w:rFonts w:ascii="Calibri" w:cs="Calibri" w:eastAsia="Calibri" w:hAnsi="Calibri"/>
          <w:color w:val="1A1A1A"/>
          <w:sz w:val="21"/>
          <w:szCs w:val="21"/>
        </w:rPr>
        <w:t xml:space="preserve">La part des relais d'une boutique qui partent vers une même autre. Au-delà de 40 %, on regarde.</w:t>
      </w:r>
    </w:p>
    <w:p>
      <w:pPr>
        <w:pStyle w:val="ListParagraph"/>
        <w:numPr>
          <w:ilvl w:val="0"/>
          <w:numId w:val="2"/>
        </w:numPr>
        <w:spacing w:after="80" w:line="276"/>
      </w:pPr>
      <w:r>
        <w:rPr>
          <w:rFonts w:ascii="Calibri" w:cs="Calibri" w:eastAsia="Calibri" w:hAnsi="Calibri"/>
          <w:color w:val="1A1A1A"/>
          <w:sz w:val="21"/>
          <w:szCs w:val="21"/>
        </w:rPr>
        <w:t xml:space="preserve">La part des relais qui s'écartent du classement de l'arbitrage, avec leur motif. Au-delà de 50 %, on visite.</w:t>
      </w:r>
    </w:p>
    <w:p>
      <w:pPr>
        <w:pStyle w:val="ListParagraph"/>
        <w:numPr>
          <w:ilvl w:val="0"/>
          <w:numId w:val="2"/>
        </w:numPr>
        <w:spacing w:after="80" w:line="276"/>
      </w:pPr>
      <w:r>
        <w:rPr>
          <w:rFonts w:ascii="Calibri" w:cs="Calibri" w:eastAsia="Calibri" w:hAnsi="Calibri"/>
          <w:color w:val="1A1A1A"/>
          <w:sz w:val="21"/>
          <w:szCs w:val="21"/>
        </w:rPr>
        <w:t xml:space="preserve">Le taux de transformation d'une boutique réceptrice. Un taux anormalement haut, à 100 %, signale des clients qui venaient de toute façon.</w:t>
      </w:r>
    </w:p>
    <w:p>
      <w:pPr>
        <w:spacing w:after="140"/>
      </w:pPr>
    </w:p>
    <w:p>
      <w:pPr>
        <w:spacing w:after="120" w:line="276"/>
      </w:pPr>
      <w:r>
        <w:rPr>
          <w:rFonts w:ascii="Calibri" w:cs="Calibri" w:eastAsia="Calibri" w:hAnsi="Calibri"/>
          <w:b/>
          <w:bCs/>
          <w:color w:val="1A1A1A"/>
          <w:sz w:val="21"/>
          <w:szCs w:val="21"/>
        </w:rPr>
        <w:t xml:space="preserve">Aucun de ces trois compteurs ne déclenche une sanction automatique. Ils déclenchent une visite — dans un marché de cinq cents mètres, la sanction prononcée sans avoir vu coûte plus cher que la fraude.</w:t>
      </w:r>
    </w:p>
    <w:p>
      <w:r>
        <w:br w:type="page"/>
      </w:r>
    </w:p>
    <w:p>
      <w:pPr>
        <w:pStyle w:val="Heading1"/>
        <w:spacing w:after="160" w:before="360"/>
      </w:pPr>
      <w:r>
        <w:rPr>
          <w:rFonts w:ascii="Calibri" w:cs="Calibri" w:eastAsia="Calibri" w:hAnsi="Calibri"/>
          <w:b/>
          <w:bCs/>
          <w:color w:val="1A1A1A"/>
          <w:sz w:val="30"/>
          <w:szCs w:val="30"/>
        </w:rPr>
        <w:t xml:space="preserve">10. Ce qu'on ne construit pas en version 1</w:t>
      </w:r>
    </w:p>
    <w:tbl>
      <w:tblPr>
        <w:tblW w:type="dxa" w:w="9000"/>
        <w:tblBorders>
          <w:top w:val="single" w:color="C9CDD2" w:sz="4"/>
          <w:left w:val="none"/>
          <w:bottom w:val="single" w:color="C9CDD2" w:sz="4"/>
          <w:right w:val="none"/>
          <w:insideH w:val="single" w:color="E4E7EA" w:sz="2"/>
          <w:insideV w:val="none"/>
        </w:tblBorders>
      </w:tblPr>
      <w:tblGrid>
        <w:gridCol w:w="2400"/>
        <w:gridCol w:w="4300"/>
        <w:gridCol w:w="2300"/>
      </w:tblGrid>
      <w:tr>
        <w:trPr>
          <w:tblHeader/>
        </w:trPr>
        <w:tc>
          <w:tcPr>
            <w:tcW w:type="dxa" w:w="24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Ce qu'on écarte</w:t>
            </w:r>
          </w:p>
        </w:tc>
        <w:tc>
          <w:tcPr>
            <w:tcW w:type="dxa" w:w="43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Pourquoi</w:t>
            </w:r>
          </w:p>
        </w:tc>
        <w:tc>
          <w:tcPr>
            <w:tcW w:type="dxa" w:w="23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Quand on y revient</w:t>
            </w:r>
          </w:p>
        </w:tc>
      </w:tr>
      <w:tr>
        <w:tc>
          <w:tcPr>
            <w:tcW w:type="dxa" w:w="24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Les comptes par employé</w:t>
            </w:r>
          </w:p>
        </w:tc>
        <w:tc>
          <w:tcPr>
            <w:tcW w:type="dxa" w:w="43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des mois de travail, et une application qui verse de l'argent au personnel se fait bannir par le patron</w:t>
            </w:r>
          </w:p>
        </w:tc>
        <w:tc>
          <w:tcPr>
            <w:tcW w:type="dxa" w:w="23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quand le compteur de renvois aura prouvé que la prime augmente le volume</w:t>
            </w:r>
          </w:p>
        </w:tc>
      </w:tr>
      <w:tr>
        <w:tc>
          <w:tcPr>
            <w:tcW w:type="dxa" w:w="24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La gestion de stock</w:t>
            </w:r>
          </w:p>
        </w:tc>
        <w:tc>
          <w:tcPr>
            <w:tcW w:type="dxa" w:w="43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aucun commerçant ne la tiendra à jour, et le mécanisme est bâti pour s'en passer</w:t>
            </w:r>
          </w:p>
        </w:tc>
        <w:tc>
          <w:tcPr>
            <w:tcW w:type="dxa" w:w="23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jamais, sauf demande d'une boutique</w:t>
            </w:r>
          </w:p>
        </w:tc>
      </w:tr>
      <w:tr>
        <w:tc>
          <w:tcPr>
            <w:tcW w:type="dxa" w:w="24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Une flotte de livraison</w:t>
            </w:r>
          </w:p>
        </w:tc>
        <w:tc>
          <w:tcPr>
            <w:tcW w:type="dxa" w:w="43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la boutique qui vend livre elle-même, comme elle le fait déjà</w:t>
            </w:r>
          </w:p>
        </w:tc>
        <w:tc>
          <w:tcPr>
            <w:tcW w:type="dxa" w:w="23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si le rayon meuble s'ouvre un jour</w:t>
            </w:r>
          </w:p>
        </w:tc>
      </w:tr>
      <w:tr>
        <w:tc>
          <w:tcPr>
            <w:tcW w:type="dxa" w:w="24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La prise de rendez-vous pour les services</w:t>
            </w:r>
          </w:p>
        </w:tc>
        <w:tc>
          <w:tcPr>
            <w:tcW w:type="dxa" w:w="43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le commerçant de services émet des relais, il n'en reçoit pas — il n'a pas besoin d'un agenda pour ça</w:t>
            </w:r>
          </w:p>
        </w:tc>
        <w:tc>
          <w:tcPr>
            <w:tcW w:type="dxa" w:w="23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quand un rayon de services purs sera envisagé</w:t>
            </w:r>
          </w:p>
        </w:tc>
      </w:tr>
      <w:tr>
        <w:tc>
          <w:tcPr>
            <w:tcW w:type="dxa" w:w="24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La messagerie entre commerçants</w:t>
            </w:r>
          </w:p>
        </w:tc>
        <w:tc>
          <w:tcPr>
            <w:tcW w:type="dxa" w:w="43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ils ont déjà WhatsApp et ils s'en servent mieux que nous ne le ferions</w:t>
            </w:r>
          </w:p>
        </w:tc>
        <w:tc>
          <w:tcPr>
            <w:tcW w:type="dxa" w:w="23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jamais</w:t>
            </w:r>
          </w:p>
        </w:tc>
      </w:tr>
      <w:tr>
        <w:tc>
          <w:tcPr>
            <w:tcW w:type="dxa" w:w="24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Le décaissement automatique</w:t>
            </w:r>
          </w:p>
        </w:tc>
        <w:tc>
          <w:tcPr>
            <w:tcW w:type="dxa" w:w="43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il coûte plus cher que la commission qu'il accompagne</w:t>
            </w:r>
          </w:p>
        </w:tc>
        <w:tc>
          <w:tcPr>
            <w:tcW w:type="dxa" w:w="23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jamais — le retrait reste à l'initiative du commerçant</w:t>
            </w:r>
          </w:p>
        </w:tc>
      </w:tr>
    </w:tbl>
    <w:p>
      <w:pPr>
        <w:spacing w:after="160"/>
      </w:pPr>
    </w:p>
    <w:p>
      <w:pPr>
        <w:pStyle w:val="Heading1"/>
        <w:spacing w:after="160" w:before="360"/>
      </w:pPr>
      <w:r>
        <w:rPr>
          <w:rFonts w:ascii="Calibri" w:cs="Calibri" w:eastAsia="Calibri" w:hAnsi="Calibri"/>
          <w:b/>
          <w:bCs/>
          <w:color w:val="1A1A1A"/>
          <w:sz w:val="30"/>
          <w:szCs w:val="30"/>
        </w:rPr>
        <w:t xml:space="preserve">11. Le modèle de données minimal</w:t>
      </w:r>
    </w:p>
    <w:p>
      <w:pPr>
        <w:spacing w:after="120" w:line="276"/>
      </w:pPr>
      <w:r>
        <w:rPr>
          <w:rFonts w:ascii="Calibri" w:cs="Calibri" w:eastAsia="Calibri" w:hAnsi="Calibri"/>
          <w:color w:val="1A1A1A"/>
          <w:sz w:val="21"/>
          <w:szCs w:val="21"/>
        </w:rPr>
        <w:t xml:space="preserve">Onze tables. Tout ce que ce document décrit tient dedans, et rien de ce qui n'y est pas ne doit être construit en version 1. Il n'y a pas de table pour le personnel : un seul compte par boutique, celui du patron.</w:t>
      </w:r>
    </w:p>
    <w:p>
      <w:pPr>
        <w:spacing w:after="60"/>
      </w:pPr>
    </w:p>
    <w:tbl>
      <w:tblPr>
        <w:tblW w:type="dxa" w:w="9000"/>
        <w:tblBorders>
          <w:top w:val="single" w:color="C9CDD2" w:sz="4"/>
          <w:left w:val="none"/>
          <w:bottom w:val="single" w:color="C9CDD2" w:sz="4"/>
          <w:right w:val="none"/>
          <w:insideH w:val="single" w:color="E4E7EA" w:sz="2"/>
          <w:insideV w:val="none"/>
        </w:tblBorders>
      </w:tblPr>
      <w:tblGrid>
        <w:gridCol w:w="2200"/>
        <w:gridCol w:w="6800"/>
      </w:tblGrid>
      <w:tr>
        <w:trPr>
          <w:tblHeader/>
        </w:trPr>
        <w:tc>
          <w:tcPr>
            <w:tcW w:type="dxa" w:w="22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Table</w:t>
            </w:r>
          </w:p>
        </w:tc>
        <w:tc>
          <w:tcPr>
            <w:tcW w:type="dxa" w:w="68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Ce qu'elle porte</w:t>
            </w:r>
          </w:p>
        </w:tc>
      </w:tr>
      <w:tr>
        <w:tc>
          <w:tcPr>
            <w:tcW w:type="dxa" w:w="22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rayon</w:t>
            </w:r>
          </w:p>
        </w:tc>
        <w:tc>
          <w:tcPr>
            <w:tcW w:type="dxa" w:w="68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zone, familles ouvertes, seuils, boutiques membres</w:t>
            </w:r>
          </w:p>
        </w:tc>
      </w:tr>
      <w:tr>
        <w:tc>
          <w:tcPr>
            <w:tcW w:type="dxa" w:w="22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boutique</w:t>
            </w:r>
          </w:p>
        </w:tc>
        <w:tc>
          <w:tcPr>
            <w:tcW w:type="dxa" w:w="68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type produit ou service, catégorie de recrutement, profil, tarif d'abonnement</w:t>
            </w:r>
          </w:p>
        </w:tc>
      </w:tr>
      <w:tr>
        <w:tc>
          <w:tcPr>
            <w:tcW w:type="dxa" w:w="22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famille</w:t>
            </w:r>
          </w:p>
        </w:tc>
        <w:tc>
          <w:tcPr>
            <w:tcW w:type="dxa" w:w="68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variantes estimées, p, porteurs nécessaires, porteurs réels</w:t>
            </w:r>
          </w:p>
        </w:tc>
      </w:tr>
      <w:tr>
        <w:tc>
          <w:tcPr>
            <w:tcW w:type="dxa" w:w="22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article</w:t>
            </w:r>
          </w:p>
        </w:tc>
        <w:tc>
          <w:tcPr>
            <w:tcW w:type="dxa" w:w="68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boutique, famille, désignation, photo, prix net, date de dernière confirmation</w:t>
            </w:r>
          </w:p>
        </w:tc>
      </w:tr>
      <w:tr>
        <w:tc>
          <w:tcPr>
            <w:tcW w:type="dxa" w:w="22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demande</w:t>
            </w:r>
          </w:p>
        </w:tc>
        <w:tc>
          <w:tcPr>
            <w:tcW w:type="dxa" w:w="68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vendeur, famille, description, contrainte, budget, résultat</w:t>
            </w:r>
          </w:p>
        </w:tc>
      </w:tr>
      <w:tr>
        <w:tc>
          <w:tcPr>
            <w:tcW w:type="dxa" w:w="22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appel</w:t>
            </w:r>
          </w:p>
        </w:tc>
        <w:tc>
          <w:tcPr>
            <w:tcW w:type="dxa" w:w="68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demande, boutiques interrogées, fermé ou ouvert, horloge</w:t>
            </w:r>
          </w:p>
        </w:tc>
      </w:tr>
      <w:tr>
        <w:tc>
          <w:tcPr>
            <w:tcW w:type="dxa" w:w="22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reponse</w:t>
            </w:r>
          </w:p>
        </w:tc>
        <w:tc>
          <w:tcPr>
            <w:tcW w:type="dxa" w:w="68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appel, boutique, oui ou non, article, prix net, délai de réponse</w:t>
            </w:r>
          </w:p>
        </w:tc>
      </w:tr>
      <w:tr>
        <w:tc>
          <w:tcPr>
            <w:tcW w:type="dxa" w:w="22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relais</w:t>
            </w:r>
          </w:p>
        </w:tc>
        <w:tc>
          <w:tcPr>
            <w:tcW w:type="dxa" w:w="68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les douze états, l'horodatage de chacun, le classement d'arbitrage et le motif d'écart</w:t>
            </w:r>
          </w:p>
        </w:tc>
      </w:tr>
      <w:tr>
        <w:tc>
          <w:tcPr>
            <w:tcW w:type="dxa" w:w="22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commande</w:t>
            </w:r>
          </w:p>
        </w:tc>
        <w:tc>
          <w:tcPr>
            <w:tcW w:type="dxa" w:w="68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relais, articles, prix net, majoration, remise, total payé</w:t>
            </w:r>
          </w:p>
        </w:tc>
      </w:tr>
      <w:tr>
        <w:tc>
          <w:tcPr>
            <w:tcW w:type="dxa" w:w="22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mouvement</w:t>
            </w:r>
          </w:p>
        </w:tc>
        <w:tc>
          <w:tcPr>
            <w:tcW w:type="dxa" w:w="68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solde ou bon, crédit ou débit, relais d'origine, état</w:t>
            </w:r>
          </w:p>
        </w:tc>
      </w:tr>
      <w:tr>
        <w:tc>
          <w:tcPr>
            <w:tcW w:type="dxa" w:w="22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avis</w:t>
            </w:r>
          </w:p>
        </w:tc>
        <w:tc>
          <w:tcPr>
            <w:tcW w:type="dxa" w:w="68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commande, note boutique, note produit, texte, date</w:t>
            </w:r>
          </w:p>
        </w:tc>
      </w:tr>
    </w:tbl>
    <w:p>
      <w:pPr>
        <w:spacing w:after="140"/>
      </w:pPr>
    </w:p>
    <w:p>
      <w:pPr>
        <w:spacing w:after="120" w:line="276"/>
      </w:pPr>
      <w:r>
        <w:rPr>
          <w:rFonts w:ascii="Calibri" w:cs="Calibri" w:eastAsia="Calibri" w:hAnsi="Calibri"/>
          <w:b/>
          <w:bCs/>
          <w:color w:val="1A1A1A"/>
          <w:sz w:val="21"/>
          <w:szCs w:val="21"/>
        </w:rPr>
        <w:t xml:space="preserve">Deux tables méritent une attention particulière. reponse porte le délai de réponse de chaque boutique : c'est lui qui alimente l'engagement des trente secondes et le retrait d'arbitrage. Et relais porte le classement proposé en face du choix réel : c'est le seul endroit où la triche de collusion laisse une trace.</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L'architecture — le circuit du relais, écran par écran</dc:title>
  <dc:creator>Buyticle</dc:creator>
  <dc:description>Spécification : catalogue et appel, parcours vendeur et client, états, argent, réseau, fraude</dc:description>
  <cp:lastModifiedBy>Un-named</cp:lastModifiedBy>
  <cp:revision>1</cp:revision>
  <dcterms:created xsi:type="dcterms:W3CDTF">2026-08-16T02:44:01.134Z</dcterms:created>
  <dcterms:modified xsi:type="dcterms:W3CDTF">2026-08-16T02:44:01.147Z</dcterms:modified>
</cp:coreProperties>
</file>

<file path=docProps/custom.xml><?xml version="1.0" encoding="utf-8"?>
<Properties xmlns="http://schemas.openxmlformats.org/officeDocument/2006/custom-properties" xmlns:vt="http://schemas.openxmlformats.org/officeDocument/2006/docPropsVTypes"/>
</file>