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100"/>
      </w:pPr>
      <w:r>
        <w:rPr>
          <w:rFonts w:ascii="Calibri" w:cs="Calibri" w:eastAsia="Calibri" w:hAnsi="Calibri"/>
          <w:b/>
          <w:bCs/>
          <w:color w:val="1A1A1A"/>
          <w:sz w:val="58"/>
          <w:szCs w:val="58"/>
        </w:rPr>
        <w:t xml:space="preserve">LES PROFILS</w:t>
      </w:r>
    </w:p>
    <w:p>
      <w:pPr>
        <w:pBdr>
          <w:bottom w:val="single" w:color="0E6E63" w:sz="12"/>
        </w:pBdr>
        <w:spacing w:after="320"/>
      </w:pPr>
      <w:r>
        <w:rPr>
          <w:rFonts w:ascii="Calibri" w:cs="Calibri" w:eastAsia="Calibri" w:hAnsi="Calibri"/>
          <w:color w:val="0E6E63"/>
          <w:sz w:val="27"/>
          <w:szCs w:val="27"/>
        </w:rPr>
        <w:t xml:space="preserve">À quoi ressemble chaque boutique qu'on doit recruter</w:t>
      </w:r>
    </w:p>
    <w:p>
      <w:pPr>
        <w:spacing w:after="40" w:line="276"/>
      </w:pPr>
      <w:r>
        <w:rPr>
          <w:rFonts w:ascii="Calibri" w:cs="Calibri" w:eastAsia="Calibri" w:hAnsi="Calibri"/>
          <w:color w:val="5A5A5A"/>
          <w:sz w:val="24"/>
          <w:szCs w:val="24"/>
        </w:rPr>
        <w:t xml:space="preserve">La taille, le passage, le stock, qui tient le comptoir,</w:t>
      </w:r>
    </w:p>
    <w:p>
      <w:pPr>
        <w:spacing w:after="460" w:line="276"/>
      </w:pPr>
      <w:r>
        <w:rPr>
          <w:rFonts w:ascii="Calibri" w:cs="Calibri" w:eastAsia="Calibri" w:hAnsi="Calibri"/>
          <w:color w:val="5A5A5A"/>
          <w:sz w:val="24"/>
          <w:szCs w:val="24"/>
        </w:rPr>
        <w:t xml:space="preserve">et ce qui disqualifie en trente secondes.</w:t>
      </w:r>
    </w:p>
    <w:p>
      <w:pPr>
        <w:spacing w:after="60" w:line="276"/>
      </w:pPr>
      <w:r>
        <w:rPr>
          <w:rFonts w:ascii="Calibri" w:cs="Calibri" w:eastAsia="Calibri" w:hAnsi="Calibri"/>
          <w:color w:val="5A5A5A"/>
          <w:sz w:val="19"/>
          <w:szCs w:val="19"/>
        </w:rPr>
        <w:t xml:space="preserve">Buyticle · Douala · document 3 sur 4</w:t>
      </w:r>
    </w:p>
    <w:p>
      <w:pPr>
        <w:spacing w:after="120" w:line="276"/>
      </w:pPr>
      <w:r>
        <w:rPr>
          <w:rFonts w:ascii="Calibri" w:cs="Calibri" w:eastAsia="Calibri" w:hAnsi="Calibri"/>
          <w:color w:val="5A5A5A"/>
          <w:sz w:val="18"/>
          <w:szCs w:val="18"/>
        </w:rPr>
        <w:t xml:space="preserve">Se lit avec le document 2, qui donne les catégories à pourvoir.</w:t>
      </w:r>
    </w:p>
    <w:p>
      <w:r>
        <w:br w:type="page"/>
      </w:r>
    </w:p>
    <w:p>
      <w:pPr>
        <w:pStyle w:val="Heading1"/>
        <w:spacing w:after="160" w:before="360"/>
      </w:pPr>
      <w:r>
        <w:rPr>
          <w:rFonts w:ascii="Calibri" w:cs="Calibri" w:eastAsia="Calibri" w:hAnsi="Calibri"/>
          <w:b/>
          <w:bCs/>
          <w:color w:val="1A1A1A"/>
          <w:sz w:val="30"/>
          <w:szCs w:val="30"/>
        </w:rPr>
        <w:t xml:space="preserve">1. Le profil décide plus que le nombre</w:t>
      </w:r>
    </w:p>
    <w:p>
      <w:pPr>
        <w:spacing w:after="120" w:line="276"/>
      </w:pPr>
      <w:r>
        <w:rPr>
          <w:rFonts w:ascii="Calibri" w:cs="Calibri" w:eastAsia="Calibri" w:hAnsi="Calibri"/>
          <w:color w:val="1A1A1A"/>
          <w:sz w:val="21"/>
          <w:szCs w:val="21"/>
        </w:rPr>
        <w:t xml:space="preserve">Le document 2 dit qu'il faut douze porteurs de chaussures dans le rayon 1. Douze boutiques mal choisies ne produisent rien : elles n'ont pas de passage, elles n'ont pas de trous de stock, ou leur prix change selon la tête du client. Le rayon est complet sur le papier et il ne se passe rien.</w:t>
      </w:r>
    </w:p>
    <w:p>
      <w:pPr>
        <w:spacing w:after="120" w:line="276"/>
      </w:pPr>
      <w:r>
        <w:rPr>
          <w:rFonts w:ascii="Calibri" w:cs="Calibri" w:eastAsia="Calibri" w:hAnsi="Calibri"/>
          <w:color w:val="1A1A1A"/>
          <w:sz w:val="21"/>
          <w:szCs w:val="21"/>
        </w:rPr>
        <w:t xml:space="preserve">Il y a quatre profils de boutique dans un rayon, et ils n'ont pas le même rôle. Le confondre est l'erreur qui coûte le plus cher : recruter quatorze boutiques du même profil donne un rayon qui ne tourne pas, quel que soit son remplissage.</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1900"/>
        <w:gridCol w:w="4400"/>
        <w:gridCol w:w="2700"/>
      </w:tblGrid>
      <w:tr>
        <w:trPr>
          <w:tblHeader/>
        </w:trPr>
        <w:tc>
          <w:tcPr>
            <w:tcW w:type="dxa" w:w="1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Le profil</w:t>
            </w:r>
          </w:p>
        </w:tc>
        <w:tc>
          <w:tcPr>
            <w:tcW w:type="dxa" w:w="4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fait dans le rayon</w:t>
            </w:r>
          </w:p>
        </w:tc>
        <w:tc>
          <w:tcPr>
            <w:tcW w:type="dxa" w:w="27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qu'il gagne</w:t>
            </w:r>
          </w:p>
        </w:tc>
      </w:tr>
      <w:tr>
        <w:tc>
          <w:tcPr>
            <w:tcW w:type="dxa" w:w="19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La receveuse</w:t>
            </w:r>
          </w:p>
        </w:tc>
        <w:tc>
          <w:tcPr>
            <w:tcW w:type="dxa" w:w="44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bien fournie, très fréquentée ; elle absorbe les clients des autres</w:t>
            </w:r>
          </w:p>
        </w:tc>
        <w:tc>
          <w:tcPr>
            <w:tcW w:type="dxa" w:w="27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des clients déjà décidés</w:t>
            </w:r>
          </w:p>
        </w:tc>
      </w:tr>
      <w:tr>
        <w:tc>
          <w:tcPr>
            <w:tcW w:type="dxa" w:w="19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L'émettrice</w:t>
            </w:r>
          </w:p>
        </w:tc>
        <w:tc>
          <w:tcPr>
            <w:tcW w:type="dxa" w:w="4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du passage, mais un stock troué ; elle alimente le rayon</w:t>
            </w:r>
          </w:p>
        </w:tc>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des bons sur ce qu'elle ne pouvait pas servir</w:t>
            </w:r>
          </w:p>
        </w:tc>
      </w:tr>
      <w:tr>
        <w:tc>
          <w:tcPr>
            <w:tcW w:type="dxa" w:w="19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La spécialiste</w:t>
            </w:r>
          </w:p>
        </w:tc>
        <w:tc>
          <w:tcPr>
            <w:tcW w:type="dxa" w:w="44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étroite mais profonde sur une famille ; elle sécurise une couverture</w:t>
            </w:r>
          </w:p>
        </w:tc>
        <w:tc>
          <w:tcPr>
            <w:tcW w:type="dxa" w:w="27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peu de volume, un tarif réduit</w:t>
            </w:r>
          </w:p>
        </w:tc>
      </w:tr>
      <w:tr>
        <w:tc>
          <w:tcPr>
            <w:tcW w:type="dxa" w:w="19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Le service</w:t>
            </w:r>
          </w:p>
        </w:tc>
        <w:tc>
          <w:tcPr>
            <w:tcW w:type="dxa" w:w="44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elle ne vend presque rien mais immobilise le client</w:t>
            </w:r>
          </w:p>
        </w:tc>
        <w:tc>
          <w:tcPr>
            <w:tcW w:type="dxa" w:w="27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elle envoie beaucoup, elle paie peu</w:t>
            </w:r>
          </w:p>
        </w:tc>
      </w:tr>
    </w:tbl>
    <w:p>
      <w:pPr>
        <w:spacing w:after="140"/>
      </w:pPr>
    </w:p>
    <w:p>
      <w:pPr>
        <w:spacing w:after="120" w:line="276"/>
      </w:pPr>
      <w:r>
        <w:rPr>
          <w:rFonts w:ascii="Calibri" w:cs="Calibri" w:eastAsia="Calibri" w:hAnsi="Calibri"/>
          <w:b/>
          <w:bCs/>
          <w:color w:val="1A1A1A"/>
          <w:sz w:val="21"/>
          <w:szCs w:val="21"/>
        </w:rPr>
        <w:t xml:space="preserve">Une receveuse qui n'a rien à envoyer trouve le mécanisme injuste et finit par le dire. Une émettrice sans receveuse en face envoie ses clients dans le vide. Le rayon a besoin des deux, dans une proportion précise.</w:t>
      </w:r>
    </w:p>
    <w:p>
      <w:r>
        <w:br w:type="page"/>
      </w:r>
    </w:p>
    <w:p>
      <w:pPr>
        <w:pStyle w:val="Heading1"/>
        <w:spacing w:after="160" w:before="360"/>
      </w:pPr>
      <w:r>
        <w:rPr>
          <w:rFonts w:ascii="Calibri" w:cs="Calibri" w:eastAsia="Calibri" w:hAnsi="Calibri"/>
          <w:b/>
          <w:bCs/>
          <w:color w:val="1A1A1A"/>
          <w:sz w:val="30"/>
          <w:szCs w:val="30"/>
        </w:rPr>
        <w:t xml:space="preserve">2. Les quatre gabarits, en chiffres</w:t>
      </w:r>
    </w:p>
    <w:p>
      <w:pPr>
        <w:spacing w:after="120" w:line="276"/>
      </w:pPr>
      <w:r>
        <w:rPr>
          <w:rFonts w:ascii="Calibri" w:cs="Calibri" w:eastAsia="Calibri" w:hAnsi="Calibri"/>
          <w:color w:val="1A1A1A"/>
          <w:sz w:val="21"/>
          <w:szCs w:val="21"/>
        </w:rPr>
        <w:t xml:space="preserve">Ces valeurs sont celles observées sur le rayon de Mboppi, transposées aux autres rayons au chapitre 5. Elles servent à reconnaître un profil en une visite, pas à le trier au mètre carré près.</w:t>
      </w:r>
    </w:p>
    <w:p>
      <w:pPr>
        <w:spacing w:after="80"/>
      </w:pPr>
    </w:p>
    <w:tbl>
      <w:tblPr>
        <w:tblW w:type="dxa" w:w="9200"/>
        <w:tblBorders>
          <w:top w:val="single" w:color="C9CDD2" w:sz="4"/>
          <w:left w:val="none"/>
          <w:bottom w:val="single" w:color="C9CDD2" w:sz="4"/>
          <w:right w:val="none"/>
          <w:insideH w:val="single" w:color="E4E7EA" w:sz="2"/>
          <w:insideV w:val="none"/>
        </w:tblBorders>
      </w:tblPr>
      <w:tblGrid>
        <w:gridCol w:w="2200"/>
        <w:gridCol w:w="1800"/>
        <w:gridCol w:w="1800"/>
        <w:gridCol w:w="1800"/>
        <w:gridCol w:w="1600"/>
      </w:tblGrid>
      <w:tr>
        <w:trPr>
          <w:tblHeader/>
        </w:trPr>
        <w:tc>
          <w:tcPr>
            <w:tcW w:type="dxa" w:w="22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
            </w:r>
          </w:p>
        </w:tc>
        <w:tc>
          <w:tcPr>
            <w:tcW w:type="dxa" w:w="1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Receveuse</w:t>
            </w:r>
          </w:p>
        </w:tc>
        <w:tc>
          <w:tcPr>
            <w:tcW w:type="dxa" w:w="1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Émettrice</w:t>
            </w:r>
          </w:p>
        </w:tc>
        <w:tc>
          <w:tcPr>
            <w:tcW w:type="dxa" w:w="18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Spécialiste</w:t>
            </w:r>
          </w:p>
        </w:tc>
        <w:tc>
          <w:tcPr>
            <w:tcW w:type="dxa" w:w="16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Service</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Surface</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25 à 40 m²</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12 à 20 m²</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6 à 12 m²</w:t>
            </w:r>
          </w:p>
        </w:tc>
        <w:tc>
          <w:tcPr>
            <w:tcW w:type="dxa" w:w="16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 à 10 m²</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Passages par jour</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80 à 120</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40 à 60</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25 à 40</w:t>
            </w:r>
          </w:p>
        </w:tc>
        <w:tc>
          <w:tcPr>
            <w:tcW w:type="dxa" w:w="16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30 à 60</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Références tenues</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1 500 à 3 000</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400 à 800</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150 à 400</w:t>
            </w:r>
          </w:p>
        </w:tc>
        <w:tc>
          <w:tcPr>
            <w:tcW w:type="dxa" w:w="16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50 à 150</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Personnes au comptoir</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3 à 4</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 à 2</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w:t>
            </w:r>
          </w:p>
        </w:tc>
        <w:tc>
          <w:tcPr>
            <w:tcW w:type="dxa" w:w="16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 à 2</w:t>
            </w:r>
          </w:p>
        </w:tc>
      </w:tr>
      <w:tr>
        <w:tc>
          <w:tcPr>
            <w:tcW w:type="dxa" w:w="2200"/>
            <w:shd w:fill="FFFFFF"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Relais envoyés par mois</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13 à 21</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25 à 33</w:t>
            </w:r>
          </w:p>
        </w:tc>
        <w:tc>
          <w:tcPr>
            <w:tcW w:type="dxa" w:w="18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10 à 14</w:t>
            </w:r>
          </w:p>
        </w:tc>
        <w:tc>
          <w:tcPr>
            <w:tcW w:type="dxa" w:w="1600"/>
            <w:shd w:fill="FFFFFF"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4 à 8</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Clients reçus par mois</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22 à 28</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18 à 24</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7 à 13</w:t>
            </w:r>
          </w:p>
        </w:tc>
        <w:tc>
          <w:tcPr>
            <w:tcW w:type="dxa" w:w="16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5 à 7</w:t>
            </w:r>
          </w:p>
        </w:tc>
      </w:tr>
      <w:tr>
        <w:tc>
          <w:tcPr>
            <w:tcW w:type="dxa" w:w="2200"/>
            <w:shd w:fill="EEF5F4" w:val="clear"/>
            <w:tcMar>
              <w:top w:type="dxa" w:w="70"/>
              <w:left w:type="dxa" w:w="110"/>
              <w:bottom w:type="dxa" w:w="70"/>
              <w:right w:type="dxa" w:w="110"/>
            </w:tcMar>
          </w:tcPr>
          <w:p>
            <w:pPr>
              <w:spacing w:after="0" w:line="240"/>
              <w:jc w:val="left"/>
            </w:pPr>
            <w:r>
              <w:rPr>
                <w:rFonts w:ascii="Calibri" w:cs="Calibri" w:eastAsia="Calibri" w:hAnsi="Calibri"/>
                <w:b/>
                <w:bCs/>
                <w:color w:val="0E6E63"/>
                <w:sz w:val="19"/>
                <w:szCs w:val="19"/>
              </w:rPr>
              <w:t xml:space="preserve">Rapport reçus / envoyés</w:t>
            </w:r>
          </w:p>
        </w:tc>
        <w:tc>
          <w:tcPr>
            <w:tcW w:type="dxa" w:w="18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1,2 et plus</w:t>
            </w:r>
          </w:p>
        </w:tc>
        <w:tc>
          <w:tcPr>
            <w:tcW w:type="dxa" w:w="18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0,6 à 0,9</w:t>
            </w:r>
          </w:p>
        </w:tc>
        <w:tc>
          <w:tcPr>
            <w:tcW w:type="dxa" w:w="18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0,6 à 1,0</w:t>
            </w:r>
          </w:p>
        </w:tc>
        <w:tc>
          <w:tcPr>
            <w:tcW w:type="dxa" w:w="1600"/>
            <w:shd w:fill="EEF5F4" w:val="clear"/>
            <w:tcMar>
              <w:top w:type="dxa" w:w="70"/>
              <w:left w:type="dxa" w:w="110"/>
              <w:bottom w:type="dxa" w:w="70"/>
              <w:right w:type="dxa" w:w="110"/>
            </w:tcMar>
          </w:tcPr>
          <w:p>
            <w:pPr>
              <w:spacing w:after="0" w:line="240"/>
              <w:jc w:val="center"/>
            </w:pPr>
            <w:r>
              <w:rPr>
                <w:rFonts w:ascii="Calibri" w:cs="Calibri" w:eastAsia="Calibri" w:hAnsi="Calibri"/>
                <w:b/>
                <w:bCs/>
                <w:color w:val="0E6E63"/>
                <w:sz w:val="19"/>
                <w:szCs w:val="19"/>
              </w:rPr>
              <w:t xml:space="preserve">1,0 et plus</w:t>
            </w:r>
          </w:p>
        </w:tc>
      </w:tr>
      <w:tr>
        <w:tc>
          <w:tcPr>
            <w:tcW w:type="dxa" w:w="2200"/>
            <w:shd w:fill="FAFBFC" w:val="clear"/>
            <w:tcMar>
              <w:top w:type="dxa" w:w="70"/>
              <w:left w:type="dxa" w:w="110"/>
              <w:bottom w:type="dxa" w:w="70"/>
              <w:right w:type="dxa" w:w="110"/>
            </w:tcMar>
          </w:tcPr>
          <w:p>
            <w:pPr>
              <w:spacing w:after="0" w:line="240"/>
              <w:jc w:val="left"/>
            </w:pPr>
            <w:r>
              <w:rPr>
                <w:rFonts w:ascii="Calibri" w:cs="Calibri" w:eastAsia="Calibri" w:hAnsi="Calibri"/>
                <w:b w:val="false"/>
                <w:bCs w:val="false"/>
                <w:color w:val="1A1A1A"/>
                <w:sz w:val="19"/>
                <w:szCs w:val="19"/>
              </w:rPr>
              <w:t xml:space="preserve">Abonnement attendu</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plein</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plein</w:t>
            </w:r>
          </w:p>
        </w:tc>
        <w:tc>
          <w:tcPr>
            <w:tcW w:type="dxa" w:w="18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plein ou réduit</w:t>
            </w:r>
          </w:p>
        </w:tc>
        <w:tc>
          <w:tcPr>
            <w:tcW w:type="dxa" w:w="1600"/>
            <w:shd w:fill="FAFBFC" w:val="clear"/>
            <w:tcMar>
              <w:top w:type="dxa" w:w="70"/>
              <w:left w:type="dxa" w:w="110"/>
              <w:bottom w:type="dxa" w:w="70"/>
              <w:right w:type="dxa" w:w="110"/>
            </w:tcMar>
          </w:tcPr>
          <w:p>
            <w:pPr>
              <w:spacing w:after="0" w:line="240"/>
              <w:jc w:val="center"/>
            </w:pPr>
            <w:r>
              <w:rPr>
                <w:rFonts w:ascii="Calibri" w:cs="Calibri" w:eastAsia="Calibri" w:hAnsi="Calibri"/>
                <w:b w:val="false"/>
                <w:bCs w:val="false"/>
                <w:color w:val="1A1A1A"/>
                <w:sz w:val="19"/>
                <w:szCs w:val="19"/>
              </w:rPr>
              <w:t xml:space="preserve">réduit</w:t>
            </w:r>
          </w:p>
        </w:tc>
      </w:tr>
    </w:tbl>
    <w:p>
      <w:pPr>
        <w:spacing w:after="140"/>
      </w:pPr>
    </w:p>
    <w:p>
      <w:pPr>
        <w:pStyle w:val="Heading2"/>
        <w:spacing w:after="120" w:before="260"/>
      </w:pPr>
      <w:r>
        <w:rPr>
          <w:rFonts w:ascii="Calibri" w:cs="Calibri" w:eastAsia="Calibri" w:hAnsi="Calibri"/>
          <w:b/>
          <w:bCs/>
          <w:color w:val="0E6E63"/>
          <w:sz w:val="24"/>
          <w:szCs w:val="24"/>
        </w:rPr>
        <w:t xml:space="preserve">Le rapport reçus / envoyés est le seul chiffre qui classe vraiment</w:t>
      </w:r>
    </w:p>
    <w:p>
      <w:pPr>
        <w:spacing w:after="120" w:line="276"/>
      </w:pPr>
      <w:r>
        <w:rPr>
          <w:rFonts w:ascii="Calibri" w:cs="Calibri" w:eastAsia="Calibri" w:hAnsi="Calibri"/>
          <w:color w:val="1A1A1A"/>
          <w:sz w:val="21"/>
          <w:szCs w:val="21"/>
        </w:rPr>
        <w:t xml:space="preserve">Il se lit au bout d'un mois, il ne se déclare pas, et il ne se triche pas. Au-dessus de 1,2, la boutique est bien fournie : elle reçoit plus qu'elle n'envoie. En dessous de 0,9, elle est trouée : c'est elle qui alimente le rayon.</w:t>
      </w:r>
    </w:p>
    <w:p>
      <w:pPr>
        <w:spacing w:after="120" w:line="276"/>
      </w:pPr>
      <w:r>
        <w:rPr>
          <w:rFonts w:ascii="Calibri" w:cs="Calibri" w:eastAsia="Calibri" w:hAnsi="Calibri"/>
          <w:b/>
          <w:bCs/>
          <w:color w:val="1A1A1A"/>
          <w:sz w:val="21"/>
          <w:szCs w:val="21"/>
        </w:rPr>
        <w:t xml:space="preserve">Attention à un piège de lecture : une toute petite boutique affiche souvent un rapport supérieur à 1 simplement parce qu'elle n'envoie presque rien. Le rapport ne se lit qu'au-dessus de quinze relais par mois ; en dessous, c'est le volume qui classe.</w:t>
      </w:r>
    </w:p>
    <w:p>
      <w:pPr>
        <w:spacing w:after="160"/>
      </w:pPr>
    </w:p>
    <w:p>
      <w:pPr>
        <w:pStyle w:val="Heading2"/>
        <w:spacing w:after="120" w:before="260"/>
      </w:pPr>
      <w:r>
        <w:rPr>
          <w:rFonts w:ascii="Calibri" w:cs="Calibri" w:eastAsia="Calibri" w:hAnsi="Calibri"/>
          <w:b/>
          <w:bCs/>
          <w:color w:val="0E6E63"/>
          <w:sz w:val="24"/>
          <w:szCs w:val="24"/>
        </w:rPr>
        <w:t xml:space="preserve">La composition d'un rayon de quatorze</w:t>
      </w:r>
    </w:p>
    <w:tbl>
      <w:tblPr>
        <w:tblW w:type="dxa" w:w="9000"/>
        <w:tblBorders>
          <w:top w:val="single" w:color="C9CDD2" w:sz="4"/>
          <w:left w:val="none"/>
          <w:bottom w:val="single" w:color="C9CDD2" w:sz="4"/>
          <w:right w:val="none"/>
          <w:insideH w:val="single" w:color="E4E7EA" w:sz="2"/>
          <w:insideV w:val="none"/>
        </w:tblBorders>
      </w:tblPr>
      <w:tblGrid>
        <w:gridCol w:w="2100"/>
        <w:gridCol w:w="1500"/>
        <w:gridCol w:w="5400"/>
      </w:tblGrid>
      <w:tr>
        <w:trPr>
          <w:tblHeader/>
        </w:trPr>
        <w:tc>
          <w:tcPr>
            <w:tcW w:type="dxa" w:w="21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Profil</w:t>
            </w:r>
          </w:p>
        </w:tc>
        <w:tc>
          <w:tcPr>
            <w:tcW w:type="dxa" w:w="15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Combien</w:t>
            </w:r>
          </w:p>
        </w:tc>
        <w:tc>
          <w:tcPr>
            <w:tcW w:type="dxa" w:w="5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Pourquoi ce nombre</w:t>
            </w:r>
          </w:p>
        </w:tc>
      </w:tr>
      <w:tr>
        <w:tc>
          <w:tcPr>
            <w:tcW w:type="dxa" w:w="21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Receveuse</w:t>
            </w:r>
          </w:p>
        </w:tc>
        <w:tc>
          <w:tcPr>
            <w:tcW w:type="dxa" w:w="15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 à 4</w:t>
            </w:r>
          </w:p>
        </w:tc>
        <w:tc>
          <w:tcPr>
            <w:tcW w:type="dxa" w:w="5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moins de trois, et le rayon dépend d'un seul homme pour absorber</w:t>
            </w:r>
          </w:p>
        </w:tc>
      </w:tr>
      <w:tr>
        <w:tc>
          <w:tcPr>
            <w:tcW w:type="dxa" w:w="21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Émettrice</w:t>
            </w:r>
          </w:p>
        </w:tc>
        <w:tc>
          <w:tcPr>
            <w:tcW w:type="dxa" w:w="15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 à 7</w:t>
            </w:r>
          </w:p>
        </w:tc>
        <w:tc>
          <w:tcPr>
            <w:tcW w:type="dxa" w:w="5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c'est elle qui produit le volume ; elle est la majorité</w:t>
            </w:r>
          </w:p>
        </w:tc>
      </w:tr>
      <w:tr>
        <w:tc>
          <w:tcPr>
            <w:tcW w:type="dxa" w:w="21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Spécialiste</w:t>
            </w:r>
          </w:p>
        </w:tc>
        <w:tc>
          <w:tcPr>
            <w:tcW w:type="dxa" w:w="15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w:t>
            </w:r>
          </w:p>
        </w:tc>
        <w:tc>
          <w:tcPr>
            <w:tcW w:type="dxa" w:w="5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elle sécurise les familles que les généralistes couvrent mal</w:t>
            </w:r>
          </w:p>
        </w:tc>
      </w:tr>
      <w:tr>
        <w:tc>
          <w:tcPr>
            <w:tcW w:type="dxa" w:w="21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Service</w:t>
            </w:r>
          </w:p>
        </w:tc>
        <w:tc>
          <w:tcPr>
            <w:tcW w:type="dxa" w:w="15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 à 3</w:t>
            </w:r>
          </w:p>
        </w:tc>
        <w:tc>
          <w:tcPr>
            <w:tcW w:type="dxa" w:w="5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sans elle, deux à trois familles tombent sous leur seuil</w:t>
            </w:r>
          </w:p>
        </w:tc>
      </w:tr>
    </w:tbl>
    <w:p>
      <w:pPr>
        <w:spacing w:after="140"/>
      </w:pPr>
    </w:p>
    <w:p>
      <w:pPr>
        <w:spacing w:after="120" w:line="276"/>
      </w:pPr>
      <w:r>
        <w:rPr>
          <w:rFonts w:ascii="Calibri" w:cs="Calibri" w:eastAsia="Calibri" w:hAnsi="Calibri"/>
          <w:i/>
          <w:iCs/>
          <w:color w:val="5A5A5A"/>
          <w:sz w:val="21"/>
          <w:szCs w:val="21"/>
        </w:rPr>
        <w:t xml:space="preserve">C'est exactement la composition qu'a prise le rayon de Mboppi sans qu'on l'ait cherchée : quatre receveuses, six émettrices, une équilibrée, trois petites. Elle n'a pas été décidée, elle a été constatée — et c'est pour ça qu'elle sert de cible.</w:t>
      </w:r>
    </w:p>
    <w:p>
      <w:r>
        <w:br w:type="page"/>
      </w:r>
    </w:p>
    <w:p>
      <w:pPr>
        <w:pStyle w:val="Heading1"/>
        <w:spacing w:after="160" w:before="360"/>
      </w:pPr>
      <w:r>
        <w:rPr>
          <w:rFonts w:ascii="Calibri" w:cs="Calibri" w:eastAsia="Calibri" w:hAnsi="Calibri"/>
          <w:b/>
          <w:bCs/>
          <w:color w:val="1A1A1A"/>
          <w:sz w:val="30"/>
          <w:szCs w:val="30"/>
        </w:rPr>
        <w:t xml:space="preserve">3. Ce qu'on mesure en une visite</w:t>
      </w:r>
    </w:p>
    <w:p>
      <w:pPr>
        <w:spacing w:after="120" w:line="276"/>
      </w:pPr>
      <w:r>
        <w:rPr>
          <w:rFonts w:ascii="Calibri" w:cs="Calibri" w:eastAsia="Calibri" w:hAnsi="Calibri"/>
          <w:color w:val="1A1A1A"/>
          <w:sz w:val="21"/>
          <w:szCs w:val="21"/>
        </w:rPr>
        <w:t xml:space="preserve">Six critères, notés sur place, en une seule visite d'une heure. Le total décide, et il ne se discute pas au bureau : un recruteur qui plaide pour une boutique à 11 sur 20 vient de coûter un trou de couverture au rayon.</w:t>
      </w:r>
    </w:p>
    <w:p>
      <w:pPr>
        <w:spacing w:after="80"/>
      </w:pPr>
    </w:p>
    <w:tbl>
      <w:tblPr>
        <w:tblW w:type="dxa" w:w="8300"/>
        <w:tblBorders>
          <w:top w:val="single" w:color="C9CDD2" w:sz="4"/>
          <w:left w:val="none"/>
          <w:bottom w:val="single" w:color="C9CDD2" w:sz="4"/>
          <w:right w:val="none"/>
          <w:insideH w:val="single" w:color="E4E7EA" w:sz="2"/>
          <w:insideV w:val="none"/>
        </w:tblBorders>
      </w:tblPr>
      <w:tblGrid>
        <w:gridCol w:w="1900"/>
        <w:gridCol w:w="5500"/>
        <w:gridCol w:w="900"/>
      </w:tblGrid>
      <w:tr>
        <w:trPr>
          <w:tblHeader/>
        </w:trPr>
        <w:tc>
          <w:tcPr>
            <w:tcW w:type="dxa" w:w="19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Le critère</w:t>
            </w:r>
          </w:p>
        </w:tc>
        <w:tc>
          <w:tcPr>
            <w:tcW w:type="dxa" w:w="5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Comment on le mesure</w:t>
            </w:r>
          </w:p>
        </w:tc>
        <w:tc>
          <w:tcPr>
            <w:tcW w:type="dxa" w:w="9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Note</w:t>
            </w:r>
          </w:p>
        </w:tc>
      </w:tr>
      <w:tr>
        <w:tc>
          <w:tcPr>
            <w:tcW w:type="dxa" w:w="1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passage</w:t>
            </w:r>
          </w:p>
        </w:tc>
        <w:tc>
          <w:tcPr>
            <w:tcW w:type="dxa" w:w="5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quatre comptages de quinze minutes — 8 h, 11 h, 15 h, 18 h — puis on extrapole sur la journée</w:t>
            </w:r>
          </w:p>
        </w:tc>
        <w:tc>
          <w:tcPr>
            <w:tcW w:type="dxa" w:w="9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r>
      <w:tr>
        <w:tc>
          <w:tcPr>
            <w:tcW w:type="dxa" w:w="1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trou de stock</w:t>
            </w:r>
          </w:p>
        </w:tc>
        <w:tc>
          <w:tcPr>
            <w:tcW w:type="dxa" w:w="5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 cette semaine, combien de fois tu as dit à quelqu'un : je n'ai pas ta taille ? » — il donne un nombre, ou il nie</w:t>
            </w:r>
          </w:p>
        </w:tc>
        <w:tc>
          <w:tcPr>
            <w:tcW w:type="dxa" w:w="9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w:t>
            </w:r>
          </w:p>
        </w:tc>
      </w:tr>
      <w:tr>
        <w:tc>
          <w:tcPr>
            <w:tcW w:type="dxa" w:w="1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prix</w:t>
            </w:r>
          </w:p>
        </w:tc>
        <w:tc>
          <w:tcPr>
            <w:tcW w:type="dxa" w:w="5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affiché sur l'article : 3 · affiché au mur : 2 · dans la tête du vendeur : 0</w:t>
            </w:r>
          </w:p>
        </w:tc>
        <w:tc>
          <w:tcPr>
            <w:tcW w:type="dxa" w:w="9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w:t>
            </w:r>
          </w:p>
        </w:tc>
      </w:tr>
      <w:tr>
        <w:tc>
          <w:tcPr>
            <w:tcW w:type="dxa" w:w="1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téléphone</w:t>
            </w:r>
          </w:p>
        </w:tc>
        <w:tc>
          <w:tcPr>
            <w:tcW w:type="dxa" w:w="5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smartphone personnel, allumé, avec de la data et WhatsApp actif : on le lui demande et on le voit</w:t>
            </w:r>
          </w:p>
        </w:tc>
        <w:tc>
          <w:tcPr>
            <w:tcW w:type="dxa" w:w="9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w:t>
            </w:r>
          </w:p>
        </w:tc>
      </w:tr>
      <w:tr>
        <w:tc>
          <w:tcPr>
            <w:tcW w:type="dxa" w:w="19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 décision</w:t>
            </w:r>
          </w:p>
        </w:tc>
        <w:tc>
          <w:tcPr>
            <w:tcW w:type="dxa" w:w="5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propriétaire est là : 2 · un gérant qui décide seul : 2 · il faut appeler le patron : 0</w:t>
            </w:r>
          </w:p>
        </w:tc>
        <w:tc>
          <w:tcPr>
            <w:tcW w:type="dxa" w:w="9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w:t>
            </w:r>
          </w:p>
        </w:tc>
      </w:tr>
      <w:tr>
        <w:tc>
          <w:tcPr>
            <w:tcW w:type="dxa" w:w="19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 spécialité</w:t>
            </w:r>
          </w:p>
        </w:tc>
        <w:tc>
          <w:tcPr>
            <w:tcW w:type="dxa" w:w="5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peut-on nommer ce qu'il vend en trois mots, sans hésiter ?</w:t>
            </w:r>
          </w:p>
        </w:tc>
        <w:tc>
          <w:tcPr>
            <w:tcW w:type="dxa" w:w="9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w:t>
            </w:r>
          </w:p>
        </w:tc>
      </w:tr>
    </w:tbl>
    <w:p>
      <w:pPr>
        <w:spacing w:after="140"/>
      </w:pPr>
    </w:p>
    <w:tbl>
      <w:tblPr>
        <w:tblW w:type="dxa" w:w="9000"/>
        <w:tblBorders>
          <w:top w:val="single" w:color="0E6E63" w:sz="2"/>
          <w:left w:val="single" w:color="0E6E63" w:sz="18"/>
          <w:bottom w:val="single" w:color="0E6E63" w:sz="2"/>
          <w:right w:val="single" w:color="0E6E63" w:sz="2"/>
          <w:insideH w:val="none"/>
          <w:insideV w:val="none"/>
        </w:tblBorders>
      </w:tblPr>
      <w:tblGrid>
        <w:gridCol w:w="9000"/>
      </w:tblGrid>
      <w:tr>
        <w:tc>
          <w:tcPr>
            <w:tcW w:type="dxa" w:w="9000"/>
            <w:shd w:fill="EEF5F4" w:val="clear"/>
            <w:tcMar>
              <w:top w:type="dxa" w:w="160"/>
              <w:left w:type="dxa" w:w="220"/>
              <w:bottom w:type="dxa" w:w="160"/>
              <w:right w:type="dxa" w:w="220"/>
            </w:tcMar>
          </w:tcPr>
          <w:p>
            <w:pPr>
              <w:spacing w:after="70" w:line="276"/>
            </w:pPr>
            <w:r>
              <w:rPr>
                <w:rFonts w:ascii="Calibri" w:cs="Calibri" w:eastAsia="Calibri" w:hAnsi="Calibri"/>
                <w:b/>
                <w:bCs/>
                <w:color w:val="1A1A1A"/>
                <w:sz w:val="22"/>
                <w:szCs w:val="22"/>
              </w:rPr>
              <w:t xml:space="preserve">Seuil : 13 sur 20. En dessous, on ne recrute pas, même si la catégorie manque.</w:t>
            </w:r>
          </w:p>
          <w:p>
            <w:pPr>
              <w:spacing w:after="70" w:line="276"/>
            </w:pPr>
            <w:r>
              <w:rPr>
                <w:rFonts w:ascii="Calibri" w:cs="Calibri" w:eastAsia="Calibri" w:hAnsi="Calibri"/>
                <w:color w:val="1A1A1A"/>
                <w:sz w:val="20"/>
                <w:szCs w:val="20"/>
              </w:rPr>
              <w:t xml:space="preserve">Une catégorie non pourvue coûte de la couverture. Une boutique mal choisie coûte de la couverture aussi, plus un commerçant déçu qui le racontera dans l'allée. Le second coût est le plus élevé, et c'est celui qu'on oublie.</w:t>
            </w:r>
          </w:p>
        </w:tc>
      </w:tr>
    </w:tbl>
    <w:p>
      <w:pPr>
        <w:spacing w:after="140"/>
      </w:pPr>
    </w:p>
    <w:p>
      <w:pPr>
        <w:pStyle w:val="Heading2"/>
        <w:spacing w:after="120" w:before="260"/>
      </w:pPr>
      <w:r>
        <w:rPr>
          <w:rFonts w:ascii="Calibri" w:cs="Calibri" w:eastAsia="Calibri" w:hAnsi="Calibri"/>
          <w:b/>
          <w:bCs/>
          <w:color w:val="0E6E63"/>
          <w:sz w:val="24"/>
          <w:szCs w:val="24"/>
        </w:rPr>
        <w:t xml:space="preserve">Le critère qui prédit le mieux</w:t>
      </w:r>
    </w:p>
    <w:p>
      <w:pPr>
        <w:spacing w:after="120" w:line="276"/>
      </w:pPr>
      <w:r>
        <w:rPr>
          <w:rFonts w:ascii="Calibri" w:cs="Calibri" w:eastAsia="Calibri" w:hAnsi="Calibri"/>
          <w:color w:val="1A1A1A"/>
          <w:sz w:val="21"/>
          <w:szCs w:val="21"/>
        </w:rPr>
        <w:t xml:space="preserve">Le deuxième. Celui qui donne spontanément un nombre a déjà compté, donc le problème existe pour lui, et il comprend l'offre en une phrase. Celui qui répond « moi je ne perds jamais personne » n'a pas encore le problème qu'on prétend résoudre — il signera par politesse et il résiliera au deuxième mois.</w:t>
      </w:r>
    </w:p>
    <w:p>
      <w:pPr>
        <w:spacing w:after="120" w:line="276"/>
      </w:pPr>
      <w:r>
        <w:rPr>
          <w:rFonts w:ascii="Calibri" w:cs="Calibri" w:eastAsia="Calibri" w:hAnsi="Calibri"/>
          <w:b/>
          <w:bCs/>
          <w:color w:val="1A1A1A"/>
          <w:sz w:val="21"/>
          <w:szCs w:val="21"/>
        </w:rPr>
        <w:t xml:space="preserve">Ce critère seul vaut mieux que les cinq autres réunis. Quand le temps manque, c'est celui-là qu'on pose en premier, sur le pas de la porte.</w:t>
      </w:r>
    </w:p>
    <w:p>
      <w:r>
        <w:br w:type="page"/>
      </w:r>
    </w:p>
    <w:p>
      <w:pPr>
        <w:pStyle w:val="Heading1"/>
        <w:spacing w:after="160" w:before="360"/>
      </w:pPr>
      <w:r>
        <w:rPr>
          <w:rFonts w:ascii="Calibri" w:cs="Calibri" w:eastAsia="Calibri" w:hAnsi="Calibri"/>
          <w:b/>
          <w:bCs/>
          <w:color w:val="1A1A1A"/>
          <w:sz w:val="30"/>
          <w:szCs w:val="30"/>
        </w:rPr>
        <w:t xml:space="preserve">4. Le trafic attendu, rayon par rayon</w:t>
      </w:r>
    </w:p>
    <w:p>
      <w:pPr>
        <w:spacing w:after="120" w:line="276"/>
      </w:pPr>
      <w:r>
        <w:rPr>
          <w:rFonts w:ascii="Calibri" w:cs="Calibri" w:eastAsia="Calibri" w:hAnsi="Calibri"/>
          <w:color w:val="1A1A1A"/>
          <w:sz w:val="21"/>
          <w:szCs w:val="21"/>
        </w:rPr>
        <w:t xml:space="preserve">Les gabarits du chapitre 2 décrivent une boutique de chaussures. Les autres rayons n'ont ni le même passage, ni le même panier, ni le même rythme de rupture. Le tableau suivant donne ce qu'on doit trouver dans une boutique moyenne de chaque rayon — c'est la référence du recruteur sur le terrain.</w:t>
      </w:r>
    </w:p>
    <w:p>
      <w:pPr>
        <w:spacing w:after="80"/>
      </w:pPr>
    </w:p>
    <w:tbl>
      <w:tblPr>
        <w:tblW w:type="dxa" w:w="9700"/>
        <w:tblBorders>
          <w:top w:val="single" w:color="C9CDD2" w:sz="4"/>
          <w:left w:val="none"/>
          <w:bottom w:val="single" w:color="C9CDD2" w:sz="4"/>
          <w:right w:val="none"/>
          <w:insideH w:val="single" w:color="E4E7EA" w:sz="2"/>
          <w:insideV w:val="none"/>
        </w:tblBorders>
      </w:tblPr>
      <w:tblGrid>
        <w:gridCol w:w="3000"/>
        <w:gridCol w:w="1700"/>
        <w:gridCol w:w="1700"/>
        <w:gridCol w:w="1700"/>
        <w:gridCol w:w="1600"/>
      </w:tblGrid>
      <w:tr>
        <w:trPr>
          <w:tblHeader/>
        </w:trPr>
        <w:tc>
          <w:tcPr>
            <w:tcW w:type="dxa" w:w="30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Rayon</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Passages / jour</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Ruptures / jour</w:t>
            </w:r>
          </w:p>
        </w:tc>
        <w:tc>
          <w:tcPr>
            <w:tcW w:type="dxa" w:w="1700"/>
            <w:shd w:fill="F2F4F6" w:val="clear"/>
            <w:tcMar>
              <w:top w:type="dxa" w:w="70"/>
              <w:left w:type="dxa" w:w="110"/>
              <w:bottom w:type="dxa" w:w="70"/>
              <w:right w:type="dxa" w:w="110"/>
            </w:tcMar>
          </w:tcPr>
          <w:p>
            <w:pPr>
              <w:spacing w:after="0" w:line="240"/>
              <w:jc w:val="center"/>
            </w:pPr>
            <w:r>
              <w:rPr>
                <w:rFonts w:ascii="Calibri" w:cs="Calibri" w:eastAsia="Calibri" w:hAnsi="Calibri"/>
                <w:b/>
                <w:bCs/>
                <w:color w:val="1A1A1A"/>
                <w:sz w:val="18"/>
                <w:szCs w:val="18"/>
              </w:rPr>
              <w:t xml:space="preserve">Relais émis / mois</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Panier net</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1 — Chaussure et sport</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45</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3,4</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21</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22 900 F</w:t>
            </w:r>
          </w:p>
        </w:tc>
      </w:tr>
      <w:tr>
        <w:tc>
          <w:tcPr>
            <w:tcW w:type="dxa" w:w="3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2 — Beauté et cheveux</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55</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22 000 F</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3 — Téléphone et informatique</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60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19</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85 000 F</w:t>
            </w:r>
          </w:p>
        </w:tc>
      </w:tr>
      <w:tr>
        <w:tc>
          <w:tcPr>
            <w:tcW w:type="dxa" w:w="3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4 — Vêtement et tissu</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50</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4,5</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28</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15 000 F</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5 — Maison et cuisine</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35</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15</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18 000 F</w:t>
            </w:r>
          </w:p>
        </w:tc>
      </w:tr>
      <w:tr>
        <w:tc>
          <w:tcPr>
            <w:tcW w:type="dxa" w:w="3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6 — Électroménager et énergie</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18</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1,4</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8</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150 000 F</w:t>
            </w:r>
          </w:p>
        </w:tc>
      </w:tr>
      <w:tr>
        <w:tc>
          <w:tcPr>
            <w:tcW w:type="dxa" w:w="30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7 — Quincaillerie, auto, moto</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40</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4</w:t>
            </w:r>
          </w:p>
        </w:tc>
        <w:tc>
          <w:tcPr>
            <w:tcW w:type="dxa" w:w="1700"/>
            <w:shd w:fill="FFFFFF"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25</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25 000 F</w:t>
            </w:r>
          </w:p>
        </w:tc>
      </w:tr>
      <w:tr>
        <w:tc>
          <w:tcPr>
            <w:tcW w:type="dxa" w:w="30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8 — Bébé et enfant</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30</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2</w:t>
            </w:r>
          </w:p>
        </w:tc>
        <w:tc>
          <w:tcPr>
            <w:tcW w:type="dxa" w:w="1700"/>
            <w:shd w:fill="FAFBFC" w:val="clear"/>
            <w:tcMar>
              <w:top w:type="dxa" w:w="70"/>
              <w:left w:type="dxa" w:w="110"/>
              <w:bottom w:type="dxa" w:w="70"/>
              <w:right w:type="dxa" w:w="110"/>
            </w:tcMar>
          </w:tcPr>
          <w:p>
            <w:pPr>
              <w:spacing w:after="0" w:line="240"/>
              <w:jc w:val="center"/>
            </w:pPr>
            <w:r>
              <w:rPr>
                <w:rFonts w:ascii="Calibri" w:cs="Calibri" w:eastAsia="Calibri" w:hAnsi="Calibri"/>
                <w:color w:val="1A1A1A"/>
                <w:sz w:val="19"/>
                <w:szCs w:val="19"/>
              </w:rPr>
              <w:t xml:space="preserve">12</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12 000 F</w:t>
            </w:r>
          </w:p>
        </w:tc>
      </w:tr>
    </w:tbl>
    <w:p>
      <w:pPr>
        <w:spacing w:after="140"/>
      </w:pPr>
    </w:p>
    <w:p>
      <w:pPr>
        <w:spacing w:after="120" w:line="276"/>
      </w:pPr>
      <w:r>
        <w:rPr>
          <w:rFonts w:ascii="Calibri" w:cs="Calibri" w:eastAsia="Calibri" w:hAnsi="Calibri"/>
          <w:color w:val="1A1A1A"/>
          <w:sz w:val="21"/>
          <w:szCs w:val="21"/>
        </w:rPr>
        <w:t xml:space="preserve">Deux rayons sortent du lot par le bas : l'électroménager, avec dix-huit passages par jour et huit relais par mois, et le bébé, avec douze relais. Ce sont les deux rayons où le commerçant risque d'oublier le geste entre deux occasions — c'est pour ça qu'ils sont les derniers de l'ordre d'ouverture.</w:t>
      </w:r>
    </w:p>
    <w:p>
      <w:pPr>
        <w:spacing w:after="160"/>
      </w:pPr>
    </w:p>
    <w:p>
      <w:pPr>
        <w:pStyle w:val="Heading2"/>
        <w:spacing w:after="120" w:before="260"/>
      </w:pPr>
      <w:r>
        <w:rPr>
          <w:rFonts w:ascii="Calibri" w:cs="Calibri" w:eastAsia="Calibri" w:hAnsi="Calibri"/>
          <w:b/>
          <w:bCs/>
          <w:color w:val="0E6E63"/>
          <w:sz w:val="24"/>
          <w:szCs w:val="24"/>
        </w:rPr>
        <w:t xml:space="preserve">Ce que la boutique moyenne gagne, et ce qu'elle paie</w:t>
      </w:r>
    </w:p>
    <w:tbl>
      <w:tblPr>
        <w:tblW w:type="dxa" w:w="10000"/>
        <w:tblBorders>
          <w:top w:val="single" w:color="C9CDD2" w:sz="4"/>
          <w:left w:val="none"/>
          <w:bottom w:val="single" w:color="C9CDD2" w:sz="4"/>
          <w:right w:val="none"/>
          <w:insideH w:val="single" w:color="E4E7EA" w:sz="2"/>
          <w:insideV w:val="none"/>
        </w:tblBorders>
      </w:tblPr>
      <w:tblGrid>
        <w:gridCol w:w="2500"/>
        <w:gridCol w:w="1500"/>
        <w:gridCol w:w="1800"/>
        <w:gridCol w:w="1600"/>
        <w:gridCol w:w="1500"/>
        <w:gridCol w:w="1100"/>
      </w:tblGrid>
      <w:tr>
        <w:trPr>
          <w:tblHeader/>
        </w:trPr>
        <w:tc>
          <w:tcPr>
            <w:tcW w:type="dxa" w:w="25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Rayon</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Bon / mois</w:t>
            </w:r>
          </w:p>
        </w:tc>
        <w:tc>
          <w:tcPr>
            <w:tcW w:type="dxa" w:w="18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Chiffre apporté</w:t>
            </w:r>
          </w:p>
        </w:tc>
        <w:tc>
          <w:tcPr>
            <w:tcW w:type="dxa" w:w="16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Sa marge</w:t>
            </w:r>
          </w:p>
        </w:tc>
        <w:tc>
          <w:tcPr>
            <w:tcW w:type="dxa" w:w="15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Abonnement dû</w:t>
            </w:r>
          </w:p>
        </w:tc>
        <w:tc>
          <w:tcPr>
            <w:tcW w:type="dxa" w:w="1100"/>
            <w:shd w:fill="F2F4F6" w:val="clear"/>
            <w:tcMar>
              <w:top w:type="dxa" w:w="70"/>
              <w:left w:type="dxa" w:w="110"/>
              <w:bottom w:type="dxa" w:w="70"/>
              <w:right w:type="dxa" w:w="110"/>
            </w:tcMar>
          </w:tcPr>
          <w:p>
            <w:pPr>
              <w:spacing w:after="0" w:line="240"/>
              <w:jc w:val="right"/>
            </w:pPr>
            <w:r>
              <w:rPr>
                <w:rFonts w:ascii="Calibri" w:cs="Calibri" w:eastAsia="Calibri" w:hAnsi="Calibri"/>
                <w:b/>
                <w:bCs/>
                <w:color w:val="1A1A1A"/>
                <w:sz w:val="18"/>
                <w:szCs w:val="18"/>
              </w:rPr>
              <w:t xml:space="preserve">Marge / coût</w:t>
            </w:r>
          </w:p>
        </w:tc>
      </w:tr>
      <w:tr>
        <w:tc>
          <w:tcPr>
            <w:tcW w:type="dxa" w:w="2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1 — Chaussure et sport</w:t>
            </w:r>
          </w:p>
        </w:tc>
        <w:tc>
          <w:tcPr>
            <w:tcW w:type="dxa" w:w="15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19 476 F</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435 100 F</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139 232 F</w:t>
            </w:r>
          </w:p>
        </w:tc>
        <w:tc>
          <w:tcPr>
            <w:tcW w:type="dxa" w:w="15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10 649 F</w:t>
            </w:r>
          </w:p>
        </w:tc>
        <w:tc>
          <w:tcPr>
            <w:tcW w:type="dxa" w:w="11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7,3 ×</w:t>
            </w:r>
          </w:p>
        </w:tc>
      </w:tr>
      <w:tr>
        <w:tc>
          <w:tcPr>
            <w:tcW w:type="dxa" w:w="2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2 — Beauté et cheveux</w:t>
            </w:r>
          </w:p>
        </w:tc>
        <w:tc>
          <w:tcPr>
            <w:tcW w:type="dxa" w:w="15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22 275 F</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484 000 F</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154 880 F</w:t>
            </w:r>
          </w:p>
        </w:tc>
        <w:tc>
          <w:tcPr>
            <w:tcW w:type="dxa" w:w="15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10 160 F</w:t>
            </w:r>
          </w:p>
        </w:tc>
        <w:tc>
          <w:tcPr>
            <w:tcW w:type="dxa" w:w="11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7,6 ×</w:t>
            </w:r>
          </w:p>
        </w:tc>
      </w:tr>
      <w:tr>
        <w:tc>
          <w:tcPr>
            <w:tcW w:type="dxa" w:w="2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3 — Téléphone et informatique</w:t>
            </w:r>
          </w:p>
        </w:tc>
        <w:tc>
          <w:tcPr>
            <w:tcW w:type="dxa" w:w="15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65 408 F</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1 530 000 F</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489 600 F</w:t>
            </w:r>
          </w:p>
        </w:tc>
        <w:tc>
          <w:tcPr>
            <w:tcW w:type="dxa" w:w="15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0 F</w:t>
            </w:r>
          </w:p>
        </w:tc>
        <w:tc>
          <w:tcPr>
            <w:tcW w:type="dxa" w:w="11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63,6 ×</w:t>
            </w:r>
          </w:p>
        </w:tc>
      </w:tr>
      <w:tr>
        <w:tc>
          <w:tcPr>
            <w:tcW w:type="dxa" w:w="2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4 — Vêtement et tissu</w:t>
            </w:r>
          </w:p>
        </w:tc>
        <w:tc>
          <w:tcPr>
            <w:tcW w:type="dxa" w:w="15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17 010 F</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375 000 F</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120 000 F</w:t>
            </w:r>
          </w:p>
        </w:tc>
        <w:tc>
          <w:tcPr>
            <w:tcW w:type="dxa" w:w="15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11 250 F</w:t>
            </w:r>
          </w:p>
        </w:tc>
        <w:tc>
          <w:tcPr>
            <w:tcW w:type="dxa" w:w="11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5,3 ×</w:t>
            </w:r>
          </w:p>
        </w:tc>
      </w:tr>
      <w:tr>
        <w:tc>
          <w:tcPr>
            <w:tcW w:type="dxa" w:w="2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5 — Maison et cuisine</w:t>
            </w:r>
          </w:p>
        </w:tc>
        <w:tc>
          <w:tcPr>
            <w:tcW w:type="dxa" w:w="15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10 935 F</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252 000 F</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80 640 F</w:t>
            </w:r>
          </w:p>
        </w:tc>
        <w:tc>
          <w:tcPr>
            <w:tcW w:type="dxa" w:w="15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12 480 F</w:t>
            </w:r>
          </w:p>
        </w:tc>
        <w:tc>
          <w:tcPr>
            <w:tcW w:type="dxa" w:w="11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4,3 ×</w:t>
            </w:r>
          </w:p>
        </w:tc>
      </w:tr>
      <w:tr>
        <w:tc>
          <w:tcPr>
            <w:tcW w:type="dxa" w:w="2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6 — Électroménager et énergie</w:t>
            </w:r>
          </w:p>
        </w:tc>
        <w:tc>
          <w:tcPr>
            <w:tcW w:type="dxa" w:w="15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48 600 F</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1 200 000 F</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384 000 F</w:t>
            </w:r>
          </w:p>
        </w:tc>
        <w:tc>
          <w:tcPr>
            <w:tcW w:type="dxa" w:w="15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3 000 F</w:t>
            </w:r>
          </w:p>
        </w:tc>
        <w:tc>
          <w:tcPr>
            <w:tcW w:type="dxa" w:w="11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61,5 ×</w:t>
            </w:r>
          </w:p>
        </w:tc>
      </w:tr>
      <w:tr>
        <w:tc>
          <w:tcPr>
            <w:tcW w:type="dxa" w:w="25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7 — Quincaillerie, auto, moto</w:t>
            </w:r>
          </w:p>
        </w:tc>
        <w:tc>
          <w:tcPr>
            <w:tcW w:type="dxa" w:w="15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25 313 F</w:t>
            </w:r>
          </w:p>
        </w:tc>
        <w:tc>
          <w:tcPr>
            <w:tcW w:type="dxa" w:w="18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575 000 F</w:t>
            </w:r>
          </w:p>
        </w:tc>
        <w:tc>
          <w:tcPr>
            <w:tcW w:type="dxa" w:w="16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184 000 F</w:t>
            </w:r>
          </w:p>
        </w:tc>
        <w:tc>
          <w:tcPr>
            <w:tcW w:type="dxa" w:w="15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9 250 F</w:t>
            </w:r>
          </w:p>
        </w:tc>
        <w:tc>
          <w:tcPr>
            <w:tcW w:type="dxa" w:w="1100"/>
            <w:shd w:fill="FFFFFF"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9,5 ×</w:t>
            </w:r>
          </w:p>
        </w:tc>
      </w:tr>
      <w:tr>
        <w:tc>
          <w:tcPr>
            <w:tcW w:type="dxa" w:w="25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8 — Bébé et enfant</w:t>
            </w:r>
          </w:p>
        </w:tc>
        <w:tc>
          <w:tcPr>
            <w:tcW w:type="dxa" w:w="15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5 832 F</w:t>
            </w:r>
          </w:p>
        </w:tc>
        <w:tc>
          <w:tcPr>
            <w:tcW w:type="dxa" w:w="18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132 000 F</w:t>
            </w:r>
          </w:p>
        </w:tc>
        <w:tc>
          <w:tcPr>
            <w:tcW w:type="dxa" w:w="16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42 240 F</w:t>
            </w:r>
          </w:p>
        </w:tc>
        <w:tc>
          <w:tcPr>
            <w:tcW w:type="dxa" w:w="15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3 680 F</w:t>
            </w:r>
          </w:p>
        </w:tc>
        <w:tc>
          <w:tcPr>
            <w:tcW w:type="dxa" w:w="1100"/>
            <w:shd w:fill="FAFBFC" w:val="clear"/>
            <w:tcMar>
              <w:top w:type="dxa" w:w="70"/>
              <w:left w:type="dxa" w:w="110"/>
              <w:bottom w:type="dxa" w:w="70"/>
              <w:right w:type="dxa" w:w="110"/>
            </w:tcMar>
          </w:tcPr>
          <w:p>
            <w:pPr>
              <w:spacing w:after="0" w:line="240"/>
              <w:jc w:val="right"/>
            </w:pPr>
            <w:r>
              <w:rPr>
                <w:rFonts w:ascii="Calibri" w:cs="Calibri" w:eastAsia="Calibri" w:hAnsi="Calibri"/>
                <w:color w:val="1A1A1A"/>
                <w:sz w:val="19"/>
                <w:szCs w:val="19"/>
              </w:rPr>
              <w:t xml:space="preserve">4,9 ×</w:t>
            </w:r>
          </w:p>
        </w:tc>
      </w:tr>
    </w:tbl>
    <w:p>
      <w:pPr>
        <w:spacing w:after="140"/>
      </w:pPr>
    </w:p>
    <w:p>
      <w:pPr>
        <w:spacing w:after="120" w:line="276"/>
      </w:pPr>
      <w:r>
        <w:rPr>
          <w:rFonts w:ascii="Calibri" w:cs="Calibri" w:eastAsia="Calibri" w:hAnsi="Calibri"/>
          <w:color w:val="1A1A1A"/>
          <w:sz w:val="21"/>
          <w:szCs w:val="21"/>
        </w:rPr>
        <w:t xml:space="preserve">L'abonnement dû tient compte de la déduction du tiers de la commission, décidée au chapitre 11 de la stratégie. Trois choses en sortent, et aucune n'avait été anticipée.</w:t>
      </w:r>
    </w:p>
    <w:p>
      <w:pPr>
        <w:spacing w:after="60"/>
      </w:pPr>
    </w:p>
    <w:p>
      <w:pPr>
        <w:pStyle w:val="ListParagraph"/>
        <w:numPr>
          <w:ilvl w:val="0"/>
          <w:numId w:val="2"/>
        </w:numPr>
        <w:spacing w:after="90" w:line="276"/>
      </w:pPr>
      <w:r>
        <w:rPr>
          <w:rFonts w:ascii="Calibri" w:cs="Calibri" w:eastAsia="Calibri" w:hAnsi="Calibri"/>
          <w:color w:val="1A1A1A"/>
          <w:sz w:val="21"/>
          <w:szCs w:val="21"/>
        </w:rPr>
        <w:t xml:space="preserve">Le rayon téléphone ne paie aucun abonnement, dès le premier mois. Une boutique qui fait 1 530 000 F de ventes apportées nous rapporte 45 900 F de commission : la déduction efface la mensualité en entier. C'est exactement le comportement voulu — on est payé sur la valeur, pas sur l'abonnement.</w:t>
      </w:r>
    </w:p>
    <w:p>
      <w:pPr>
        <w:pStyle w:val="ListParagraph"/>
        <w:numPr>
          <w:ilvl w:val="0"/>
          <w:numId w:val="2"/>
        </w:numPr>
        <w:spacing w:after="90" w:line="276"/>
      </w:pPr>
      <w:r>
        <w:rPr>
          <w:rFonts w:ascii="Calibri" w:cs="Calibri" w:eastAsia="Calibri" w:hAnsi="Calibri"/>
          <w:color w:val="1A1A1A"/>
          <w:sz w:val="21"/>
          <w:szCs w:val="21"/>
        </w:rPr>
        <w:t xml:space="preserve">L'électroménager ne paie que 3 000 F, pour la même raison. Ces deux rayons rapportent chacun trois fois plus qu'un rayon chaussure entier, sans qu'aucun commerçant n'ait à sortir un billet.</w:t>
      </w:r>
    </w:p>
    <w:p>
      <w:pPr>
        <w:pStyle w:val="ListParagraph"/>
        <w:numPr>
          <w:ilvl w:val="0"/>
          <w:numId w:val="2"/>
        </w:numPr>
        <w:spacing w:after="90" w:line="276"/>
      </w:pPr>
      <w:r>
        <w:rPr>
          <w:rFonts w:ascii="Calibri" w:cs="Calibri" w:eastAsia="Calibri" w:hAnsi="Calibri"/>
          <w:color w:val="1A1A1A"/>
          <w:sz w:val="21"/>
          <w:szCs w:val="21"/>
        </w:rPr>
        <w:t xml:space="preserve">Le rayon bébé ne tient pas au tarif plein : 2,3 fois la marge apportée, contre 4,5 au minimum ailleurs. Il passe donc au tarif réduit de 5 000 F pour toutes ses boutiques, pas seulement pour ses petites — et il remonte à 4,9.</w:t>
      </w:r>
    </w:p>
    <w:p>
      <w:pPr>
        <w:spacing w:after="140"/>
      </w:pPr>
    </w:p>
    <w:p>
      <w:pPr>
        <w:spacing w:after="120" w:line="276"/>
      </w:pPr>
      <w:r>
        <w:rPr>
          <w:rFonts w:ascii="Calibri" w:cs="Calibri" w:eastAsia="Calibri" w:hAnsi="Calibri"/>
          <w:b/>
          <w:bCs/>
          <w:color w:val="1A1A1A"/>
          <w:sz w:val="21"/>
          <w:szCs w:val="21"/>
        </w:rPr>
        <w:t xml:space="preserve">Le rayon maison est à 4,3, juste sous le plancher de 4,5. Il tient, mais c'est le seul dont la marge de sécurité est mince : si le panier réel y est plus bas que 18 000 F, il faudra le passer au tarif réduit lui aussi.</w:t>
      </w:r>
    </w:p>
    <w:p>
      <w:r>
        <w:br w:type="page"/>
      </w:r>
    </w:p>
    <w:p>
      <w:pPr>
        <w:pStyle w:val="Heading1"/>
        <w:spacing w:after="160" w:before="360"/>
      </w:pPr>
      <w:r>
        <w:rPr>
          <w:rFonts w:ascii="Calibri" w:cs="Calibri" w:eastAsia="Calibri" w:hAnsi="Calibri"/>
          <w:b/>
          <w:bCs/>
          <w:color w:val="1A1A1A"/>
          <w:sz w:val="30"/>
          <w:szCs w:val="30"/>
        </w:rPr>
        <w:t xml:space="preserve">5. Ce qui disqualifie immédiatement</w:t>
      </w:r>
    </w:p>
    <w:p>
      <w:pPr>
        <w:spacing w:after="120" w:line="276"/>
      </w:pPr>
      <w:r>
        <w:rPr>
          <w:rFonts w:ascii="Calibri" w:cs="Calibri" w:eastAsia="Calibri" w:hAnsi="Calibri"/>
          <w:color w:val="1A1A1A"/>
          <w:sz w:val="21"/>
          <w:szCs w:val="21"/>
        </w:rPr>
        <w:t xml:space="preserve">Six situations où l'on part sans insister, quelle que soit la note et quelle que soit la catégorie qui manque. Elles ne se rattrapent pas, et vouloir les rattraper est la manière la plus rapide de perdre un rayon.</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3600"/>
        <w:gridCol w:w="5400"/>
      </w:tblGrid>
      <w:tr>
        <w:trPr>
          <w:tblHeader/>
        </w:trPr>
        <w:tc>
          <w:tcPr>
            <w:tcW w:type="dxa" w:w="3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La situation</w:t>
            </w:r>
          </w:p>
        </w:tc>
        <w:tc>
          <w:tcPr>
            <w:tcW w:type="dxa" w:w="5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Pourquoi c'est éliminatoire</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Pas de smartphone, ou un téléphone partagé entre plusieurs</w:t>
            </w:r>
          </w:p>
        </w:tc>
        <w:tc>
          <w:tcPr>
            <w:tcW w:type="dxa" w:w="5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l'appel à disponibilité arrive et personne ne répond ; c'est le taux de réponse qui décide de la couverture du rayon</w:t>
            </w:r>
          </w:p>
        </w:tc>
      </w:tr>
      <w:tr>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Aucun prix affiché nulle part, et le prix change selon le client</w:t>
            </w:r>
          </w:p>
        </w:tc>
        <w:tc>
          <w:tcPr>
            <w:tcW w:type="dxa" w:w="5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tout le modèle repose sur un prix net honnête et ferme ; ce commerçant-là ne peut pas le tenir, même de bonne foi</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gérant ne décide de rien et le propriétaire est injoignable</w:t>
            </w:r>
          </w:p>
        </w:tc>
        <w:tc>
          <w:tcPr>
            <w:tcW w:type="dxa" w:w="5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ne pourra ni fixer la prime du comptoir, ni trancher sur l'abonnement ; on perdra trois visites</w:t>
            </w:r>
          </w:p>
        </w:tc>
      </w:tr>
      <w:tr>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affirme ne jamais perdre un client</w:t>
            </w:r>
          </w:p>
        </w:tc>
        <w:tc>
          <w:tcPr>
            <w:tcW w:type="dxa" w:w="5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n'a pas le problème qu'on résout ; il signe par politesse et résilie au deuxième mois</w:t>
            </w:r>
          </w:p>
        </w:tc>
      </w:tr>
      <w:tr>
        <w:tc>
          <w:tcPr>
            <w:tcW w:type="dxa" w:w="3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est en conflit ouvert avec des voisins du même marché</w:t>
            </w:r>
          </w:p>
        </w:tc>
        <w:tc>
          <w:tcPr>
            <w:tcW w:type="dxa" w:w="5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relais consiste à envoyer ses clients à ces voisins-là ; ça ne se négocie pas</w:t>
            </w:r>
          </w:p>
        </w:tc>
      </w:tr>
      <w:tr>
        <w:tc>
          <w:tcPr>
            <w:tcW w:type="dxa" w:w="3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Il revendique vendre de la contrefaçon</w:t>
            </w:r>
          </w:p>
        </w:tc>
        <w:tc>
          <w:tcPr>
            <w:tcW w:type="dxa" w:w="5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un client déçu détruit la confiance de celui qui a envoyé bien plus vite qu'une rupture de stock — critique aux rayons 2 et 3</w:t>
            </w:r>
          </w:p>
        </w:tc>
      </w:tr>
    </w:tbl>
    <w:p>
      <w:pPr>
        <w:spacing w:after="140"/>
      </w:pPr>
    </w:p>
    <w:p>
      <w:pPr>
        <w:spacing w:after="120" w:line="276"/>
      </w:pPr>
      <w:r>
        <w:rPr>
          <w:rFonts w:ascii="Calibri" w:cs="Calibri" w:eastAsia="Calibri" w:hAnsi="Calibri"/>
          <w:b/>
          <w:bCs/>
          <w:color w:val="1A1A1A"/>
          <w:sz w:val="21"/>
          <w:szCs w:val="21"/>
        </w:rPr>
        <w:t xml:space="preserve">La cinquième est celle qu'on sous-estime toujours. Les nombres d'une boutique peuvent être excellents et le rayon rester impossible, parce que le modèle repose sur une chose qui ne se calcule pas : accepter d'envoyer son client chez un concurrent. C'est la même raison qui rend la bijouterie infaisable au document 1.</w:t>
      </w:r>
    </w:p>
    <w:p>
      <w:r>
        <w:br w:type="page"/>
      </w:r>
    </w:p>
    <w:p>
      <w:pPr>
        <w:pStyle w:val="Heading1"/>
        <w:spacing w:after="160" w:before="360"/>
      </w:pPr>
      <w:r>
        <w:rPr>
          <w:rFonts w:ascii="Calibri" w:cs="Calibri" w:eastAsia="Calibri" w:hAnsi="Calibri"/>
          <w:b/>
          <w:bCs/>
          <w:color w:val="1A1A1A"/>
          <w:sz w:val="30"/>
          <w:szCs w:val="30"/>
        </w:rPr>
        <w:t xml:space="preserve">6. La fiche de terrain</w:t>
      </w:r>
    </w:p>
    <w:p>
      <w:pPr>
        <w:spacing w:after="120" w:line="276"/>
      </w:pPr>
      <w:r>
        <w:rPr>
          <w:rFonts w:ascii="Calibri" w:cs="Calibri" w:eastAsia="Calibri" w:hAnsi="Calibri"/>
          <w:color w:val="1A1A1A"/>
          <w:sz w:val="21"/>
          <w:szCs w:val="21"/>
        </w:rPr>
        <w:t xml:space="preserve">Une page par boutique visitée, remplie sur place, jamais après. Elle sert deux fois : à décider du recrutement, et à savoir six mois plus tard pourquoi telle boutique ne produit rien.</w:t>
      </w:r>
    </w:p>
    <w:p>
      <w:pPr>
        <w:spacing w:after="80"/>
      </w:pPr>
    </w:p>
    <w:tbl>
      <w:tblPr>
        <w:tblW w:type="dxa" w:w="9000"/>
        <w:tblBorders>
          <w:top w:val="single" w:color="C9CDD2" w:sz="4"/>
          <w:left w:val="none"/>
          <w:bottom w:val="single" w:color="C9CDD2" w:sz="4"/>
          <w:right w:val="none"/>
          <w:insideH w:val="single" w:color="E4E7EA" w:sz="2"/>
          <w:insideV w:val="none"/>
        </w:tblBorders>
      </w:tblPr>
      <w:tblGrid>
        <w:gridCol w:w="2600"/>
        <w:gridCol w:w="6400"/>
      </w:tblGrid>
      <w:tr>
        <w:trPr>
          <w:tblHeader/>
        </w:trPr>
        <w:tc>
          <w:tcPr>
            <w:tcW w:type="dxa" w:w="26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À relever</w:t>
            </w:r>
          </w:p>
        </w:tc>
        <w:tc>
          <w:tcPr>
            <w:tcW w:type="dxa" w:w="6400"/>
            <w:shd w:fill="F2F4F6" w:val="clear"/>
            <w:tcMar>
              <w:top w:type="dxa" w:w="70"/>
              <w:left w:type="dxa" w:w="110"/>
              <w:bottom w:type="dxa" w:w="70"/>
              <w:right w:type="dxa" w:w="110"/>
            </w:tcMar>
          </w:tcPr>
          <w:p>
            <w:pPr>
              <w:spacing w:after="0" w:line="240"/>
              <w:jc w:val="left"/>
            </w:pPr>
            <w:r>
              <w:rPr>
                <w:rFonts w:ascii="Calibri" w:cs="Calibri" w:eastAsia="Calibri" w:hAnsi="Calibri"/>
                <w:b/>
                <w:bCs/>
                <w:color w:val="1A1A1A"/>
                <w:sz w:val="18"/>
                <w:szCs w:val="18"/>
              </w:rPr>
              <w:t xml:space="preserve">Ce qu'on écrit</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Identité</w:t>
            </w:r>
          </w:p>
        </w:tc>
        <w:tc>
          <w:tcPr>
            <w:tcW w:type="dxa" w:w="6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nom de l'enseigne, nom du propriétaire, numéro WhatsApp</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Emplacement</w:t>
            </w:r>
          </w:p>
        </w:tc>
        <w:tc>
          <w:tcPr>
            <w:tcW w:type="dxa" w:w="6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marché, allée, repère visible depuis la rue, distance à pied du centre du rayon</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Surface et personnel</w:t>
            </w:r>
          </w:p>
        </w:tc>
        <w:tc>
          <w:tcPr>
            <w:tcW w:type="dxa" w:w="6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mètres carrés estimés, nombre de personnes au comptoir</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Familles tenues</w:t>
            </w:r>
          </w:p>
        </w:tc>
        <w:tc>
          <w:tcPr>
            <w:tcW w:type="dxa" w:w="6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toutes celles qu'il tient réellement, pas seulement sa spécialité</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Références estimées</w:t>
            </w:r>
          </w:p>
        </w:tc>
        <w:tc>
          <w:tcPr>
            <w:tcW w:type="dxa" w:w="6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ordre de grandeur : 200, 800, 2 000</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Comptage de passage</w:t>
            </w:r>
          </w:p>
        </w:tc>
        <w:tc>
          <w:tcPr>
            <w:tcW w:type="dxa" w:w="6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les quatre relevés de quinze minutes, écrits séparément</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Ruptures déclarées</w:t>
            </w:r>
          </w:p>
        </w:tc>
        <w:tc>
          <w:tcPr>
            <w:tcW w:type="dxa" w:w="6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 nombre qu'il donne, avec ses mots</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Prix</w:t>
            </w:r>
          </w:p>
        </w:tc>
        <w:tc>
          <w:tcPr>
            <w:tcW w:type="dxa" w:w="6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affiché sur l'article, au mur, ou nulle part</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Téléphone</w:t>
            </w:r>
          </w:p>
        </w:tc>
        <w:tc>
          <w:tcPr>
            <w:tcW w:type="dxa" w:w="6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modèle, data active, WhatsApp actif</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Qui décide</w:t>
            </w:r>
          </w:p>
        </w:tc>
        <w:tc>
          <w:tcPr>
            <w:tcW w:type="dxa" w:w="6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propriétaire présent, gérant autonome, ou patron à appeler</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Note</w:t>
            </w:r>
          </w:p>
        </w:tc>
        <w:tc>
          <w:tcPr>
            <w:tcW w:type="dxa" w:w="6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les six critères, puis le total sur 20</w:t>
            </w:r>
          </w:p>
        </w:tc>
      </w:tr>
      <w:tr>
        <w:tc>
          <w:tcPr>
            <w:tcW w:type="dxa" w:w="26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Profil retenu</w:t>
            </w:r>
          </w:p>
        </w:tc>
        <w:tc>
          <w:tcPr>
            <w:tcW w:type="dxa" w:w="6400"/>
            <w:shd w:fill="FAFBFC"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receveuse, émettrice, spécialiste ou service</w:t>
            </w:r>
          </w:p>
        </w:tc>
      </w:tr>
      <w:tr>
        <w:tc>
          <w:tcPr>
            <w:tcW w:type="dxa" w:w="26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Catégorie de recrutement</w:t>
            </w:r>
          </w:p>
        </w:tc>
        <w:tc>
          <w:tcPr>
            <w:tcW w:type="dxa" w:w="6400"/>
            <w:shd w:fill="FFFFFF" w:val="clear"/>
            <w:tcMar>
              <w:top w:type="dxa" w:w="70"/>
              <w:left w:type="dxa" w:w="110"/>
              <w:bottom w:type="dxa" w:w="70"/>
              <w:right w:type="dxa" w:w="110"/>
            </w:tcMar>
          </w:tcPr>
          <w:p>
            <w:pPr>
              <w:spacing w:after="0" w:line="240"/>
              <w:jc w:val="left"/>
            </w:pPr>
            <w:r>
              <w:rPr>
                <w:rFonts w:ascii="Calibri" w:cs="Calibri" w:eastAsia="Calibri" w:hAnsi="Calibri"/>
                <w:color w:val="1A1A1A"/>
                <w:sz w:val="19"/>
                <w:szCs w:val="19"/>
              </w:rPr>
              <w:t xml:space="preserve">celle du document 2 qu'il vient pourvoir</w:t>
            </w:r>
          </w:p>
        </w:tc>
      </w:tr>
    </w:tbl>
    <w:p>
      <w:pPr>
        <w:spacing w:after="140"/>
      </w:pPr>
    </w:p>
    <w:p>
      <w:pPr>
        <w:spacing w:after="120" w:line="276"/>
      </w:pPr>
      <w:r>
        <w:rPr>
          <w:rFonts w:ascii="Calibri" w:cs="Calibri" w:eastAsia="Calibri" w:hAnsi="Calibri"/>
          <w:b/>
          <w:bCs/>
          <w:color w:val="1A1A1A"/>
          <w:sz w:val="21"/>
          <w:szCs w:val="21"/>
        </w:rPr>
        <w:t xml:space="preserve">Le comptage de passage doit être écrit en quatre nombres séparés et jamais en moyenne. Une boutique à 20-15-70-25 n'est pas une boutique à 32 : c'est une boutique qui ne vit qu'à l'heure du déjeuner, et son vendeur ne répondra pas aux appels du matin.</w:t>
      </w:r>
    </w:p>
    <w:p>
      <w:pPr>
        <w:spacing w:after="120"/>
      </w:pPr>
    </w:p>
    <w:p>
      <w:pPr>
        <w:spacing w:after="120" w:line="276"/>
      </w:pPr>
      <w:r>
        <w:rPr>
          <w:rFonts w:ascii="Calibri" w:cs="Calibri" w:eastAsia="Calibri" w:hAnsi="Calibri"/>
          <w:color w:val="1A1A1A"/>
          <w:sz w:val="21"/>
          <w:szCs w:val="21"/>
        </w:rPr>
        <w:t xml:space="preserve">Le document 4 donne maintenant ce qu'on dit à cette boutique, mot à mot, et l'offre exacte qu'on lui laisse.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profils — à quoi ressemble chaque boutique à recruter</dc:title>
  <dc:creator>Buyticle</dc:creator>
  <dc:description>Gabarits, grille de qualification, trafic par rayon, critères éliminatoires</dc:description>
  <cp:lastModifiedBy>Un-named</cp:lastModifiedBy>
  <cp:revision>1</cp:revision>
  <dcterms:created xsi:type="dcterms:W3CDTF">2026-08-16T00:23:46.517Z</dcterms:created>
  <dcterms:modified xsi:type="dcterms:W3CDTF">2026-08-16T00:23:46.517Z</dcterms:modified>
</cp:coreProperties>
</file>

<file path=docProps/custom.xml><?xml version="1.0" encoding="utf-8"?>
<Properties xmlns="http://schemas.openxmlformats.org/officeDocument/2006/custom-properties" xmlns:vt="http://schemas.openxmlformats.org/officeDocument/2006/docPropsVTypes"/>
</file>