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76A6" w14:textId="77777777" w:rsidR="00447372" w:rsidRDefault="00000000">
      <w:pPr>
        <w:jc w:val="left"/>
        <w:rPr>
          <w:rFonts w:ascii="仿宋_GB2312" w:eastAsia="仿宋_GB2312" w:hAnsi="仿宋_GB2312" w:cs="仿宋_GB2312" w:hint="eastAsia"/>
          <w:sz w:val="30"/>
          <w:szCs w:val="30"/>
        </w:rPr>
      </w:pPr>
      <w:r>
        <w:rPr>
          <w:rFonts w:ascii="仿宋_GB2312" w:eastAsia="仿宋_GB2312" w:hAnsi="仿宋_GB2312" w:cs="仿宋_GB2312" w:hint="eastAsia"/>
          <w:sz w:val="30"/>
          <w:szCs w:val="30"/>
        </w:rPr>
        <w:t>附件</w:t>
      </w:r>
    </w:p>
    <w:p w14:paraId="25DA680B" w14:textId="77777777" w:rsidR="00447372" w:rsidRDefault="00000000">
      <w:pPr>
        <w:jc w:val="center"/>
        <w:rPr>
          <w:rFonts w:ascii="宋体" w:eastAsia="宋体" w:hAnsi="宋体" w:cs="宋体" w:hint="eastAsia"/>
          <w:sz w:val="44"/>
          <w:szCs w:val="44"/>
        </w:rPr>
      </w:pPr>
      <w:r>
        <w:rPr>
          <w:rFonts w:ascii="宋体" w:eastAsia="宋体" w:hAnsi="宋体" w:cs="宋体" w:hint="eastAsia"/>
          <w:sz w:val="44"/>
          <w:szCs w:val="44"/>
        </w:rPr>
        <w:t>业务规则修改清单</w:t>
      </w:r>
    </w:p>
    <w:tbl>
      <w:tblPr>
        <w:tblStyle w:val="af"/>
        <w:tblpPr w:leftFromText="180" w:rightFromText="180" w:vertAnchor="page" w:horzAnchor="margin" w:tblpXSpec="center" w:tblpY="3226"/>
        <w:tblW w:w="14743" w:type="dxa"/>
        <w:tblLook w:val="04A0" w:firstRow="1" w:lastRow="0" w:firstColumn="1" w:lastColumn="0" w:noHBand="0" w:noVBand="1"/>
      </w:tblPr>
      <w:tblGrid>
        <w:gridCol w:w="701"/>
        <w:gridCol w:w="1411"/>
        <w:gridCol w:w="1176"/>
        <w:gridCol w:w="1351"/>
        <w:gridCol w:w="4486"/>
        <w:gridCol w:w="4442"/>
        <w:gridCol w:w="1176"/>
      </w:tblGrid>
      <w:tr w:rsidR="00447372" w14:paraId="64ECBAA6" w14:textId="77777777">
        <w:trPr>
          <w:trHeight w:val="295"/>
          <w:tblHeader/>
        </w:trPr>
        <w:tc>
          <w:tcPr>
            <w:tcW w:w="701" w:type="dxa"/>
            <w:vAlign w:val="center"/>
          </w:tcPr>
          <w:p w14:paraId="46D62824" w14:textId="77777777" w:rsidR="00447372" w:rsidRDefault="00000000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sz w:val="24"/>
                <w:szCs w:val="24"/>
              </w:rPr>
              <w:t>序号</w:t>
            </w:r>
          </w:p>
        </w:tc>
        <w:tc>
          <w:tcPr>
            <w:tcW w:w="1411" w:type="dxa"/>
            <w:vAlign w:val="center"/>
          </w:tcPr>
          <w:p w14:paraId="20CED09F" w14:textId="77777777" w:rsidR="00447372" w:rsidRDefault="00000000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sz w:val="24"/>
                <w:szCs w:val="24"/>
              </w:rPr>
              <w:t>规则名称</w:t>
            </w:r>
          </w:p>
        </w:tc>
        <w:tc>
          <w:tcPr>
            <w:tcW w:w="1176" w:type="dxa"/>
            <w:vAlign w:val="center"/>
          </w:tcPr>
          <w:p w14:paraId="39263655" w14:textId="77777777" w:rsidR="00447372" w:rsidRDefault="00000000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sz w:val="24"/>
                <w:szCs w:val="24"/>
              </w:rPr>
              <w:t>文号</w:t>
            </w:r>
          </w:p>
        </w:tc>
        <w:tc>
          <w:tcPr>
            <w:tcW w:w="1351" w:type="dxa"/>
            <w:vAlign w:val="center"/>
          </w:tcPr>
          <w:p w14:paraId="09FF3B2A" w14:textId="77777777" w:rsidR="00447372" w:rsidRDefault="00000000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sz w:val="24"/>
                <w:szCs w:val="24"/>
              </w:rPr>
              <w:t>发布日期</w:t>
            </w:r>
          </w:p>
        </w:tc>
        <w:tc>
          <w:tcPr>
            <w:tcW w:w="4486" w:type="dxa"/>
            <w:vAlign w:val="center"/>
          </w:tcPr>
          <w:p w14:paraId="1F8D7D65" w14:textId="77777777" w:rsidR="00447372" w:rsidRDefault="00000000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sz w:val="24"/>
                <w:szCs w:val="24"/>
              </w:rPr>
              <w:t>条款</w:t>
            </w:r>
          </w:p>
        </w:tc>
        <w:tc>
          <w:tcPr>
            <w:tcW w:w="4442" w:type="dxa"/>
            <w:vAlign w:val="center"/>
          </w:tcPr>
          <w:p w14:paraId="12105BF1" w14:textId="77777777" w:rsidR="00447372" w:rsidRDefault="00000000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sz w:val="24"/>
                <w:szCs w:val="24"/>
              </w:rPr>
              <w:t>修改内容</w:t>
            </w:r>
          </w:p>
        </w:tc>
        <w:tc>
          <w:tcPr>
            <w:tcW w:w="1176" w:type="dxa"/>
            <w:vAlign w:val="center"/>
          </w:tcPr>
          <w:p w14:paraId="18A3F4A2" w14:textId="77777777" w:rsidR="00447372" w:rsidRDefault="00000000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>
              <w:rPr>
                <w:rFonts w:ascii="Times New Roman" w:eastAsia="黑体" w:hAnsi="Times New Roman" w:hint="eastAsia"/>
                <w:sz w:val="24"/>
                <w:szCs w:val="24"/>
              </w:rPr>
              <w:t>备注</w:t>
            </w:r>
          </w:p>
        </w:tc>
      </w:tr>
      <w:tr w:rsidR="00447372" w14:paraId="7EBE03FD" w14:textId="77777777">
        <w:trPr>
          <w:trHeight w:val="295"/>
        </w:trPr>
        <w:tc>
          <w:tcPr>
            <w:tcW w:w="701" w:type="dxa"/>
            <w:vAlign w:val="center"/>
          </w:tcPr>
          <w:p w14:paraId="54278FAD" w14:textId="77777777" w:rsidR="00447372" w:rsidRDefault="00447372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Align w:val="center"/>
          </w:tcPr>
          <w:p w14:paraId="0CBFB0D9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上海市场首次公开发行股票网上发行</w:t>
            </w:r>
          </w:p>
          <w:p w14:paraId="30F035DF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实施细则（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2023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年修订）</w:t>
            </w:r>
          </w:p>
        </w:tc>
        <w:tc>
          <w:tcPr>
            <w:tcW w:w="1176" w:type="dxa"/>
            <w:vAlign w:val="center"/>
          </w:tcPr>
          <w:p w14:paraId="0A4F78F7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上证发〔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2023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〕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35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号</w:t>
            </w:r>
          </w:p>
        </w:tc>
        <w:tc>
          <w:tcPr>
            <w:tcW w:w="1351" w:type="dxa"/>
            <w:vAlign w:val="center"/>
          </w:tcPr>
          <w:p w14:paraId="25E0641D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2023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2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月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17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日</w:t>
            </w:r>
          </w:p>
        </w:tc>
        <w:tc>
          <w:tcPr>
            <w:tcW w:w="4486" w:type="dxa"/>
            <w:vAlign w:val="center"/>
          </w:tcPr>
          <w:p w14:paraId="2C6D71D8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第八条</w:t>
            </w:r>
          </w:p>
        </w:tc>
        <w:tc>
          <w:tcPr>
            <w:tcW w:w="4442" w:type="dxa"/>
            <w:vAlign w:val="center"/>
          </w:tcPr>
          <w:p w14:paraId="7DB545FB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将“董事、监事、高级管理人员”修改为“董事、高级管理人员”。</w:t>
            </w:r>
          </w:p>
        </w:tc>
        <w:tc>
          <w:tcPr>
            <w:tcW w:w="1176" w:type="dxa"/>
            <w:vAlign w:val="center"/>
          </w:tcPr>
          <w:p w14:paraId="2E4A9835" w14:textId="77777777" w:rsidR="00447372" w:rsidRDefault="00447372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F179C3" w14:paraId="70B8A106" w14:textId="77777777">
        <w:trPr>
          <w:trHeight w:val="295"/>
        </w:trPr>
        <w:tc>
          <w:tcPr>
            <w:tcW w:w="701" w:type="dxa"/>
            <w:vMerge w:val="restart"/>
            <w:vAlign w:val="center"/>
          </w:tcPr>
          <w:p w14:paraId="4E4BEDD7" w14:textId="77777777" w:rsidR="00F179C3" w:rsidRDefault="00F179C3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Merge w:val="restart"/>
            <w:vAlign w:val="center"/>
          </w:tcPr>
          <w:p w14:paraId="51F02EFD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中国证券登记结算有限责任公司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上海证券交易所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B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转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H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业务实施细则</w:t>
            </w:r>
          </w:p>
        </w:tc>
        <w:tc>
          <w:tcPr>
            <w:tcW w:w="1176" w:type="dxa"/>
            <w:vMerge w:val="restart"/>
            <w:vAlign w:val="center"/>
          </w:tcPr>
          <w:p w14:paraId="0647909B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/</w:t>
            </w:r>
          </w:p>
        </w:tc>
        <w:tc>
          <w:tcPr>
            <w:tcW w:w="1351" w:type="dxa"/>
            <w:vMerge w:val="restart"/>
            <w:vAlign w:val="center"/>
          </w:tcPr>
          <w:p w14:paraId="028344FB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2021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12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24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  <w:tc>
          <w:tcPr>
            <w:tcW w:w="4486" w:type="dxa"/>
            <w:vAlign w:val="center"/>
          </w:tcPr>
          <w:p w14:paraId="00FA0D48" w14:textId="660F5A5A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第三条</w:t>
            </w:r>
          </w:p>
        </w:tc>
        <w:tc>
          <w:tcPr>
            <w:tcW w:w="4442" w:type="dxa"/>
            <w:vAlign w:val="center"/>
          </w:tcPr>
          <w:p w14:paraId="13DC2A33" w14:textId="5729EF7B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修改为：“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根据股东会决议，上市公司经中国证券监督管理委员会（简称中国证监会）备案开展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B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转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H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业务并完成相应信息披露后，可申请将投资者持有的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B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股转登记至香港股份登记机构，存管于中国结算在香港中央结算有限公司（简称香港结算）开立的证券账户，成为在联交所上市流通的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H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股。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”</w:t>
            </w:r>
          </w:p>
        </w:tc>
        <w:tc>
          <w:tcPr>
            <w:tcW w:w="1176" w:type="dxa"/>
            <w:vAlign w:val="center"/>
          </w:tcPr>
          <w:p w14:paraId="004BA2FE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F179C3" w14:paraId="3D3C2C81" w14:textId="77777777">
        <w:trPr>
          <w:trHeight w:val="295"/>
        </w:trPr>
        <w:tc>
          <w:tcPr>
            <w:tcW w:w="701" w:type="dxa"/>
            <w:vMerge/>
            <w:vAlign w:val="center"/>
          </w:tcPr>
          <w:p w14:paraId="059F84DC" w14:textId="77777777" w:rsidR="00F179C3" w:rsidRDefault="00F179C3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Merge/>
            <w:vAlign w:val="center"/>
          </w:tcPr>
          <w:p w14:paraId="53B8ABAF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176" w:type="dxa"/>
            <w:vMerge/>
            <w:vAlign w:val="center"/>
          </w:tcPr>
          <w:p w14:paraId="6E9F4884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351" w:type="dxa"/>
            <w:vMerge/>
            <w:vAlign w:val="center"/>
          </w:tcPr>
          <w:p w14:paraId="6FADD807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486" w:type="dxa"/>
            <w:vAlign w:val="center"/>
          </w:tcPr>
          <w:p w14:paraId="7B4569EB" w14:textId="42FE76F1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第四条、第二十五条</w:t>
            </w:r>
          </w:p>
        </w:tc>
        <w:tc>
          <w:tcPr>
            <w:tcW w:w="4442" w:type="dxa"/>
            <w:vAlign w:val="center"/>
          </w:tcPr>
          <w:p w14:paraId="30FD536F" w14:textId="5173E46F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将“股东大会”修改为“股东会”。</w:t>
            </w:r>
          </w:p>
        </w:tc>
        <w:tc>
          <w:tcPr>
            <w:tcW w:w="1176" w:type="dxa"/>
            <w:vAlign w:val="center"/>
          </w:tcPr>
          <w:p w14:paraId="017694EE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F179C3" w14:paraId="22C42CDD" w14:textId="77777777">
        <w:trPr>
          <w:trHeight w:val="295"/>
        </w:trPr>
        <w:tc>
          <w:tcPr>
            <w:tcW w:w="701" w:type="dxa"/>
            <w:vMerge/>
            <w:vAlign w:val="center"/>
          </w:tcPr>
          <w:p w14:paraId="6A996E27" w14:textId="77777777" w:rsidR="00F179C3" w:rsidRDefault="00F179C3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Merge/>
            <w:vAlign w:val="center"/>
          </w:tcPr>
          <w:p w14:paraId="1B23B5CC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176" w:type="dxa"/>
            <w:vMerge/>
            <w:vAlign w:val="center"/>
          </w:tcPr>
          <w:p w14:paraId="44020E9A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351" w:type="dxa"/>
            <w:vMerge/>
            <w:vAlign w:val="center"/>
          </w:tcPr>
          <w:p w14:paraId="1DF70C54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486" w:type="dxa"/>
            <w:vAlign w:val="center"/>
          </w:tcPr>
          <w:p w14:paraId="29A0B8F3" w14:textId="4AC8FC8C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第七条</w:t>
            </w:r>
          </w:p>
        </w:tc>
        <w:tc>
          <w:tcPr>
            <w:tcW w:w="4442" w:type="dxa"/>
            <w:vAlign w:val="center"/>
          </w:tcPr>
          <w:p w14:paraId="15E4123B" w14:textId="32D0B7AC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修改为：“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上市公司经中国证监会备案开展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B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转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H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业务后，向上交所申请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B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股终止上市以及向中国结算申请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B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股退出登记。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”</w:t>
            </w:r>
          </w:p>
        </w:tc>
        <w:tc>
          <w:tcPr>
            <w:tcW w:w="1176" w:type="dxa"/>
            <w:vAlign w:val="center"/>
          </w:tcPr>
          <w:p w14:paraId="699C0DA4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F179C3" w14:paraId="197DAC5C" w14:textId="77777777">
        <w:trPr>
          <w:trHeight w:val="295"/>
        </w:trPr>
        <w:tc>
          <w:tcPr>
            <w:tcW w:w="701" w:type="dxa"/>
            <w:vMerge/>
            <w:vAlign w:val="center"/>
          </w:tcPr>
          <w:p w14:paraId="1BCD8B7F" w14:textId="77777777" w:rsidR="00F179C3" w:rsidRDefault="00F179C3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Merge/>
            <w:vAlign w:val="center"/>
          </w:tcPr>
          <w:p w14:paraId="376D3FB5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176" w:type="dxa"/>
            <w:vMerge/>
            <w:vAlign w:val="center"/>
          </w:tcPr>
          <w:p w14:paraId="7531E1E9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351" w:type="dxa"/>
            <w:vMerge/>
            <w:vAlign w:val="center"/>
          </w:tcPr>
          <w:p w14:paraId="15B49BB6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486" w:type="dxa"/>
            <w:vAlign w:val="center"/>
          </w:tcPr>
          <w:p w14:paraId="4CC65687" w14:textId="78D85B0B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第四十六条</w:t>
            </w:r>
          </w:p>
        </w:tc>
        <w:tc>
          <w:tcPr>
            <w:tcW w:w="4442" w:type="dxa"/>
            <w:vAlign w:val="center"/>
          </w:tcPr>
          <w:p w14:paraId="0BC568E9" w14:textId="4C9436F6" w:rsidR="00F179C3" w:rsidRPr="00F179C3" w:rsidRDefault="00F179C3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修改为：“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本细则下列用语的含义是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：</w:t>
            </w:r>
          </w:p>
          <w:p w14:paraId="2F56606D" w14:textId="77777777" w:rsidR="00F179C3" w:rsidRPr="00F179C3" w:rsidRDefault="00F179C3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H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股，是指经中国证监会备案的上市公司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B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转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H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股份。</w:t>
            </w:r>
          </w:p>
          <w:p w14:paraId="6FF268D5" w14:textId="1FBE0EC4" w:rsidR="00F179C3" w:rsidRDefault="00F179C3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T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日，是指上交所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B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股和香港联交所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H</w:t>
            </w:r>
            <w:r w:rsidRPr="00F179C3">
              <w:rPr>
                <w:rFonts w:ascii="Times New Roman" w:eastAsia="仿宋_GB2312" w:hAnsi="Times New Roman"/>
                <w:sz w:val="24"/>
                <w:szCs w:val="24"/>
              </w:rPr>
              <w:t>股的共同交易日。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”</w:t>
            </w:r>
          </w:p>
        </w:tc>
        <w:tc>
          <w:tcPr>
            <w:tcW w:w="1176" w:type="dxa"/>
            <w:vAlign w:val="center"/>
          </w:tcPr>
          <w:p w14:paraId="41ACB3E2" w14:textId="77777777" w:rsidR="00F179C3" w:rsidRDefault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447372" w14:paraId="4F4E56E2" w14:textId="77777777">
        <w:trPr>
          <w:trHeight w:val="295"/>
        </w:trPr>
        <w:tc>
          <w:tcPr>
            <w:tcW w:w="701" w:type="dxa"/>
            <w:vAlign w:val="center"/>
          </w:tcPr>
          <w:p w14:paraId="3E06996D" w14:textId="77777777" w:rsidR="00447372" w:rsidRDefault="00447372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Align w:val="center"/>
          </w:tcPr>
          <w:p w14:paraId="1E38BB00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上海证券交易所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中国证券登记结算有限责任公司</w:t>
            </w:r>
            <w:proofErr w:type="gramStart"/>
            <w:r>
              <w:rPr>
                <w:rFonts w:ascii="Times New Roman" w:eastAsia="仿宋_GB2312" w:hAnsi="Times New Roman"/>
                <w:sz w:val="24"/>
                <w:szCs w:val="24"/>
              </w:rPr>
              <w:t>科创板</w:t>
            </w:r>
            <w:proofErr w:type="gramEnd"/>
            <w:r>
              <w:rPr>
                <w:rFonts w:ascii="Times New Roman" w:eastAsia="仿宋_GB2312" w:hAnsi="Times New Roman"/>
                <w:sz w:val="24"/>
                <w:szCs w:val="24"/>
              </w:rPr>
              <w:t>上市公司股东以向特定机构投资者询价转让和配售方式减持股</w:t>
            </w:r>
            <w:proofErr w:type="gramStart"/>
            <w:r>
              <w:rPr>
                <w:rFonts w:ascii="Times New Roman" w:eastAsia="仿宋_GB2312" w:hAnsi="Times New Roman"/>
                <w:sz w:val="24"/>
                <w:szCs w:val="24"/>
              </w:rPr>
              <w:t>份业务</w:t>
            </w:r>
            <w:proofErr w:type="gramEnd"/>
            <w:r>
              <w:rPr>
                <w:rFonts w:ascii="Times New Roman" w:eastAsia="仿宋_GB2312" w:hAnsi="Times New Roman"/>
                <w:sz w:val="24"/>
                <w:szCs w:val="24"/>
              </w:rPr>
              <w:t>指引（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2024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5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月修订）</w:t>
            </w:r>
          </w:p>
        </w:tc>
        <w:tc>
          <w:tcPr>
            <w:tcW w:w="1176" w:type="dxa"/>
            <w:vAlign w:val="center"/>
          </w:tcPr>
          <w:p w14:paraId="016A9EA9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上证发〔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2024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〕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74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号</w:t>
            </w:r>
          </w:p>
        </w:tc>
        <w:tc>
          <w:tcPr>
            <w:tcW w:w="1351" w:type="dxa"/>
            <w:vAlign w:val="center"/>
          </w:tcPr>
          <w:p w14:paraId="72555A96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2024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24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  <w:tc>
          <w:tcPr>
            <w:tcW w:w="4486" w:type="dxa"/>
            <w:vAlign w:val="center"/>
          </w:tcPr>
          <w:p w14:paraId="4F81183D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第二十三条</w:t>
            </w:r>
          </w:p>
        </w:tc>
        <w:tc>
          <w:tcPr>
            <w:tcW w:w="4442" w:type="dxa"/>
            <w:vAlign w:val="center"/>
          </w:tcPr>
          <w:p w14:paraId="268BC92F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将“《上海证券交易所上市公司自律监管指引第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15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号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——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股东及董事、监事、高级管理人员减持股份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》”修改为“《上海证券交易所上市公司自律监管指引第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15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号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——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股东及董事、高级管理人员减持股份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》”。</w:t>
            </w:r>
          </w:p>
        </w:tc>
        <w:tc>
          <w:tcPr>
            <w:tcW w:w="1176" w:type="dxa"/>
            <w:vAlign w:val="center"/>
          </w:tcPr>
          <w:p w14:paraId="5BB1CE90" w14:textId="77777777" w:rsidR="00447372" w:rsidRDefault="00447372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447372" w14:paraId="769F36F6" w14:textId="77777777">
        <w:trPr>
          <w:trHeight w:val="295"/>
        </w:trPr>
        <w:tc>
          <w:tcPr>
            <w:tcW w:w="701" w:type="dxa"/>
            <w:vMerge w:val="restart"/>
            <w:vAlign w:val="center"/>
          </w:tcPr>
          <w:p w14:paraId="4151BC89" w14:textId="77777777" w:rsidR="00447372" w:rsidRDefault="00447372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Merge w:val="restart"/>
            <w:vAlign w:val="center"/>
          </w:tcPr>
          <w:p w14:paraId="77BAB94B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股票质押式回购交易及登记结算业务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lastRenderedPageBreak/>
              <w:t>办法（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2018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年修订）</w:t>
            </w:r>
          </w:p>
        </w:tc>
        <w:tc>
          <w:tcPr>
            <w:tcW w:w="1176" w:type="dxa"/>
            <w:vMerge w:val="restart"/>
            <w:vAlign w:val="center"/>
          </w:tcPr>
          <w:p w14:paraId="5163772B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lastRenderedPageBreak/>
              <w:t>上证发〔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2018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〕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4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号</w:t>
            </w:r>
          </w:p>
        </w:tc>
        <w:tc>
          <w:tcPr>
            <w:tcW w:w="1351" w:type="dxa"/>
            <w:vMerge w:val="restart"/>
            <w:vAlign w:val="center"/>
          </w:tcPr>
          <w:p w14:paraId="6FDF8F73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/>
                <w:sz w:val="24"/>
                <w:szCs w:val="24"/>
              </w:rPr>
              <w:t>2018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仿宋_GB2312" w:hAnsi="Times New Roman"/>
                <w:sz w:val="24"/>
                <w:szCs w:val="24"/>
              </w:rPr>
              <w:t>12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  <w:tc>
          <w:tcPr>
            <w:tcW w:w="4486" w:type="dxa"/>
            <w:vAlign w:val="center"/>
          </w:tcPr>
          <w:p w14:paraId="6E8F1F04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第六十条及附件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4442" w:type="dxa"/>
            <w:vAlign w:val="center"/>
          </w:tcPr>
          <w:p w14:paraId="03A5E08E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将“股东大会”修改为“股东会”。</w:t>
            </w:r>
          </w:p>
        </w:tc>
        <w:tc>
          <w:tcPr>
            <w:tcW w:w="1176" w:type="dxa"/>
            <w:vAlign w:val="center"/>
          </w:tcPr>
          <w:p w14:paraId="0DA4640E" w14:textId="77777777" w:rsidR="00447372" w:rsidRDefault="00447372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447372" w14:paraId="7D3CE4B0" w14:textId="77777777">
        <w:trPr>
          <w:trHeight w:val="295"/>
        </w:trPr>
        <w:tc>
          <w:tcPr>
            <w:tcW w:w="701" w:type="dxa"/>
            <w:vMerge/>
            <w:vAlign w:val="center"/>
          </w:tcPr>
          <w:p w14:paraId="550C7F51" w14:textId="77777777" w:rsidR="00447372" w:rsidRDefault="00447372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Merge/>
            <w:vAlign w:val="center"/>
          </w:tcPr>
          <w:p w14:paraId="5B7D1B51" w14:textId="77777777" w:rsidR="00447372" w:rsidRDefault="00447372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176" w:type="dxa"/>
            <w:vMerge/>
            <w:vAlign w:val="center"/>
          </w:tcPr>
          <w:p w14:paraId="698DEAE9" w14:textId="77777777" w:rsidR="00447372" w:rsidRDefault="00447372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351" w:type="dxa"/>
            <w:vMerge/>
            <w:vAlign w:val="center"/>
          </w:tcPr>
          <w:p w14:paraId="0479C97C" w14:textId="77777777" w:rsidR="00447372" w:rsidRDefault="00447372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486" w:type="dxa"/>
            <w:vAlign w:val="center"/>
          </w:tcPr>
          <w:p w14:paraId="4F334F8C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附件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4442" w:type="dxa"/>
            <w:vAlign w:val="center"/>
          </w:tcPr>
          <w:p w14:paraId="7E7F7BDB" w14:textId="77777777" w:rsidR="00447372" w:rsidRDefault="00000000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将“董事、监事、高级管理人员”修改为“董事、高级管理人员”。</w:t>
            </w:r>
          </w:p>
        </w:tc>
        <w:tc>
          <w:tcPr>
            <w:tcW w:w="1176" w:type="dxa"/>
            <w:vAlign w:val="center"/>
          </w:tcPr>
          <w:p w14:paraId="7BBF8421" w14:textId="77777777" w:rsidR="00447372" w:rsidRDefault="00447372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7A7D31" w14:paraId="6B76D4F5" w14:textId="77777777">
        <w:trPr>
          <w:trHeight w:val="295"/>
        </w:trPr>
        <w:tc>
          <w:tcPr>
            <w:tcW w:w="701" w:type="dxa"/>
            <w:vMerge w:val="restart"/>
            <w:vAlign w:val="center"/>
          </w:tcPr>
          <w:p w14:paraId="1D8B2CB8" w14:textId="77777777" w:rsidR="007A7D31" w:rsidRDefault="007A7D31" w:rsidP="00F179C3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Merge w:val="restart"/>
            <w:vAlign w:val="center"/>
          </w:tcPr>
          <w:p w14:paraId="7F3F4F94" w14:textId="2FA44F26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约定购</w:t>
            </w:r>
            <w:proofErr w:type="gramStart"/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回式证券</w:t>
            </w:r>
            <w:proofErr w:type="gramEnd"/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交易及登记结算业务办法</w:t>
            </w:r>
          </w:p>
        </w:tc>
        <w:tc>
          <w:tcPr>
            <w:tcW w:w="1176" w:type="dxa"/>
            <w:vMerge w:val="restart"/>
            <w:vAlign w:val="center"/>
          </w:tcPr>
          <w:p w14:paraId="3ADCDE92" w14:textId="4D7D26F7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上证会字</w:t>
            </w:r>
            <w:proofErr w:type="gramEnd"/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〔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2012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〕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252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号</w:t>
            </w:r>
          </w:p>
        </w:tc>
        <w:tc>
          <w:tcPr>
            <w:tcW w:w="1351" w:type="dxa"/>
            <w:vMerge w:val="restart"/>
            <w:vAlign w:val="center"/>
          </w:tcPr>
          <w:p w14:paraId="46535FFB" w14:textId="554CBA7B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2012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12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10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日</w:t>
            </w:r>
          </w:p>
        </w:tc>
        <w:tc>
          <w:tcPr>
            <w:tcW w:w="4486" w:type="dxa"/>
            <w:vAlign w:val="center"/>
          </w:tcPr>
          <w:p w14:paraId="0795EAF7" w14:textId="7B9AD7F9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第四十一条</w:t>
            </w:r>
          </w:p>
        </w:tc>
        <w:tc>
          <w:tcPr>
            <w:tcW w:w="4442" w:type="dxa"/>
            <w:vAlign w:val="center"/>
          </w:tcPr>
          <w:p w14:paraId="1D63C3D9" w14:textId="7E5C5CBF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将“股东大会”修改为“股东会”。</w:t>
            </w:r>
          </w:p>
        </w:tc>
        <w:tc>
          <w:tcPr>
            <w:tcW w:w="1176" w:type="dxa"/>
            <w:vAlign w:val="center"/>
          </w:tcPr>
          <w:p w14:paraId="175D2590" w14:textId="77777777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  <w:tr w:rsidR="007A7D31" w14:paraId="06F0F900" w14:textId="77777777">
        <w:trPr>
          <w:trHeight w:val="295"/>
        </w:trPr>
        <w:tc>
          <w:tcPr>
            <w:tcW w:w="701" w:type="dxa"/>
            <w:vMerge/>
            <w:vAlign w:val="center"/>
          </w:tcPr>
          <w:p w14:paraId="22746FE8" w14:textId="77777777" w:rsidR="007A7D31" w:rsidRDefault="007A7D31" w:rsidP="00F179C3">
            <w:pPr>
              <w:pStyle w:val="af4"/>
              <w:numPr>
                <w:ilvl w:val="0"/>
                <w:numId w:val="1"/>
              </w:numPr>
              <w:jc w:val="center"/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411" w:type="dxa"/>
            <w:vMerge/>
            <w:vAlign w:val="center"/>
          </w:tcPr>
          <w:p w14:paraId="67F5EBA6" w14:textId="77777777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176" w:type="dxa"/>
            <w:vMerge/>
            <w:vAlign w:val="center"/>
          </w:tcPr>
          <w:p w14:paraId="605E2D5F" w14:textId="77777777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1351" w:type="dxa"/>
            <w:vMerge/>
            <w:vAlign w:val="center"/>
          </w:tcPr>
          <w:p w14:paraId="17FF8F33" w14:textId="77777777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  <w:tc>
          <w:tcPr>
            <w:tcW w:w="4486" w:type="dxa"/>
            <w:vAlign w:val="center"/>
          </w:tcPr>
          <w:p w14:paraId="42254A67" w14:textId="69EFE88A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附件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4442" w:type="dxa"/>
            <w:vAlign w:val="center"/>
          </w:tcPr>
          <w:p w14:paraId="2BA43812" w14:textId="2F3B8966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将“董事、监事、高级管理人员”修改为“董事、高级管理人员”。</w:t>
            </w:r>
          </w:p>
        </w:tc>
        <w:tc>
          <w:tcPr>
            <w:tcW w:w="1176" w:type="dxa"/>
            <w:vAlign w:val="center"/>
          </w:tcPr>
          <w:p w14:paraId="5607DE88" w14:textId="77777777" w:rsidR="007A7D31" w:rsidRDefault="007A7D31" w:rsidP="00F179C3">
            <w:pPr>
              <w:rPr>
                <w:rFonts w:ascii="Times New Roman" w:eastAsia="仿宋_GB2312" w:hAnsi="Times New Roman"/>
                <w:sz w:val="24"/>
                <w:szCs w:val="24"/>
              </w:rPr>
            </w:pPr>
          </w:p>
        </w:tc>
      </w:tr>
    </w:tbl>
    <w:p w14:paraId="1D6B209B" w14:textId="77777777" w:rsidR="00447372" w:rsidRDefault="00000000">
      <w:pPr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注：修改后相关规则中的条文序号作相应调整。</w:t>
      </w:r>
    </w:p>
    <w:sectPr w:rsidR="00447372">
      <w:footerReference w:type="default" r:id="rId8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525CA" w14:textId="77777777" w:rsidR="00FF6CD5" w:rsidRDefault="00FF6CD5">
      <w:pPr>
        <w:rPr>
          <w:rFonts w:hint="eastAsia"/>
        </w:rPr>
      </w:pPr>
      <w:r>
        <w:separator/>
      </w:r>
    </w:p>
  </w:endnote>
  <w:endnote w:type="continuationSeparator" w:id="0">
    <w:p w14:paraId="389BF7F7" w14:textId="77777777" w:rsidR="00FF6CD5" w:rsidRDefault="00FF6C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5997226"/>
    </w:sdtPr>
    <w:sdtContent>
      <w:p w14:paraId="567DEB44" w14:textId="77777777" w:rsidR="00447372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B765A6" w14:textId="77777777" w:rsidR="00447372" w:rsidRDefault="00447372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CD183" w14:textId="77777777" w:rsidR="00FF6CD5" w:rsidRDefault="00FF6CD5">
      <w:pPr>
        <w:rPr>
          <w:rFonts w:hint="eastAsia"/>
        </w:rPr>
      </w:pPr>
      <w:r>
        <w:separator/>
      </w:r>
    </w:p>
  </w:footnote>
  <w:footnote w:type="continuationSeparator" w:id="0">
    <w:p w14:paraId="169D6C8C" w14:textId="77777777" w:rsidR="00FF6CD5" w:rsidRDefault="00FF6CD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37997"/>
    <w:multiLevelType w:val="multilevel"/>
    <w:tmpl w:val="36337997"/>
    <w:lvl w:ilvl="0">
      <w:start w:val="1"/>
      <w:numFmt w:val="decimal"/>
      <w:suff w:val="nothing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72163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23C"/>
    <w:rsid w:val="00023EB5"/>
    <w:rsid w:val="00026BFA"/>
    <w:rsid w:val="0005545E"/>
    <w:rsid w:val="00057D7F"/>
    <w:rsid w:val="000802D7"/>
    <w:rsid w:val="000833C1"/>
    <w:rsid w:val="00087CA2"/>
    <w:rsid w:val="000C0BC1"/>
    <w:rsid w:val="000C2813"/>
    <w:rsid w:val="001148AC"/>
    <w:rsid w:val="00141545"/>
    <w:rsid w:val="001475A3"/>
    <w:rsid w:val="00153FC0"/>
    <w:rsid w:val="00165F6C"/>
    <w:rsid w:val="0017218D"/>
    <w:rsid w:val="0017665F"/>
    <w:rsid w:val="00187846"/>
    <w:rsid w:val="001944F6"/>
    <w:rsid w:val="001B2FFE"/>
    <w:rsid w:val="001D3218"/>
    <w:rsid w:val="001D44D3"/>
    <w:rsid w:val="001F2FED"/>
    <w:rsid w:val="001F71A4"/>
    <w:rsid w:val="00207313"/>
    <w:rsid w:val="00213917"/>
    <w:rsid w:val="0022072A"/>
    <w:rsid w:val="00250258"/>
    <w:rsid w:val="002631AC"/>
    <w:rsid w:val="00285032"/>
    <w:rsid w:val="002939C4"/>
    <w:rsid w:val="002A50E0"/>
    <w:rsid w:val="002B48CA"/>
    <w:rsid w:val="002E5AB4"/>
    <w:rsid w:val="0030679C"/>
    <w:rsid w:val="003069C0"/>
    <w:rsid w:val="00315111"/>
    <w:rsid w:val="0032347F"/>
    <w:rsid w:val="00326B8E"/>
    <w:rsid w:val="00343E8C"/>
    <w:rsid w:val="00354170"/>
    <w:rsid w:val="003A04C8"/>
    <w:rsid w:val="003B0EE0"/>
    <w:rsid w:val="003C508C"/>
    <w:rsid w:val="003C6DCB"/>
    <w:rsid w:val="003D29EE"/>
    <w:rsid w:val="003F0BE6"/>
    <w:rsid w:val="003F4C9A"/>
    <w:rsid w:val="003F5109"/>
    <w:rsid w:val="00432122"/>
    <w:rsid w:val="00447372"/>
    <w:rsid w:val="004A61CA"/>
    <w:rsid w:val="004C1C5F"/>
    <w:rsid w:val="004C5851"/>
    <w:rsid w:val="004E05F1"/>
    <w:rsid w:val="004F675C"/>
    <w:rsid w:val="005645D0"/>
    <w:rsid w:val="00576B59"/>
    <w:rsid w:val="005806DD"/>
    <w:rsid w:val="005C3C84"/>
    <w:rsid w:val="005D2095"/>
    <w:rsid w:val="005F2BCD"/>
    <w:rsid w:val="00637D3B"/>
    <w:rsid w:val="00643BC4"/>
    <w:rsid w:val="00664AA6"/>
    <w:rsid w:val="00666F0D"/>
    <w:rsid w:val="006807D4"/>
    <w:rsid w:val="00684E27"/>
    <w:rsid w:val="006974CD"/>
    <w:rsid w:val="006C069D"/>
    <w:rsid w:val="006C6B39"/>
    <w:rsid w:val="006D668F"/>
    <w:rsid w:val="006F365C"/>
    <w:rsid w:val="00705D22"/>
    <w:rsid w:val="00715DC2"/>
    <w:rsid w:val="00717D51"/>
    <w:rsid w:val="00731099"/>
    <w:rsid w:val="00734777"/>
    <w:rsid w:val="0075339E"/>
    <w:rsid w:val="007827EF"/>
    <w:rsid w:val="007926B2"/>
    <w:rsid w:val="007A2BA9"/>
    <w:rsid w:val="007A7D31"/>
    <w:rsid w:val="007C4303"/>
    <w:rsid w:val="007E7E23"/>
    <w:rsid w:val="00805A6A"/>
    <w:rsid w:val="00816BC3"/>
    <w:rsid w:val="008316DE"/>
    <w:rsid w:val="00832918"/>
    <w:rsid w:val="00837217"/>
    <w:rsid w:val="008456DB"/>
    <w:rsid w:val="00850445"/>
    <w:rsid w:val="00882AF9"/>
    <w:rsid w:val="00887071"/>
    <w:rsid w:val="0089263C"/>
    <w:rsid w:val="00893F7A"/>
    <w:rsid w:val="008B7299"/>
    <w:rsid w:val="008D1180"/>
    <w:rsid w:val="008E661E"/>
    <w:rsid w:val="008E752A"/>
    <w:rsid w:val="008F1269"/>
    <w:rsid w:val="00901BF7"/>
    <w:rsid w:val="00910800"/>
    <w:rsid w:val="009270CC"/>
    <w:rsid w:val="00937681"/>
    <w:rsid w:val="00953740"/>
    <w:rsid w:val="00963481"/>
    <w:rsid w:val="00976354"/>
    <w:rsid w:val="009B476C"/>
    <w:rsid w:val="009B7E9F"/>
    <w:rsid w:val="009C4AF5"/>
    <w:rsid w:val="009F7CE4"/>
    <w:rsid w:val="00A06217"/>
    <w:rsid w:val="00A2481E"/>
    <w:rsid w:val="00A24891"/>
    <w:rsid w:val="00A25E8D"/>
    <w:rsid w:val="00A84DB7"/>
    <w:rsid w:val="00AA0A9B"/>
    <w:rsid w:val="00AA2DE3"/>
    <w:rsid w:val="00AD3DDA"/>
    <w:rsid w:val="00AE2B55"/>
    <w:rsid w:val="00B12638"/>
    <w:rsid w:val="00B133A0"/>
    <w:rsid w:val="00B42495"/>
    <w:rsid w:val="00B42B26"/>
    <w:rsid w:val="00B52894"/>
    <w:rsid w:val="00B55C43"/>
    <w:rsid w:val="00B656A0"/>
    <w:rsid w:val="00B72AB5"/>
    <w:rsid w:val="00B74E56"/>
    <w:rsid w:val="00B8265C"/>
    <w:rsid w:val="00B85CC7"/>
    <w:rsid w:val="00B8756D"/>
    <w:rsid w:val="00B93F66"/>
    <w:rsid w:val="00BC3A6C"/>
    <w:rsid w:val="00BD586A"/>
    <w:rsid w:val="00BD7C54"/>
    <w:rsid w:val="00BE0AF6"/>
    <w:rsid w:val="00BE4F6E"/>
    <w:rsid w:val="00BE53DF"/>
    <w:rsid w:val="00C1540D"/>
    <w:rsid w:val="00C23798"/>
    <w:rsid w:val="00C3500E"/>
    <w:rsid w:val="00C42502"/>
    <w:rsid w:val="00C52329"/>
    <w:rsid w:val="00C572F0"/>
    <w:rsid w:val="00C60135"/>
    <w:rsid w:val="00C9620E"/>
    <w:rsid w:val="00CD03C6"/>
    <w:rsid w:val="00CD063A"/>
    <w:rsid w:val="00D07927"/>
    <w:rsid w:val="00D201D2"/>
    <w:rsid w:val="00D72081"/>
    <w:rsid w:val="00D86B5D"/>
    <w:rsid w:val="00D96D60"/>
    <w:rsid w:val="00D97507"/>
    <w:rsid w:val="00DB46EA"/>
    <w:rsid w:val="00DC73F1"/>
    <w:rsid w:val="00DD55B0"/>
    <w:rsid w:val="00DF15A4"/>
    <w:rsid w:val="00E16854"/>
    <w:rsid w:val="00E21402"/>
    <w:rsid w:val="00E22904"/>
    <w:rsid w:val="00E36CEA"/>
    <w:rsid w:val="00E5655C"/>
    <w:rsid w:val="00EB62DC"/>
    <w:rsid w:val="00ED6FB0"/>
    <w:rsid w:val="00EF4DAF"/>
    <w:rsid w:val="00F013D5"/>
    <w:rsid w:val="00F179C3"/>
    <w:rsid w:val="00F3223C"/>
    <w:rsid w:val="00F34CE0"/>
    <w:rsid w:val="00F37F17"/>
    <w:rsid w:val="00F47067"/>
    <w:rsid w:val="00F5055C"/>
    <w:rsid w:val="00F86BA0"/>
    <w:rsid w:val="00FA1431"/>
    <w:rsid w:val="00FE2268"/>
    <w:rsid w:val="00FF25BE"/>
    <w:rsid w:val="00FF6CD5"/>
    <w:rsid w:val="0B907065"/>
    <w:rsid w:val="0C8C538B"/>
    <w:rsid w:val="0F933EFB"/>
    <w:rsid w:val="124C3CBC"/>
    <w:rsid w:val="153F61AF"/>
    <w:rsid w:val="20CC33B3"/>
    <w:rsid w:val="27BB7CDD"/>
    <w:rsid w:val="28BE0004"/>
    <w:rsid w:val="2B4C291A"/>
    <w:rsid w:val="2CC1719C"/>
    <w:rsid w:val="32F37751"/>
    <w:rsid w:val="33880521"/>
    <w:rsid w:val="3A830258"/>
    <w:rsid w:val="3B5354D1"/>
    <w:rsid w:val="408E3D1C"/>
    <w:rsid w:val="45310312"/>
    <w:rsid w:val="501949C8"/>
    <w:rsid w:val="513775EA"/>
    <w:rsid w:val="51A75C76"/>
    <w:rsid w:val="55F5148C"/>
    <w:rsid w:val="5CD85C35"/>
    <w:rsid w:val="5DAC5B16"/>
    <w:rsid w:val="5DBE0DCE"/>
    <w:rsid w:val="6138591F"/>
    <w:rsid w:val="69F76609"/>
    <w:rsid w:val="6AA903E8"/>
    <w:rsid w:val="70A65BFE"/>
    <w:rsid w:val="72902494"/>
    <w:rsid w:val="7761127E"/>
    <w:rsid w:val="7B60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CA6FE"/>
  <w15:docId w15:val="{BF5B9817-6EC8-46AF-AF2F-271B6FB0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2">
    <w:name w:val="Quote"/>
    <w:basedOn w:val="a"/>
    <w:next w:val="a"/>
    <w:link w:val="af3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qFormat/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明显引用 字符"/>
    <w:basedOn w:val="a0"/>
    <w:link w:val="af5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88977-900E-45FF-92D8-247697C03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143</Words>
  <Characters>816</Characters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2024-02-29T03:06:00Z</dcterms:created>
  <dcterms:modified xsi:type="dcterms:W3CDTF">2025-03-07T08:29:00Z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2052-12.8.0.16982</vt:lpwstr>
  </property>
  <property fmtid="{D5CDD505-2E9C-101B-9397-08002B2CF9AE}" pid="3" name="ICV">
    <vt:lpwstr>D6F8AB7B97A14CF1A93563AED36D3F30_12</vt:lpwstr>
  </property>
</Properties>
</file>