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4422"/>
          <w:tab w:val="right" w:pos="8844"/>
        </w:tabs>
        <w:snapToGrid w:val="0"/>
        <w:spacing w:line="600" w:lineRule="exact"/>
        <w:jc w:val="left"/>
        <w:rPr>
          <w:rFonts w:ascii="方正大标宋简体" w:eastAsia="方正大标宋简体"/>
          <w:bCs/>
          <w:sz w:val="44"/>
          <w:szCs w:val="44"/>
        </w:rPr>
      </w:pPr>
      <w:bookmarkStart w:id="2" w:name="_GoBack"/>
      <w:bookmarkEnd w:id="2"/>
    </w:p>
    <w:p>
      <w:pPr>
        <w:tabs>
          <w:tab w:val="center" w:pos="4422"/>
          <w:tab w:val="right" w:pos="8844"/>
        </w:tabs>
        <w:snapToGrid w:val="0"/>
        <w:spacing w:line="600" w:lineRule="exact"/>
        <w:jc w:val="center"/>
        <w:outlineLvl w:val="0"/>
        <w:rPr>
          <w:rFonts w:ascii="方正大标宋简体" w:eastAsia="方正大标宋简体"/>
          <w:bCs/>
          <w:sz w:val="44"/>
          <w:szCs w:val="44"/>
        </w:rPr>
      </w:pPr>
      <w:r>
        <w:rPr>
          <w:rFonts w:hint="eastAsia" w:ascii="方正大标宋简体" w:eastAsia="方正大标宋简体"/>
          <w:bCs/>
          <w:sz w:val="44"/>
          <w:szCs w:val="44"/>
        </w:rPr>
        <w:t>关于股票程序化交易报告工作有关事项的通知</w:t>
      </w:r>
    </w:p>
    <w:p>
      <w:pPr>
        <w:spacing w:line="600" w:lineRule="exact"/>
        <w:rPr>
          <w:rFonts w:ascii="仿宋" w:hAnsi="仿宋"/>
          <w:szCs w:val="32"/>
        </w:rPr>
      </w:pPr>
      <w:bookmarkStart w:id="0" w:name="Day2"/>
      <w:bookmarkEnd w:id="0"/>
    </w:p>
    <w:p>
      <w:pPr>
        <w:spacing w:line="600" w:lineRule="exact"/>
        <w:rPr>
          <w:rFonts w:ascii="仿宋" w:hAnsi="仿宋"/>
          <w:szCs w:val="32"/>
        </w:rPr>
      </w:pPr>
      <w:r>
        <w:rPr>
          <w:rFonts w:ascii="仿宋" w:hAnsi="仿宋"/>
          <w:szCs w:val="32"/>
        </w:rPr>
        <w:t>各市场参与人：</w:t>
      </w:r>
    </w:p>
    <w:p>
      <w:pPr>
        <w:spacing w:line="600" w:lineRule="exact"/>
        <w:ind w:firstLine="632" w:firstLineChars="200"/>
        <w:rPr>
          <w:rFonts w:ascii="仿宋" w:hAnsi="仿宋"/>
          <w:szCs w:val="32"/>
        </w:rPr>
      </w:pPr>
      <w:r>
        <w:rPr>
          <w:rFonts w:ascii="仿宋" w:hAnsi="仿宋"/>
          <w:szCs w:val="32"/>
        </w:rPr>
        <w:t>为</w:t>
      </w:r>
      <w:r>
        <w:rPr>
          <w:rFonts w:hint="eastAsia" w:ascii="仿宋" w:hAnsi="仿宋"/>
          <w:szCs w:val="32"/>
        </w:rPr>
        <w:t>了明确在北京</w:t>
      </w:r>
      <w:r>
        <w:rPr>
          <w:rFonts w:ascii="仿宋" w:hAnsi="仿宋"/>
          <w:szCs w:val="32"/>
        </w:rPr>
        <w:t>证券交易所（以下简称本所）</w:t>
      </w:r>
      <w:r>
        <w:rPr>
          <w:rFonts w:hint="eastAsia" w:ascii="仿宋" w:hAnsi="仿宋"/>
          <w:szCs w:val="32"/>
        </w:rPr>
        <w:t>开展股票</w:t>
      </w:r>
      <w:r>
        <w:rPr>
          <w:rFonts w:ascii="仿宋" w:hAnsi="仿宋"/>
          <w:szCs w:val="32"/>
        </w:rPr>
        <w:t>程序化交易</w:t>
      </w:r>
      <w:r>
        <w:rPr>
          <w:rFonts w:hint="eastAsia" w:ascii="仿宋" w:hAnsi="仿宋"/>
          <w:szCs w:val="32"/>
        </w:rPr>
        <w:t>的报告要求</w:t>
      </w:r>
      <w:r>
        <w:rPr>
          <w:rFonts w:ascii="仿宋" w:hAnsi="仿宋"/>
          <w:szCs w:val="32"/>
        </w:rPr>
        <w:t>，</w:t>
      </w:r>
      <w:r>
        <w:rPr>
          <w:rFonts w:hint="eastAsia" w:ascii="仿宋" w:hAnsi="仿宋"/>
          <w:szCs w:val="32"/>
        </w:rPr>
        <w:t>加强股票程序化交易管理，</w:t>
      </w:r>
      <w:r>
        <w:rPr>
          <w:rFonts w:ascii="仿宋" w:hAnsi="仿宋"/>
          <w:szCs w:val="32"/>
        </w:rPr>
        <w:t>维护</w:t>
      </w:r>
      <w:r>
        <w:rPr>
          <w:rFonts w:hint="eastAsia" w:ascii="仿宋" w:hAnsi="仿宋"/>
          <w:szCs w:val="32"/>
        </w:rPr>
        <w:t>正常</w:t>
      </w:r>
      <w:r>
        <w:rPr>
          <w:rFonts w:ascii="仿宋" w:hAnsi="仿宋"/>
          <w:szCs w:val="32"/>
        </w:rPr>
        <w:t>交易秩序，保护投资者合法权益</w:t>
      </w:r>
      <w:r>
        <w:rPr>
          <w:rFonts w:hint="eastAsia" w:ascii="仿宋" w:hAnsi="仿宋"/>
          <w:szCs w:val="32"/>
        </w:rPr>
        <w:t>，根据</w:t>
      </w:r>
      <w:r>
        <w:rPr>
          <w:rFonts w:ascii="仿宋" w:hAnsi="仿宋"/>
          <w:szCs w:val="32"/>
        </w:rPr>
        <w:t>《</w:t>
      </w:r>
      <w:r>
        <w:rPr>
          <w:rFonts w:hint="eastAsia" w:ascii="仿宋" w:hAnsi="仿宋"/>
          <w:szCs w:val="32"/>
        </w:rPr>
        <w:t>中华人民共和国</w:t>
      </w:r>
      <w:r>
        <w:rPr>
          <w:rFonts w:ascii="仿宋" w:hAnsi="仿宋"/>
          <w:szCs w:val="32"/>
        </w:rPr>
        <w:t>证券法》</w:t>
      </w:r>
      <w:r>
        <w:rPr>
          <w:rFonts w:hint="eastAsia" w:ascii="仿宋" w:hAnsi="仿宋"/>
          <w:szCs w:val="32"/>
        </w:rPr>
        <w:t>《证券交易所管理办法》</w:t>
      </w:r>
      <w:r>
        <w:rPr>
          <w:rFonts w:ascii="仿宋" w:hAnsi="仿宋"/>
          <w:szCs w:val="32"/>
        </w:rPr>
        <w:t>等法律</w:t>
      </w:r>
      <w:r>
        <w:rPr>
          <w:rFonts w:hint="eastAsia" w:ascii="仿宋" w:hAnsi="仿宋"/>
          <w:szCs w:val="32"/>
        </w:rPr>
        <w:t>、行政</w:t>
      </w:r>
      <w:r>
        <w:rPr>
          <w:rFonts w:ascii="仿宋" w:hAnsi="仿宋"/>
          <w:szCs w:val="32"/>
        </w:rPr>
        <w:t>法规</w:t>
      </w:r>
      <w:r>
        <w:rPr>
          <w:rFonts w:hint="eastAsia" w:ascii="仿宋" w:hAnsi="仿宋"/>
          <w:szCs w:val="32"/>
        </w:rPr>
        <w:t>、部门规章、规范性文件，以及</w:t>
      </w:r>
      <w:r>
        <w:rPr>
          <w:rFonts w:ascii="仿宋" w:hAnsi="仿宋"/>
          <w:szCs w:val="32"/>
        </w:rPr>
        <w:t>《北京证券交易所交易规则</w:t>
      </w:r>
      <w:r>
        <w:rPr>
          <w:rFonts w:hint="eastAsia" w:ascii="仿宋" w:hAnsi="仿宋"/>
          <w:szCs w:val="32"/>
        </w:rPr>
        <w:t>（试行）</w:t>
      </w:r>
      <w:r>
        <w:rPr>
          <w:rFonts w:ascii="仿宋" w:hAnsi="仿宋"/>
          <w:szCs w:val="32"/>
        </w:rPr>
        <w:t>》《北京证券交易所会员管理规则</w:t>
      </w:r>
      <w:r>
        <w:rPr>
          <w:rFonts w:hint="eastAsia" w:ascii="仿宋" w:hAnsi="仿宋"/>
          <w:szCs w:val="32"/>
        </w:rPr>
        <w:t>（试行）</w:t>
      </w:r>
      <w:r>
        <w:rPr>
          <w:rFonts w:ascii="仿宋" w:hAnsi="仿宋"/>
          <w:szCs w:val="32"/>
        </w:rPr>
        <w:t>》等</w:t>
      </w:r>
      <w:r>
        <w:rPr>
          <w:rFonts w:hint="eastAsia" w:ascii="仿宋" w:hAnsi="仿宋"/>
          <w:szCs w:val="32"/>
        </w:rPr>
        <w:t>业务规则</w:t>
      </w:r>
      <w:r>
        <w:rPr>
          <w:rFonts w:ascii="仿宋" w:hAnsi="仿宋"/>
          <w:szCs w:val="32"/>
        </w:rPr>
        <w:t>，现就</w:t>
      </w:r>
      <w:r>
        <w:rPr>
          <w:rFonts w:hint="eastAsia" w:ascii="仿宋" w:hAnsi="仿宋"/>
          <w:szCs w:val="32"/>
        </w:rPr>
        <w:t>本所股票</w:t>
      </w:r>
      <w:r>
        <w:rPr>
          <w:rFonts w:ascii="仿宋" w:hAnsi="仿宋"/>
          <w:szCs w:val="32"/>
        </w:rPr>
        <w:t>程序化交易报告工作有关事项通知如下：</w:t>
      </w:r>
    </w:p>
    <w:p>
      <w:pPr>
        <w:spacing w:line="600" w:lineRule="exact"/>
        <w:ind w:firstLine="632" w:firstLineChars="200"/>
        <w:rPr>
          <w:rFonts w:ascii="仿宋" w:hAnsi="仿宋"/>
          <w:szCs w:val="32"/>
        </w:rPr>
      </w:pPr>
      <w:r>
        <w:rPr>
          <w:rFonts w:hint="eastAsia" w:ascii="仿宋" w:hAnsi="仿宋"/>
          <w:szCs w:val="32"/>
        </w:rPr>
        <w:t>一</w:t>
      </w:r>
      <w:r>
        <w:rPr>
          <w:rFonts w:ascii="仿宋" w:hAnsi="仿宋"/>
          <w:szCs w:val="32"/>
        </w:rPr>
        <w:t>、</w:t>
      </w:r>
      <w:r>
        <w:rPr>
          <w:rFonts w:hint="eastAsia" w:ascii="仿宋" w:hAnsi="仿宋"/>
          <w:szCs w:val="32"/>
        </w:rPr>
        <w:t>在本所股票市场开展程序化交易的投资者</w:t>
      </w:r>
      <w:r>
        <w:rPr>
          <w:rFonts w:ascii="仿宋" w:hAnsi="仿宋"/>
          <w:szCs w:val="32"/>
        </w:rPr>
        <w:t>，应当</w:t>
      </w:r>
      <w:r>
        <w:rPr>
          <w:rFonts w:hint="eastAsia" w:ascii="仿宋" w:hAnsi="仿宋"/>
          <w:szCs w:val="32"/>
        </w:rPr>
        <w:t>按照本通知规定向本所报告。</w:t>
      </w:r>
    </w:p>
    <w:p>
      <w:pPr>
        <w:spacing w:line="600" w:lineRule="exact"/>
        <w:ind w:firstLine="632" w:firstLineChars="200"/>
        <w:rPr>
          <w:rFonts w:ascii="仿宋" w:hAnsi="仿宋"/>
          <w:szCs w:val="32"/>
        </w:rPr>
      </w:pPr>
      <w:r>
        <w:rPr>
          <w:rFonts w:hint="eastAsia" w:ascii="仿宋" w:hAnsi="仿宋"/>
          <w:szCs w:val="32"/>
        </w:rPr>
        <w:t>二、</w:t>
      </w:r>
      <w:r>
        <w:rPr>
          <w:rFonts w:ascii="仿宋" w:hAnsi="仿宋"/>
          <w:szCs w:val="32"/>
        </w:rPr>
        <w:t>本通知所称程序化交易，是指通过计算机程序自动生成或者下达交易指令参与本所</w:t>
      </w:r>
      <w:r>
        <w:rPr>
          <w:rFonts w:hint="eastAsia" w:ascii="仿宋" w:hAnsi="仿宋"/>
          <w:szCs w:val="32"/>
        </w:rPr>
        <w:t>股票</w:t>
      </w:r>
      <w:r>
        <w:rPr>
          <w:rFonts w:ascii="仿宋" w:hAnsi="仿宋"/>
          <w:szCs w:val="32"/>
        </w:rPr>
        <w:t>交易的行为</w:t>
      </w:r>
      <w:r>
        <w:rPr>
          <w:rFonts w:hint="eastAsia" w:ascii="仿宋" w:hAnsi="仿宋"/>
          <w:szCs w:val="32"/>
        </w:rPr>
        <w:t>，包括按照设定的策略自动选择特定的股票和时机进行交易的量化交易，或者按照设定的算法自动执行交易指令的算法交易，以及其他符合程序化交易特征的行为。</w:t>
      </w:r>
    </w:p>
    <w:p>
      <w:pPr>
        <w:spacing w:line="600" w:lineRule="exact"/>
        <w:ind w:firstLine="632" w:firstLineChars="200"/>
        <w:rPr>
          <w:rFonts w:ascii="仿宋" w:hAnsi="仿宋"/>
          <w:szCs w:val="32"/>
        </w:rPr>
      </w:pPr>
      <w:r>
        <w:rPr>
          <w:rFonts w:hint="eastAsia" w:ascii="仿宋" w:hAnsi="仿宋"/>
          <w:szCs w:val="32"/>
        </w:rPr>
        <w:t>三、</w:t>
      </w:r>
      <w:r>
        <w:rPr>
          <w:rFonts w:ascii="仿宋" w:hAnsi="仿宋"/>
          <w:szCs w:val="32"/>
        </w:rPr>
        <w:t>本通知所称程序化交易投资者，是指下列</w:t>
      </w:r>
      <w:r>
        <w:rPr>
          <w:rFonts w:hint="eastAsia" w:ascii="仿宋" w:hAnsi="仿宋"/>
          <w:szCs w:val="32"/>
        </w:rPr>
        <w:t>开展股票</w:t>
      </w:r>
      <w:r>
        <w:rPr>
          <w:rFonts w:ascii="仿宋" w:hAnsi="仿宋"/>
          <w:szCs w:val="32"/>
        </w:rPr>
        <w:t>程序化交易的投资者：</w:t>
      </w:r>
    </w:p>
    <w:p>
      <w:pPr>
        <w:spacing w:line="600" w:lineRule="exact"/>
        <w:ind w:firstLine="632" w:firstLineChars="200"/>
        <w:rPr>
          <w:rFonts w:ascii="仿宋" w:hAnsi="仿宋"/>
          <w:szCs w:val="32"/>
        </w:rPr>
      </w:pPr>
      <w:r>
        <w:rPr>
          <w:rFonts w:ascii="仿宋" w:hAnsi="仿宋"/>
          <w:szCs w:val="32"/>
        </w:rPr>
        <w:t>（一）会员客户；</w:t>
      </w:r>
    </w:p>
    <w:p>
      <w:pPr>
        <w:spacing w:line="600" w:lineRule="exact"/>
        <w:ind w:firstLine="632" w:firstLineChars="200"/>
        <w:rPr>
          <w:rFonts w:ascii="仿宋" w:hAnsi="仿宋"/>
          <w:szCs w:val="32"/>
        </w:rPr>
      </w:pPr>
      <w:r>
        <w:rPr>
          <w:rFonts w:ascii="仿宋" w:hAnsi="仿宋"/>
          <w:szCs w:val="32"/>
        </w:rPr>
        <w:t>（二）</w:t>
      </w:r>
      <w:r>
        <w:rPr>
          <w:rFonts w:hint="eastAsia" w:ascii="仿宋" w:hAnsi="仿宋"/>
          <w:szCs w:val="32"/>
        </w:rPr>
        <w:t>从事自营、做</w:t>
      </w:r>
      <w:r>
        <w:rPr>
          <w:rFonts w:ascii="仿宋" w:hAnsi="仿宋"/>
          <w:szCs w:val="32"/>
        </w:rPr>
        <w:t>市</w:t>
      </w:r>
      <w:r>
        <w:rPr>
          <w:rFonts w:hint="eastAsia" w:ascii="仿宋" w:hAnsi="仿宋"/>
          <w:szCs w:val="32"/>
        </w:rPr>
        <w:t>交易或者资产管理等业务的会员；</w:t>
      </w:r>
    </w:p>
    <w:p>
      <w:pPr>
        <w:spacing w:line="600" w:lineRule="exact"/>
        <w:ind w:firstLine="632" w:firstLineChars="200"/>
        <w:rPr>
          <w:rFonts w:ascii="仿宋" w:hAnsi="仿宋"/>
          <w:szCs w:val="32"/>
        </w:rPr>
      </w:pPr>
      <w:r>
        <w:rPr>
          <w:rFonts w:hint="eastAsia" w:ascii="仿宋" w:hAnsi="仿宋"/>
          <w:szCs w:val="32"/>
        </w:rPr>
        <w:t>（三）</w:t>
      </w:r>
      <w:r>
        <w:rPr>
          <w:rFonts w:ascii="仿宋" w:hAnsi="仿宋"/>
          <w:szCs w:val="32"/>
        </w:rPr>
        <w:t>基金管理公司、保险</w:t>
      </w:r>
      <w:r>
        <w:rPr>
          <w:rFonts w:hint="eastAsia" w:ascii="仿宋" w:hAnsi="仿宋"/>
          <w:szCs w:val="32"/>
        </w:rPr>
        <w:t>机构等其他</w:t>
      </w:r>
      <w:r>
        <w:rPr>
          <w:rFonts w:ascii="仿宋" w:hAnsi="仿宋"/>
          <w:szCs w:val="32"/>
        </w:rPr>
        <w:t>使用</w:t>
      </w:r>
      <w:r>
        <w:rPr>
          <w:rFonts w:hint="eastAsia" w:ascii="仿宋" w:hAnsi="仿宋"/>
          <w:szCs w:val="32"/>
        </w:rPr>
        <w:t>本所</w:t>
      </w:r>
      <w:r>
        <w:rPr>
          <w:rFonts w:ascii="仿宋" w:hAnsi="仿宋"/>
          <w:szCs w:val="32"/>
        </w:rPr>
        <w:t>交易单元进行交易的</w:t>
      </w:r>
      <w:r>
        <w:rPr>
          <w:rFonts w:hint="eastAsia" w:ascii="仿宋" w:hAnsi="仿宋"/>
          <w:szCs w:val="32"/>
        </w:rPr>
        <w:t>机构</w:t>
      </w:r>
      <w:r>
        <w:rPr>
          <w:rFonts w:ascii="仿宋" w:hAnsi="仿宋"/>
          <w:szCs w:val="32"/>
        </w:rPr>
        <w:t>（以下</w:t>
      </w:r>
      <w:r>
        <w:rPr>
          <w:rFonts w:hint="eastAsia" w:ascii="仿宋" w:hAnsi="仿宋"/>
          <w:szCs w:val="32"/>
        </w:rPr>
        <w:t>统称使用交易单元的</w:t>
      </w:r>
      <w:r>
        <w:rPr>
          <w:rFonts w:ascii="仿宋" w:hAnsi="仿宋"/>
          <w:szCs w:val="32"/>
        </w:rPr>
        <w:t>其他机构）</w:t>
      </w:r>
      <w:r>
        <w:rPr>
          <w:rFonts w:hint="eastAsia" w:ascii="仿宋" w:hAnsi="仿宋"/>
          <w:szCs w:val="32"/>
        </w:rPr>
        <w:t>；</w:t>
      </w:r>
    </w:p>
    <w:p>
      <w:pPr>
        <w:spacing w:line="600" w:lineRule="exact"/>
        <w:ind w:firstLine="632" w:firstLineChars="200"/>
        <w:rPr>
          <w:rFonts w:ascii="仿宋" w:hAnsi="仿宋"/>
          <w:szCs w:val="32"/>
        </w:rPr>
      </w:pPr>
      <w:r>
        <w:rPr>
          <w:rFonts w:ascii="仿宋" w:hAnsi="仿宋"/>
          <w:szCs w:val="32"/>
        </w:rPr>
        <w:t>（</w:t>
      </w:r>
      <w:r>
        <w:rPr>
          <w:rFonts w:hint="eastAsia" w:ascii="仿宋" w:hAnsi="仿宋"/>
          <w:szCs w:val="32"/>
        </w:rPr>
        <w:t>四</w:t>
      </w:r>
      <w:r>
        <w:rPr>
          <w:rFonts w:ascii="仿宋" w:hAnsi="仿宋"/>
          <w:szCs w:val="32"/>
        </w:rPr>
        <w:t>）</w:t>
      </w:r>
      <w:r>
        <w:rPr>
          <w:rFonts w:hint="eastAsia" w:ascii="仿宋" w:hAnsi="仿宋"/>
          <w:szCs w:val="32"/>
        </w:rPr>
        <w:t>本所认定的其他程序化交易投资者。</w:t>
      </w:r>
    </w:p>
    <w:p>
      <w:pPr>
        <w:spacing w:line="600" w:lineRule="exact"/>
        <w:ind w:firstLine="632" w:firstLineChars="200"/>
        <w:rPr>
          <w:rFonts w:ascii="仿宋" w:hAnsi="仿宋"/>
          <w:szCs w:val="32"/>
        </w:rPr>
      </w:pPr>
      <w:r>
        <w:rPr>
          <w:rFonts w:hint="eastAsia" w:ascii="仿宋" w:hAnsi="仿宋"/>
          <w:szCs w:val="32"/>
        </w:rPr>
        <w:t>四</w:t>
      </w:r>
      <w:r>
        <w:rPr>
          <w:rFonts w:ascii="仿宋" w:hAnsi="仿宋"/>
          <w:szCs w:val="32"/>
        </w:rPr>
        <w:t>、会员客户首次</w:t>
      </w:r>
      <w:r>
        <w:rPr>
          <w:rFonts w:hint="eastAsia" w:ascii="仿宋" w:hAnsi="仿宋"/>
          <w:szCs w:val="32"/>
        </w:rPr>
        <w:t>开展股票</w:t>
      </w:r>
      <w:r>
        <w:rPr>
          <w:rFonts w:ascii="仿宋" w:hAnsi="仿宋"/>
          <w:szCs w:val="32"/>
        </w:rPr>
        <w:t>程序化交易前，应当向接受其交易委托的会员报告</w:t>
      </w:r>
      <w:r>
        <w:rPr>
          <w:rFonts w:hint="eastAsia" w:ascii="仿宋" w:hAnsi="仿宋"/>
          <w:szCs w:val="32"/>
        </w:rPr>
        <w:t>，在</w:t>
      </w:r>
      <w:r>
        <w:rPr>
          <w:rFonts w:ascii="仿宋" w:hAnsi="仿宋"/>
          <w:szCs w:val="32"/>
        </w:rPr>
        <w:t>会员</w:t>
      </w:r>
      <w:r>
        <w:rPr>
          <w:rFonts w:hint="eastAsia" w:ascii="仿宋" w:hAnsi="仿宋"/>
          <w:szCs w:val="32"/>
        </w:rPr>
        <w:t>对其提交的</w:t>
      </w:r>
      <w:r>
        <w:rPr>
          <w:rFonts w:ascii="仿宋" w:hAnsi="仿宋"/>
          <w:szCs w:val="32"/>
        </w:rPr>
        <w:t>信息</w:t>
      </w:r>
      <w:r>
        <w:rPr>
          <w:rFonts w:hint="eastAsia" w:ascii="仿宋" w:hAnsi="仿宋"/>
          <w:szCs w:val="32"/>
        </w:rPr>
        <w:t>进行充分核查并确认无误后，方可进行程序化交易。会员收到客户程序化交易信息报告后应当</w:t>
      </w:r>
      <w:r>
        <w:rPr>
          <w:rFonts w:ascii="仿宋" w:hAnsi="仿宋"/>
          <w:szCs w:val="32"/>
        </w:rPr>
        <w:t>及时确认并在</w:t>
      </w:r>
      <w:r>
        <w:rPr>
          <w:rFonts w:hint="eastAsia" w:ascii="仿宋" w:hAnsi="仿宋"/>
          <w:szCs w:val="32"/>
        </w:rPr>
        <w:t>五</w:t>
      </w:r>
      <w:r>
        <w:rPr>
          <w:rFonts w:ascii="仿宋" w:hAnsi="仿宋"/>
          <w:szCs w:val="32"/>
        </w:rPr>
        <w:t>个交易日内向本所报告</w:t>
      </w:r>
      <w:r>
        <w:rPr>
          <w:rFonts w:hint="eastAsia" w:ascii="仿宋" w:hAnsi="仿宋"/>
          <w:szCs w:val="32"/>
        </w:rPr>
        <w:t>，本所接收后予以确认</w:t>
      </w:r>
      <w:r>
        <w:rPr>
          <w:rFonts w:ascii="仿宋" w:hAnsi="仿宋"/>
          <w:szCs w:val="32"/>
        </w:rPr>
        <w:t>。</w:t>
      </w:r>
    </w:p>
    <w:p>
      <w:pPr>
        <w:spacing w:line="600" w:lineRule="exact"/>
        <w:ind w:firstLine="632" w:firstLineChars="200"/>
        <w:rPr>
          <w:rFonts w:ascii="仿宋" w:hAnsi="仿宋"/>
          <w:szCs w:val="32"/>
        </w:rPr>
      </w:pPr>
      <w:r>
        <w:rPr>
          <w:rFonts w:ascii="仿宋" w:hAnsi="仿宋"/>
          <w:szCs w:val="32"/>
        </w:rPr>
        <w:t>会员及</w:t>
      </w:r>
      <w:r>
        <w:rPr>
          <w:rFonts w:hint="eastAsia" w:ascii="仿宋" w:hAnsi="仿宋"/>
          <w:szCs w:val="32"/>
        </w:rPr>
        <w:t>使用交易单元的</w:t>
      </w:r>
      <w:r>
        <w:rPr>
          <w:rFonts w:ascii="仿宋" w:hAnsi="仿宋"/>
          <w:szCs w:val="32"/>
        </w:rPr>
        <w:t>其他机构首次</w:t>
      </w:r>
      <w:r>
        <w:rPr>
          <w:rFonts w:hint="eastAsia" w:ascii="仿宋" w:hAnsi="仿宋"/>
          <w:szCs w:val="32"/>
        </w:rPr>
        <w:t>开展股票</w:t>
      </w:r>
      <w:r>
        <w:rPr>
          <w:rFonts w:ascii="仿宋" w:hAnsi="仿宋"/>
          <w:szCs w:val="32"/>
        </w:rPr>
        <w:t>程序化交易</w:t>
      </w:r>
      <w:r>
        <w:rPr>
          <w:rFonts w:hint="eastAsia" w:ascii="仿宋" w:hAnsi="仿宋"/>
          <w:szCs w:val="32"/>
        </w:rPr>
        <w:t>前</w:t>
      </w:r>
      <w:r>
        <w:rPr>
          <w:rFonts w:ascii="仿宋" w:hAnsi="仿宋"/>
          <w:szCs w:val="32"/>
        </w:rPr>
        <w:t>应当向本所报告</w:t>
      </w:r>
      <w:r>
        <w:rPr>
          <w:rFonts w:hint="eastAsia" w:ascii="仿宋" w:hAnsi="仿宋"/>
          <w:szCs w:val="32"/>
        </w:rPr>
        <w:t>，在本所接收确认</w:t>
      </w:r>
      <w:r>
        <w:rPr>
          <w:rFonts w:hint="eastAsia" w:ascii="仿宋" w:hAnsi="仿宋" w:cs="仿宋_GB2312"/>
          <w:szCs w:val="32"/>
        </w:rPr>
        <w:t>后，方可进行程序化交易。</w:t>
      </w:r>
    </w:p>
    <w:p>
      <w:pPr>
        <w:spacing w:line="600" w:lineRule="exact"/>
        <w:ind w:firstLine="632" w:firstLineChars="200"/>
        <w:rPr>
          <w:rFonts w:ascii="仿宋" w:hAnsi="仿宋"/>
          <w:szCs w:val="32"/>
        </w:rPr>
      </w:pPr>
      <w:r>
        <w:rPr>
          <w:rFonts w:hint="eastAsia" w:ascii="仿宋" w:hAnsi="仿宋"/>
          <w:szCs w:val="32"/>
        </w:rPr>
        <w:t>合格境外投资者与会员在委托协议中约定，会员有权自主选择通过计算机程序自动生成或者下达交易指令的，可以由会员代其履行相应的程序化交易报告义务。</w:t>
      </w:r>
    </w:p>
    <w:p>
      <w:pPr>
        <w:spacing w:line="600" w:lineRule="exact"/>
        <w:ind w:firstLine="632" w:firstLineChars="200"/>
        <w:rPr>
          <w:rFonts w:ascii="仿宋" w:hAnsi="仿宋"/>
          <w:szCs w:val="32"/>
        </w:rPr>
      </w:pPr>
      <w:r>
        <w:rPr>
          <w:rFonts w:hint="eastAsia" w:ascii="仿宋" w:hAnsi="仿宋"/>
          <w:szCs w:val="32"/>
        </w:rPr>
        <w:t>五</w:t>
      </w:r>
      <w:r>
        <w:rPr>
          <w:rFonts w:ascii="仿宋" w:hAnsi="仿宋"/>
          <w:szCs w:val="32"/>
        </w:rPr>
        <w:t>、会员及</w:t>
      </w:r>
      <w:r>
        <w:rPr>
          <w:szCs w:val="32"/>
        </w:rPr>
        <w:t>使用交易单元的其他机构通过本所指定邮箱report_jyjg@bse.cn</w:t>
      </w:r>
      <w:r>
        <w:rPr>
          <w:rFonts w:ascii="仿宋" w:hAnsi="仿宋"/>
          <w:szCs w:val="32"/>
        </w:rPr>
        <w:t>向本所报告客户及其自身</w:t>
      </w:r>
      <w:r>
        <w:rPr>
          <w:rFonts w:hint="eastAsia" w:ascii="仿宋" w:hAnsi="仿宋"/>
          <w:szCs w:val="32"/>
        </w:rPr>
        <w:t>的股票</w:t>
      </w:r>
      <w:r>
        <w:rPr>
          <w:rFonts w:ascii="仿宋" w:hAnsi="仿宋"/>
          <w:szCs w:val="32"/>
        </w:rPr>
        <w:t>程序化交易相关信息。</w:t>
      </w:r>
    </w:p>
    <w:p>
      <w:pPr>
        <w:spacing w:line="600" w:lineRule="exact"/>
        <w:ind w:firstLine="632" w:firstLineChars="200"/>
        <w:rPr>
          <w:rFonts w:ascii="仿宋" w:hAnsi="仿宋"/>
          <w:szCs w:val="32"/>
        </w:rPr>
      </w:pPr>
      <w:r>
        <w:rPr>
          <w:rFonts w:hint="eastAsia" w:ascii="仿宋" w:hAnsi="仿宋"/>
          <w:szCs w:val="32"/>
        </w:rPr>
        <w:t>六</w:t>
      </w:r>
      <w:r>
        <w:rPr>
          <w:rFonts w:ascii="仿宋" w:hAnsi="仿宋"/>
          <w:szCs w:val="32"/>
        </w:rPr>
        <w:t>、程序化交易投资者应当</w:t>
      </w:r>
      <w:r>
        <w:rPr>
          <w:rFonts w:hint="eastAsia" w:ascii="仿宋" w:hAnsi="仿宋"/>
          <w:szCs w:val="32"/>
        </w:rPr>
        <w:t>报告下列信息</w:t>
      </w:r>
      <w:r>
        <w:rPr>
          <w:rFonts w:ascii="仿宋" w:hAnsi="仿宋"/>
          <w:szCs w:val="32"/>
        </w:rPr>
        <w:t>：</w:t>
      </w:r>
    </w:p>
    <w:p>
      <w:pPr>
        <w:spacing w:line="600" w:lineRule="exact"/>
        <w:ind w:firstLine="632" w:firstLineChars="200"/>
        <w:rPr>
          <w:rFonts w:ascii="仿宋" w:hAnsi="仿宋"/>
          <w:szCs w:val="32"/>
        </w:rPr>
      </w:pPr>
      <w:r>
        <w:rPr>
          <w:rFonts w:ascii="仿宋" w:hAnsi="仿宋"/>
          <w:szCs w:val="32"/>
        </w:rPr>
        <w:t>（一）</w:t>
      </w:r>
      <w:r>
        <w:rPr>
          <w:rFonts w:hint="eastAsia" w:ascii="仿宋" w:hAnsi="仿宋"/>
          <w:szCs w:val="32"/>
        </w:rPr>
        <w:t>账户基本信息，包括</w:t>
      </w:r>
      <w:r>
        <w:rPr>
          <w:rFonts w:ascii="仿宋" w:hAnsi="仿宋"/>
          <w:szCs w:val="32"/>
        </w:rPr>
        <w:t>投资者</w:t>
      </w:r>
      <w:r>
        <w:rPr>
          <w:rFonts w:hint="eastAsia" w:ascii="仿宋" w:hAnsi="仿宋"/>
          <w:szCs w:val="32"/>
        </w:rPr>
        <w:t>名称</w:t>
      </w:r>
      <w:r>
        <w:rPr>
          <w:rFonts w:ascii="仿宋" w:hAnsi="仿宋"/>
          <w:szCs w:val="32"/>
        </w:rPr>
        <w:t>、证券账户</w:t>
      </w:r>
      <w:r>
        <w:rPr>
          <w:rFonts w:hint="eastAsia" w:ascii="仿宋" w:hAnsi="仿宋"/>
          <w:szCs w:val="32"/>
        </w:rPr>
        <w:t>代码</w:t>
      </w:r>
      <w:r>
        <w:rPr>
          <w:rFonts w:ascii="仿宋" w:hAnsi="仿宋"/>
          <w:szCs w:val="32"/>
        </w:rPr>
        <w:t>、</w:t>
      </w:r>
      <w:r>
        <w:rPr>
          <w:rFonts w:hint="eastAsia" w:ascii="仿宋" w:hAnsi="仿宋"/>
          <w:szCs w:val="32"/>
        </w:rPr>
        <w:t>托管</w:t>
      </w:r>
      <w:r>
        <w:rPr>
          <w:rFonts w:ascii="仿宋" w:hAnsi="仿宋"/>
          <w:szCs w:val="32"/>
        </w:rPr>
        <w:t>会员机构</w:t>
      </w:r>
      <w:r>
        <w:rPr>
          <w:rFonts w:hint="eastAsia" w:ascii="仿宋" w:hAnsi="仿宋"/>
          <w:szCs w:val="32"/>
        </w:rPr>
        <w:t>、产品管理机构</w:t>
      </w:r>
      <w:r>
        <w:rPr>
          <w:rFonts w:ascii="仿宋" w:hAnsi="仿宋"/>
          <w:szCs w:val="32"/>
        </w:rPr>
        <w:t>等；</w:t>
      </w:r>
    </w:p>
    <w:p>
      <w:pPr>
        <w:spacing w:line="600" w:lineRule="exact"/>
        <w:ind w:firstLine="632" w:firstLineChars="200"/>
        <w:rPr>
          <w:rFonts w:ascii="仿宋" w:hAnsi="仿宋"/>
          <w:szCs w:val="32"/>
        </w:rPr>
      </w:pPr>
      <w:r>
        <w:rPr>
          <w:rFonts w:ascii="仿宋" w:hAnsi="仿宋"/>
          <w:szCs w:val="32"/>
        </w:rPr>
        <w:t>（二）</w:t>
      </w:r>
      <w:r>
        <w:rPr>
          <w:rFonts w:hint="eastAsia" w:ascii="仿宋" w:hAnsi="仿宋"/>
          <w:szCs w:val="32"/>
        </w:rPr>
        <w:t>账户资金信息，包括账户的资金规模及来源，杠杆资金规模及来源、杠杆率等；</w:t>
      </w:r>
    </w:p>
    <w:p>
      <w:pPr>
        <w:spacing w:line="600" w:lineRule="exact"/>
        <w:ind w:firstLine="632" w:firstLineChars="200"/>
        <w:rPr>
          <w:rFonts w:ascii="仿宋" w:hAnsi="仿宋"/>
          <w:szCs w:val="32"/>
        </w:rPr>
      </w:pPr>
      <w:r>
        <w:rPr>
          <w:rFonts w:hint="eastAsia" w:ascii="仿宋" w:hAnsi="仿宋"/>
          <w:szCs w:val="32"/>
        </w:rPr>
        <w:t>（三）交易信息，包括</w:t>
      </w:r>
      <w:r>
        <w:rPr>
          <w:rFonts w:ascii="仿宋" w:hAnsi="仿宋"/>
          <w:szCs w:val="32"/>
        </w:rPr>
        <w:t>交易策略</w:t>
      </w:r>
      <w:r>
        <w:rPr>
          <w:rFonts w:hint="eastAsia" w:ascii="仿宋" w:hAnsi="仿宋"/>
          <w:szCs w:val="32"/>
        </w:rPr>
        <w:t>类型及主要内容、交易指令执行方式、最高申报速率、单日最高申报笔数等；</w:t>
      </w:r>
    </w:p>
    <w:p>
      <w:pPr>
        <w:spacing w:line="600" w:lineRule="exact"/>
        <w:ind w:firstLine="632" w:firstLineChars="200"/>
        <w:rPr>
          <w:rFonts w:ascii="仿宋" w:hAnsi="仿宋"/>
          <w:szCs w:val="32"/>
        </w:rPr>
      </w:pPr>
      <w:r>
        <w:rPr>
          <w:rFonts w:hint="eastAsia" w:ascii="仿宋" w:hAnsi="仿宋"/>
          <w:szCs w:val="32"/>
        </w:rPr>
        <w:t>（四）交易软件信息，包括</w:t>
      </w:r>
      <w:r>
        <w:rPr>
          <w:rFonts w:ascii="仿宋" w:hAnsi="仿宋"/>
          <w:szCs w:val="32"/>
        </w:rPr>
        <w:t>软件名称</w:t>
      </w:r>
      <w:r>
        <w:rPr>
          <w:rFonts w:hint="eastAsia" w:ascii="仿宋" w:hAnsi="仿宋"/>
          <w:szCs w:val="32"/>
        </w:rPr>
        <w:t>及版本号</w:t>
      </w:r>
      <w:r>
        <w:rPr>
          <w:rFonts w:ascii="仿宋" w:hAnsi="仿宋"/>
          <w:szCs w:val="32"/>
        </w:rPr>
        <w:t>、开发主体等；</w:t>
      </w:r>
    </w:p>
    <w:p>
      <w:pPr>
        <w:spacing w:line="600" w:lineRule="exact"/>
        <w:ind w:firstLine="632" w:firstLineChars="200"/>
        <w:rPr>
          <w:rFonts w:ascii="仿宋" w:hAnsi="仿宋"/>
          <w:szCs w:val="32"/>
        </w:rPr>
      </w:pPr>
      <w:r>
        <w:rPr>
          <w:rFonts w:ascii="仿宋" w:hAnsi="仿宋"/>
          <w:szCs w:val="32"/>
        </w:rPr>
        <w:t>（</w:t>
      </w:r>
      <w:r>
        <w:rPr>
          <w:rFonts w:hint="eastAsia" w:ascii="仿宋" w:hAnsi="仿宋"/>
          <w:szCs w:val="32"/>
        </w:rPr>
        <w:t>五</w:t>
      </w:r>
      <w:r>
        <w:rPr>
          <w:rFonts w:ascii="仿宋" w:hAnsi="仿宋"/>
          <w:szCs w:val="32"/>
        </w:rPr>
        <w:t>）</w:t>
      </w:r>
      <w:r>
        <w:rPr>
          <w:rFonts w:hint="eastAsia" w:ascii="仿宋" w:hAnsi="仿宋"/>
          <w:szCs w:val="32"/>
        </w:rPr>
        <w:t>其他信息，包括会员、投资者</w:t>
      </w:r>
      <w:r>
        <w:rPr>
          <w:rFonts w:ascii="仿宋" w:hAnsi="仿宋"/>
          <w:szCs w:val="32"/>
        </w:rPr>
        <w:t>联络人及联系方式</w:t>
      </w:r>
      <w:r>
        <w:rPr>
          <w:rFonts w:hint="eastAsia" w:ascii="仿宋" w:hAnsi="仿宋"/>
          <w:szCs w:val="32"/>
        </w:rPr>
        <w:t>等；</w:t>
      </w:r>
    </w:p>
    <w:p>
      <w:pPr>
        <w:spacing w:line="600" w:lineRule="exact"/>
        <w:ind w:firstLine="632" w:firstLineChars="200"/>
        <w:rPr>
          <w:rFonts w:ascii="仿宋" w:hAnsi="仿宋"/>
          <w:szCs w:val="32"/>
        </w:rPr>
      </w:pPr>
      <w:r>
        <w:rPr>
          <w:rFonts w:hint="eastAsia" w:ascii="仿宋" w:hAnsi="仿宋"/>
          <w:kern w:val="0"/>
          <w:szCs w:val="32"/>
          <w:lang w:val="zh-TW" w:bidi="zh-TW"/>
        </w:rPr>
        <w:t>（六）</w:t>
      </w:r>
      <w:r>
        <w:rPr>
          <w:rFonts w:hint="eastAsia" w:ascii="仿宋" w:hAnsi="仿宋" w:cs="仿宋_GB2312"/>
          <w:szCs w:val="32"/>
        </w:rPr>
        <w:t>本所规定的其他信息。</w:t>
      </w:r>
    </w:p>
    <w:p>
      <w:pPr>
        <w:spacing w:line="600" w:lineRule="exact"/>
        <w:ind w:firstLine="632" w:firstLineChars="200"/>
        <w:rPr>
          <w:rFonts w:ascii="仿宋" w:hAnsi="仿宋"/>
          <w:szCs w:val="32"/>
        </w:rPr>
      </w:pPr>
      <w:r>
        <w:rPr>
          <w:rFonts w:ascii="仿宋" w:hAnsi="仿宋"/>
          <w:szCs w:val="32"/>
        </w:rPr>
        <w:t>程序化交易投资者报告信息发生重大变更的，应当</w:t>
      </w:r>
      <w:r>
        <w:rPr>
          <w:rFonts w:hint="eastAsia" w:ascii="仿宋" w:hAnsi="仿宋"/>
          <w:szCs w:val="32"/>
        </w:rPr>
        <w:t>在变更发生后下一个自然月的前五个交易日内</w:t>
      </w:r>
      <w:r>
        <w:rPr>
          <w:rFonts w:ascii="仿宋" w:hAnsi="仿宋"/>
          <w:szCs w:val="32"/>
        </w:rPr>
        <w:t>进行变更报告。</w:t>
      </w:r>
    </w:p>
    <w:p>
      <w:pPr>
        <w:spacing w:line="600" w:lineRule="exact"/>
        <w:ind w:firstLine="632" w:firstLineChars="200"/>
        <w:rPr>
          <w:rFonts w:ascii="仿宋" w:hAnsi="仿宋"/>
          <w:szCs w:val="32"/>
        </w:rPr>
      </w:pPr>
      <w:r>
        <w:rPr>
          <w:rFonts w:hint="eastAsia" w:ascii="仿宋" w:hAnsi="仿宋"/>
          <w:szCs w:val="32"/>
        </w:rPr>
        <w:t>七</w:t>
      </w:r>
      <w:r>
        <w:rPr>
          <w:rFonts w:ascii="仿宋" w:hAnsi="仿宋"/>
          <w:szCs w:val="32"/>
        </w:rPr>
        <w:t>、</w:t>
      </w:r>
      <w:r>
        <w:rPr>
          <w:rFonts w:hint="eastAsia" w:ascii="仿宋" w:hAnsi="仿宋"/>
          <w:szCs w:val="32"/>
        </w:rPr>
        <w:t>程序化交易投资者报告的最高申报</w:t>
      </w:r>
      <w:r>
        <w:rPr>
          <w:szCs w:val="32"/>
        </w:rPr>
        <w:t>速率在每秒300笔以上或者单日最高申报笔数在20000笔以上的，本</w:t>
      </w:r>
      <w:r>
        <w:rPr>
          <w:rFonts w:hint="eastAsia" w:ascii="仿宋" w:hAnsi="仿宋"/>
          <w:szCs w:val="32"/>
        </w:rPr>
        <w:t>所予以重点关注。除第六条规定信息外，前述投资者还应当报告下列信息：</w:t>
      </w:r>
    </w:p>
    <w:p>
      <w:pPr>
        <w:spacing w:line="600" w:lineRule="exact"/>
        <w:ind w:firstLine="632" w:firstLineChars="200"/>
        <w:outlineLvl w:val="0"/>
        <w:rPr>
          <w:rFonts w:ascii="仿宋" w:hAnsi="仿宋"/>
          <w:kern w:val="0"/>
          <w:szCs w:val="32"/>
          <w:lang w:val="zh-TW" w:bidi="zh-TW"/>
        </w:rPr>
      </w:pPr>
      <w:r>
        <w:rPr>
          <w:rFonts w:hint="eastAsia" w:ascii="仿宋" w:hAnsi="仿宋"/>
          <w:kern w:val="0"/>
          <w:szCs w:val="32"/>
          <w:lang w:val="zh-TW" w:bidi="zh-TW"/>
        </w:rPr>
        <w:t>（一）程序化交易系统服务器所在地；</w:t>
      </w:r>
    </w:p>
    <w:p>
      <w:pPr>
        <w:spacing w:line="600" w:lineRule="exact"/>
        <w:ind w:firstLine="632" w:firstLineChars="200"/>
        <w:outlineLvl w:val="0"/>
        <w:rPr>
          <w:rFonts w:ascii="仿宋" w:hAnsi="仿宋"/>
          <w:kern w:val="0"/>
          <w:szCs w:val="32"/>
          <w:lang w:val="zh-TW" w:bidi="zh-TW"/>
        </w:rPr>
      </w:pPr>
      <w:r>
        <w:rPr>
          <w:rFonts w:hint="eastAsia" w:ascii="仿宋" w:hAnsi="仿宋"/>
          <w:kern w:val="0"/>
          <w:szCs w:val="32"/>
          <w:lang w:val="zh-TW" w:bidi="zh-TW"/>
        </w:rPr>
        <w:t>（二）程序化交易系统测试报告；</w:t>
      </w:r>
    </w:p>
    <w:p>
      <w:pPr>
        <w:spacing w:line="600" w:lineRule="exact"/>
        <w:ind w:firstLine="632" w:firstLineChars="200"/>
        <w:outlineLvl w:val="0"/>
        <w:rPr>
          <w:rFonts w:ascii="仿宋" w:hAnsi="仿宋"/>
          <w:kern w:val="0"/>
          <w:szCs w:val="32"/>
          <w:lang w:val="zh-TW" w:bidi="zh-TW"/>
        </w:rPr>
      </w:pPr>
      <w:r>
        <w:rPr>
          <w:rFonts w:hint="eastAsia" w:ascii="仿宋" w:hAnsi="仿宋"/>
          <w:kern w:val="0"/>
          <w:szCs w:val="32"/>
          <w:lang w:val="zh-TW" w:bidi="zh-TW"/>
        </w:rPr>
        <w:t>（三）程序化交易系统发生故障时的应急方案；</w:t>
      </w:r>
    </w:p>
    <w:p>
      <w:pPr>
        <w:spacing w:line="600" w:lineRule="exact"/>
        <w:ind w:firstLine="632" w:firstLineChars="200"/>
        <w:outlineLvl w:val="0"/>
        <w:rPr>
          <w:rFonts w:ascii="仿宋" w:hAnsi="仿宋"/>
          <w:kern w:val="0"/>
          <w:szCs w:val="32"/>
          <w:lang w:val="zh-TW" w:bidi="zh-TW"/>
        </w:rPr>
      </w:pPr>
      <w:r>
        <w:rPr>
          <w:rFonts w:hint="eastAsia" w:ascii="仿宋" w:hAnsi="仿宋"/>
          <w:kern w:val="0"/>
          <w:szCs w:val="32"/>
          <w:lang w:val="zh-TW" w:bidi="zh-TW"/>
        </w:rPr>
        <w:t>（四）本所规定的其他信息。</w:t>
      </w:r>
    </w:p>
    <w:p>
      <w:pPr>
        <w:spacing w:line="600" w:lineRule="exact"/>
        <w:ind w:firstLine="632" w:firstLineChars="200"/>
        <w:rPr>
          <w:rFonts w:ascii="仿宋" w:hAnsi="仿宋"/>
          <w:szCs w:val="32"/>
        </w:rPr>
      </w:pPr>
      <w:r>
        <w:rPr>
          <w:rFonts w:hint="eastAsia" w:ascii="仿宋" w:hAnsi="仿宋"/>
          <w:szCs w:val="32"/>
        </w:rPr>
        <w:t>本所可以根据自律管理需要，对</w:t>
      </w:r>
      <w:r>
        <w:rPr>
          <w:rFonts w:ascii="仿宋" w:hAnsi="仿宋"/>
          <w:szCs w:val="32"/>
        </w:rPr>
        <w:t>上述</w:t>
      </w:r>
      <w:r>
        <w:rPr>
          <w:rFonts w:hint="eastAsia" w:ascii="仿宋" w:hAnsi="仿宋"/>
          <w:szCs w:val="32"/>
        </w:rPr>
        <w:t>标准和报告内容进行调整。</w:t>
      </w:r>
    </w:p>
    <w:p>
      <w:pPr>
        <w:spacing w:line="600" w:lineRule="exact"/>
        <w:ind w:firstLine="632" w:firstLineChars="200"/>
        <w:rPr>
          <w:rFonts w:ascii="仿宋" w:hAnsi="仿宋"/>
          <w:kern w:val="0"/>
          <w:szCs w:val="32"/>
          <w:lang w:val="zh-TW" w:bidi="zh-TW"/>
        </w:rPr>
      </w:pPr>
      <w:r>
        <w:rPr>
          <w:rFonts w:hint="eastAsia" w:ascii="仿宋" w:hAnsi="仿宋"/>
          <w:szCs w:val="32"/>
        </w:rPr>
        <w:t>八、基金管理公司及其子公司、从事资产管理业务的会员、合格境外投资者以减少大额订单对市场冲击或者保障不同投资组合交易公平性为目的，在交易环节按照设定的拆单算法自动执行交易指令的，</w:t>
      </w:r>
      <w:r>
        <w:rPr>
          <w:rFonts w:ascii="仿宋" w:hAnsi="仿宋"/>
          <w:szCs w:val="32"/>
        </w:rPr>
        <w:t>不适用本</w:t>
      </w:r>
      <w:r>
        <w:rPr>
          <w:rFonts w:hint="eastAsia" w:ascii="仿宋" w:hAnsi="仿宋"/>
          <w:szCs w:val="32"/>
        </w:rPr>
        <w:t>通知</w:t>
      </w:r>
      <w:r>
        <w:rPr>
          <w:rFonts w:ascii="仿宋" w:hAnsi="仿宋"/>
          <w:szCs w:val="32"/>
        </w:rPr>
        <w:t>第</w:t>
      </w:r>
      <w:r>
        <w:rPr>
          <w:rFonts w:hint="eastAsia" w:ascii="仿宋" w:hAnsi="仿宋"/>
          <w:szCs w:val="32"/>
        </w:rPr>
        <w:t>七</w:t>
      </w:r>
      <w:r>
        <w:rPr>
          <w:rFonts w:ascii="仿宋" w:hAnsi="仿宋"/>
          <w:szCs w:val="32"/>
        </w:rPr>
        <w:t>条的规定</w:t>
      </w:r>
      <w:r>
        <w:rPr>
          <w:rFonts w:hint="eastAsia" w:ascii="仿宋" w:hAnsi="仿宋"/>
          <w:szCs w:val="32"/>
        </w:rPr>
        <w:t>，</w:t>
      </w:r>
      <w:r>
        <w:rPr>
          <w:rFonts w:ascii="仿宋" w:hAnsi="仿宋"/>
          <w:szCs w:val="32"/>
        </w:rPr>
        <w:t>根据本通知第六条报告的账户资金规模</w:t>
      </w:r>
      <w:r>
        <w:rPr>
          <w:rFonts w:hint="eastAsia" w:ascii="仿宋" w:hAnsi="仿宋"/>
          <w:szCs w:val="32"/>
        </w:rPr>
        <w:t>、</w:t>
      </w:r>
      <w:r>
        <w:rPr>
          <w:rFonts w:ascii="仿宋" w:hAnsi="仿宋"/>
          <w:szCs w:val="32"/>
        </w:rPr>
        <w:t>杠杆资金来源</w:t>
      </w:r>
      <w:r>
        <w:rPr>
          <w:rFonts w:hint="eastAsia" w:ascii="仿宋" w:hAnsi="仿宋"/>
          <w:szCs w:val="32"/>
        </w:rPr>
        <w:t>、</w:t>
      </w:r>
      <w:r>
        <w:rPr>
          <w:rFonts w:ascii="仿宋" w:hAnsi="仿宋"/>
          <w:szCs w:val="32"/>
        </w:rPr>
        <w:t>杠杆资金规模发生重大变更时应当在变更发生后下一季度的前五个交易日内进行变更报告</w:t>
      </w:r>
      <w:r>
        <w:rPr>
          <w:rFonts w:hint="eastAsia" w:ascii="仿宋" w:hAnsi="仿宋"/>
          <w:szCs w:val="32"/>
        </w:rPr>
        <w:t>。</w:t>
      </w:r>
    </w:p>
    <w:p>
      <w:pPr>
        <w:spacing w:line="600" w:lineRule="exact"/>
        <w:ind w:firstLine="632" w:firstLineChars="200"/>
        <w:rPr>
          <w:rFonts w:ascii="仿宋" w:hAnsi="仿宋"/>
          <w:szCs w:val="32"/>
        </w:rPr>
      </w:pPr>
      <w:r>
        <w:rPr>
          <w:rFonts w:hint="eastAsia" w:ascii="仿宋" w:hAnsi="仿宋"/>
          <w:szCs w:val="32"/>
        </w:rPr>
        <w:t>九</w:t>
      </w:r>
      <w:r>
        <w:rPr>
          <w:rFonts w:ascii="仿宋" w:hAnsi="仿宋"/>
          <w:szCs w:val="32"/>
        </w:rPr>
        <w:t>、程序化交易投资者应当确保其报告的信息真实、准确、完整</w:t>
      </w:r>
      <w:r>
        <w:rPr>
          <w:rFonts w:hint="eastAsia" w:ascii="仿宋" w:hAnsi="仿宋"/>
          <w:szCs w:val="32"/>
        </w:rPr>
        <w:t>、及时</w:t>
      </w:r>
      <w:r>
        <w:rPr>
          <w:rFonts w:ascii="仿宋" w:hAnsi="仿宋"/>
          <w:szCs w:val="32"/>
        </w:rPr>
        <w:t>。</w:t>
      </w:r>
    </w:p>
    <w:p>
      <w:pPr>
        <w:spacing w:line="600" w:lineRule="exact"/>
        <w:ind w:firstLine="632" w:firstLineChars="200"/>
        <w:rPr>
          <w:rFonts w:ascii="仿宋" w:hAnsi="仿宋"/>
          <w:bCs/>
          <w:szCs w:val="32"/>
        </w:rPr>
      </w:pPr>
      <w:r>
        <w:rPr>
          <w:rFonts w:hint="eastAsia" w:ascii="仿宋" w:hAnsi="仿宋"/>
          <w:szCs w:val="32"/>
        </w:rPr>
        <w:t>会员</w:t>
      </w:r>
      <w:r>
        <w:rPr>
          <w:rFonts w:hint="eastAsia" w:ascii="仿宋" w:hAnsi="仿宋" w:cs="仿宋_GB2312"/>
          <w:kern w:val="0"/>
          <w:szCs w:val="32"/>
        </w:rPr>
        <w:t>应当对客户提交的信息保密</w:t>
      </w:r>
      <w:r>
        <w:rPr>
          <w:rFonts w:hint="eastAsia" w:ascii="仿宋" w:hAnsi="仿宋"/>
          <w:szCs w:val="32"/>
        </w:rPr>
        <w:t>，</w:t>
      </w:r>
      <w:r>
        <w:rPr>
          <w:rFonts w:ascii="仿宋" w:hAnsi="仿宋"/>
          <w:bCs/>
          <w:szCs w:val="32"/>
        </w:rPr>
        <w:t>不得非法买卖、提供</w:t>
      </w:r>
      <w:r>
        <w:rPr>
          <w:rFonts w:hint="eastAsia" w:ascii="仿宋" w:hAnsi="仿宋"/>
          <w:bCs/>
          <w:szCs w:val="32"/>
        </w:rPr>
        <w:t>、</w:t>
      </w:r>
      <w:r>
        <w:rPr>
          <w:rFonts w:ascii="仿宋" w:hAnsi="仿宋"/>
          <w:bCs/>
          <w:szCs w:val="32"/>
        </w:rPr>
        <w:t>公开</w:t>
      </w:r>
      <w:r>
        <w:rPr>
          <w:rFonts w:hint="eastAsia" w:ascii="仿宋" w:hAnsi="仿宋"/>
          <w:bCs/>
          <w:szCs w:val="32"/>
        </w:rPr>
        <w:t>或者以其他不正当手段使用，不得泄露所知悉的商业秘密。</w:t>
      </w:r>
    </w:p>
    <w:p>
      <w:pPr>
        <w:spacing w:line="600" w:lineRule="exact"/>
        <w:ind w:firstLine="632" w:firstLineChars="200"/>
        <w:rPr>
          <w:rFonts w:ascii="仿宋" w:hAnsi="仿宋"/>
          <w:szCs w:val="32"/>
        </w:rPr>
      </w:pPr>
      <w:r>
        <w:rPr>
          <w:rFonts w:hint="eastAsia" w:ascii="仿宋" w:hAnsi="仿宋"/>
          <w:bCs/>
          <w:szCs w:val="32"/>
        </w:rPr>
        <w:t>会员和使用交易单元的其他机构应当妥善保存客户和自身程序化交易报告信息，保存期限不得少于二十年。</w:t>
      </w:r>
    </w:p>
    <w:p>
      <w:pPr>
        <w:spacing w:line="600" w:lineRule="exact"/>
        <w:ind w:firstLine="632" w:firstLineChars="200"/>
        <w:rPr>
          <w:rFonts w:ascii="仿宋" w:hAnsi="仿宋"/>
          <w:szCs w:val="32"/>
        </w:rPr>
      </w:pPr>
      <w:r>
        <w:rPr>
          <w:rFonts w:hint="eastAsia" w:ascii="仿宋" w:hAnsi="仿宋"/>
          <w:szCs w:val="32"/>
        </w:rPr>
        <w:t>十、会员应当切实做好股票程序化交易报告相关工作，履行下列职责：</w:t>
      </w:r>
    </w:p>
    <w:p>
      <w:pPr>
        <w:spacing w:line="600" w:lineRule="exact"/>
        <w:ind w:firstLine="632" w:firstLineChars="200"/>
        <w:rPr>
          <w:rFonts w:ascii="仿宋" w:hAnsi="仿宋"/>
          <w:szCs w:val="32"/>
        </w:rPr>
      </w:pPr>
      <w:r>
        <w:rPr>
          <w:rFonts w:hint="eastAsia" w:ascii="仿宋" w:hAnsi="仿宋"/>
          <w:szCs w:val="32"/>
        </w:rPr>
        <w:t>（一）制定程序化交易报告内部管理制度和流程，加强对程序化交易报告工作的管理；</w:t>
      </w:r>
    </w:p>
    <w:p>
      <w:pPr>
        <w:spacing w:line="600" w:lineRule="exact"/>
        <w:ind w:firstLine="632" w:firstLineChars="200"/>
        <w:rPr>
          <w:rFonts w:ascii="仿宋" w:hAnsi="仿宋"/>
          <w:szCs w:val="32"/>
        </w:rPr>
      </w:pPr>
      <w:r>
        <w:rPr>
          <w:rFonts w:hint="eastAsia" w:ascii="仿宋" w:hAnsi="仿宋"/>
          <w:szCs w:val="32"/>
        </w:rPr>
        <w:t>（二）与开展程序化交易的客户签订补充协议，约定双方与程序化交易有关的权利义务，明确客户应当真实、准确、完整、及时履行报告义务，拒不履行或者履行义务不符合要求的，会员可以依据协议拒绝其程序化交易委托；</w:t>
      </w:r>
    </w:p>
    <w:p>
      <w:pPr>
        <w:spacing w:line="600" w:lineRule="exact"/>
        <w:ind w:firstLine="632" w:firstLineChars="200"/>
        <w:rPr>
          <w:rFonts w:ascii="仿宋" w:hAnsi="仿宋"/>
          <w:szCs w:val="32"/>
        </w:rPr>
      </w:pPr>
      <w:r>
        <w:rPr>
          <w:rFonts w:hint="eastAsia" w:ascii="仿宋" w:hAnsi="仿宋"/>
          <w:szCs w:val="32"/>
        </w:rPr>
        <w:t>（三）对客户报告的信息进行充分核查，经核查报告信息不实的，督促其按本通知要求履行报告义务；</w:t>
      </w:r>
    </w:p>
    <w:p>
      <w:pPr>
        <w:spacing w:line="600" w:lineRule="exact"/>
        <w:ind w:firstLine="632" w:firstLineChars="200"/>
        <w:rPr>
          <w:rFonts w:ascii="仿宋" w:hAnsi="仿宋"/>
          <w:szCs w:val="32"/>
        </w:rPr>
      </w:pPr>
      <w:r>
        <w:rPr>
          <w:rFonts w:ascii="仿宋" w:hAnsi="仿宋"/>
          <w:szCs w:val="32"/>
        </w:rPr>
        <w:t>（四）</w:t>
      </w:r>
      <w:r>
        <w:rPr>
          <w:rFonts w:hint="eastAsia" w:ascii="仿宋" w:hAnsi="仿宋"/>
          <w:szCs w:val="32"/>
        </w:rPr>
        <w:t>建立程序化交易监测监控机制，及时发现达到报告要求的客户，并督促其按本通知要求履行报告义务；</w:t>
      </w:r>
    </w:p>
    <w:p>
      <w:pPr>
        <w:spacing w:line="600" w:lineRule="exact"/>
        <w:ind w:firstLine="632" w:firstLineChars="200"/>
        <w:rPr>
          <w:rFonts w:ascii="仿宋" w:hAnsi="仿宋"/>
          <w:szCs w:val="32"/>
        </w:rPr>
      </w:pPr>
      <w:r>
        <w:rPr>
          <w:rFonts w:hint="eastAsia" w:ascii="仿宋" w:hAnsi="仿宋"/>
          <w:szCs w:val="32"/>
        </w:rPr>
        <w:t>（五）及时告知使用其交易单元的其他机构按照本通知要求履行报告义务；</w:t>
      </w:r>
    </w:p>
    <w:p>
      <w:pPr>
        <w:spacing w:line="600" w:lineRule="exact"/>
        <w:ind w:firstLine="632" w:firstLineChars="200"/>
        <w:rPr>
          <w:rFonts w:ascii="仿宋" w:hAnsi="仿宋"/>
          <w:szCs w:val="32"/>
        </w:rPr>
      </w:pPr>
      <w:r>
        <w:rPr>
          <w:rFonts w:hint="eastAsia" w:ascii="仿宋" w:hAnsi="仿宋"/>
          <w:szCs w:val="32"/>
        </w:rPr>
        <w:t>（六）对于经督促后仍不按要求报告的客户，会员应当按照委托协议的约定，拒绝接受其程序化交易委托，并向本所报告；</w:t>
      </w:r>
    </w:p>
    <w:p>
      <w:pPr>
        <w:spacing w:line="600" w:lineRule="exact"/>
        <w:ind w:firstLine="632" w:firstLineChars="200"/>
        <w:rPr>
          <w:rFonts w:ascii="仿宋" w:hAnsi="仿宋"/>
          <w:szCs w:val="32"/>
        </w:rPr>
      </w:pPr>
      <w:r>
        <w:rPr>
          <w:rFonts w:hint="eastAsia" w:ascii="仿宋" w:hAnsi="仿宋"/>
          <w:szCs w:val="32"/>
        </w:rPr>
        <w:t>（七）程序化交易行为或者交易量出现明显异常，会员应当及时联系客户了解情况并进行核查分析，发现涉嫌违法违规、可能影响正常交易秩序或者本所系统安全的，及时向本所报告；</w:t>
      </w:r>
    </w:p>
    <w:p>
      <w:pPr>
        <w:spacing w:line="600" w:lineRule="exact"/>
        <w:ind w:firstLine="632" w:firstLineChars="200"/>
        <w:rPr>
          <w:rFonts w:ascii="仿宋" w:hAnsi="仿宋"/>
          <w:szCs w:val="32"/>
        </w:rPr>
      </w:pPr>
      <w:r>
        <w:rPr>
          <w:rFonts w:hint="eastAsia" w:ascii="仿宋" w:hAnsi="仿宋"/>
          <w:szCs w:val="32"/>
        </w:rPr>
        <w:t>（八）本所规定的其他职责。</w:t>
      </w:r>
    </w:p>
    <w:p>
      <w:pPr>
        <w:spacing w:line="600" w:lineRule="exact"/>
        <w:ind w:firstLine="632" w:firstLineChars="200"/>
        <w:rPr>
          <w:rFonts w:ascii="仿宋" w:hAnsi="仿宋"/>
          <w:szCs w:val="32"/>
        </w:rPr>
      </w:pPr>
      <w:r>
        <w:rPr>
          <w:rFonts w:hint="eastAsia" w:ascii="仿宋" w:hAnsi="仿宋"/>
          <w:szCs w:val="32"/>
        </w:rPr>
        <w:t>十一、会员及使用交易单元的其他机构</w:t>
      </w:r>
      <w:r>
        <w:rPr>
          <w:rFonts w:ascii="仿宋" w:hAnsi="仿宋"/>
          <w:szCs w:val="32"/>
        </w:rPr>
        <w:t>进行</w:t>
      </w:r>
      <w:r>
        <w:rPr>
          <w:rFonts w:hint="eastAsia" w:ascii="仿宋" w:hAnsi="仿宋"/>
          <w:szCs w:val="32"/>
        </w:rPr>
        <w:t>股票程序化交易的，应当做好监测监控，发现涉嫌违法违规、可能影响正常交易秩序或者本所系统安全的，及时向本所报告。</w:t>
      </w:r>
    </w:p>
    <w:p>
      <w:pPr>
        <w:spacing w:line="600" w:lineRule="exact"/>
        <w:ind w:firstLine="632" w:firstLineChars="200"/>
        <w:rPr>
          <w:rFonts w:ascii="仿宋" w:hAnsi="仿宋"/>
          <w:szCs w:val="32"/>
        </w:rPr>
      </w:pPr>
      <w:r>
        <w:rPr>
          <w:rFonts w:hint="eastAsia" w:ascii="仿宋" w:hAnsi="仿宋"/>
          <w:szCs w:val="32"/>
        </w:rPr>
        <w:t>十二</w:t>
      </w:r>
      <w:r>
        <w:rPr>
          <w:rFonts w:ascii="仿宋" w:hAnsi="仿宋"/>
          <w:szCs w:val="32"/>
        </w:rPr>
        <w:t>、</w:t>
      </w:r>
      <w:r>
        <w:rPr>
          <w:rFonts w:hint="eastAsia" w:ascii="仿宋" w:hAnsi="仿宋"/>
          <w:szCs w:val="32"/>
        </w:rPr>
        <w:t>本所定期开展数据筛查，对程序化交易</w:t>
      </w:r>
      <w:r>
        <w:rPr>
          <w:rFonts w:ascii="仿宋" w:hAnsi="仿宋"/>
          <w:szCs w:val="32"/>
        </w:rPr>
        <w:t>投资者的</w:t>
      </w:r>
      <w:r>
        <w:rPr>
          <w:rFonts w:hint="eastAsia" w:ascii="仿宋" w:hAnsi="仿宋"/>
          <w:szCs w:val="32"/>
        </w:rPr>
        <w:t>交易行为和</w:t>
      </w:r>
      <w:r>
        <w:rPr>
          <w:rFonts w:ascii="仿宋" w:hAnsi="仿宋"/>
          <w:szCs w:val="32"/>
        </w:rPr>
        <w:t>其</w:t>
      </w:r>
      <w:r>
        <w:rPr>
          <w:rFonts w:hint="eastAsia" w:ascii="仿宋" w:hAnsi="仿宋"/>
          <w:szCs w:val="32"/>
        </w:rPr>
        <w:t>报告</w:t>
      </w:r>
      <w:r>
        <w:rPr>
          <w:rFonts w:ascii="仿宋" w:hAnsi="仿宋"/>
          <w:szCs w:val="32"/>
        </w:rPr>
        <w:t>的</w:t>
      </w:r>
      <w:r>
        <w:rPr>
          <w:rFonts w:hint="eastAsia" w:ascii="仿宋" w:hAnsi="仿宋"/>
          <w:szCs w:val="32"/>
        </w:rPr>
        <w:t>交易策略、规模、</w:t>
      </w:r>
      <w:r>
        <w:rPr>
          <w:rFonts w:ascii="仿宋" w:hAnsi="仿宋"/>
          <w:szCs w:val="32"/>
        </w:rPr>
        <w:t>频率</w:t>
      </w:r>
      <w:r>
        <w:rPr>
          <w:rFonts w:hint="eastAsia" w:ascii="仿宋" w:hAnsi="仿宋"/>
          <w:szCs w:val="32"/>
        </w:rPr>
        <w:t>等信息进行一致性比对。</w:t>
      </w:r>
    </w:p>
    <w:p>
      <w:pPr>
        <w:spacing w:line="600" w:lineRule="exact"/>
        <w:ind w:firstLine="632" w:firstLineChars="200"/>
        <w:rPr>
          <w:rFonts w:ascii="仿宋" w:hAnsi="仿宋"/>
          <w:szCs w:val="32"/>
        </w:rPr>
      </w:pPr>
      <w:r>
        <w:rPr>
          <w:rFonts w:ascii="仿宋" w:hAnsi="仿宋"/>
          <w:szCs w:val="32"/>
        </w:rPr>
        <w:t>对于报告的信息不完备</w:t>
      </w:r>
      <w:r>
        <w:rPr>
          <w:rFonts w:hint="eastAsia" w:ascii="仿宋" w:hAnsi="仿宋"/>
          <w:szCs w:val="32"/>
        </w:rPr>
        <w:t>、</w:t>
      </w:r>
      <w:r>
        <w:rPr>
          <w:rFonts w:ascii="仿宋" w:hAnsi="仿宋"/>
          <w:szCs w:val="32"/>
        </w:rPr>
        <w:t>与交易行为不一致</w:t>
      </w:r>
      <w:r>
        <w:rPr>
          <w:rFonts w:hint="eastAsia" w:ascii="仿宋" w:hAnsi="仿宋"/>
          <w:szCs w:val="32"/>
        </w:rPr>
        <w:t>或者存在其他未按规定报告情形</w:t>
      </w:r>
      <w:r>
        <w:rPr>
          <w:rFonts w:ascii="仿宋" w:hAnsi="仿宋"/>
          <w:szCs w:val="32"/>
        </w:rPr>
        <w:t>的，本所将进行督促提醒，</w:t>
      </w:r>
      <w:r>
        <w:rPr>
          <w:rFonts w:hint="eastAsia" w:ascii="仿宋" w:hAnsi="仿宋" w:cs="仿宋_GB2312"/>
          <w:szCs w:val="32"/>
        </w:rPr>
        <w:t>视情况采取自律管理措施</w:t>
      </w:r>
      <w:r>
        <w:rPr>
          <w:rFonts w:ascii="仿宋" w:hAnsi="仿宋" w:cs="仿宋_GB2312"/>
          <w:szCs w:val="32"/>
        </w:rPr>
        <w:t>，</w:t>
      </w:r>
      <w:r>
        <w:rPr>
          <w:rFonts w:ascii="仿宋" w:hAnsi="仿宋"/>
          <w:szCs w:val="32"/>
        </w:rPr>
        <w:t>投资者应当及时改正。</w:t>
      </w:r>
    </w:p>
    <w:p>
      <w:pPr>
        <w:spacing w:line="600" w:lineRule="exact"/>
        <w:ind w:firstLine="632" w:firstLineChars="200"/>
        <w:rPr>
          <w:rFonts w:ascii="仿宋" w:hAnsi="仿宋"/>
          <w:szCs w:val="32"/>
        </w:rPr>
      </w:pPr>
      <w:r>
        <w:rPr>
          <w:rFonts w:hint="eastAsia" w:ascii="仿宋" w:hAnsi="仿宋"/>
          <w:szCs w:val="32"/>
        </w:rPr>
        <w:t>十三、本所可以根据自律管理需要，</w:t>
      </w:r>
      <w:r>
        <w:rPr>
          <w:rFonts w:hint="eastAsia" w:ascii="仿宋" w:hAnsi="仿宋" w:cs="仿宋_GB2312"/>
          <w:color w:val="000000"/>
          <w:szCs w:val="32"/>
        </w:rPr>
        <w:t>对涉及程序化交易的相关主体遵守本通知的情况进行现场或者非现场检查。相关主体应当予以配合，真实、准确、完整、及时地提供相关资料</w:t>
      </w:r>
      <w:r>
        <w:rPr>
          <w:rFonts w:hint="eastAsia" w:ascii="仿宋" w:hAnsi="仿宋"/>
          <w:szCs w:val="32"/>
        </w:rPr>
        <w:t>。</w:t>
      </w:r>
    </w:p>
    <w:p>
      <w:pPr>
        <w:spacing w:line="600" w:lineRule="exact"/>
        <w:ind w:firstLine="632" w:firstLineChars="200"/>
        <w:rPr>
          <w:rFonts w:ascii="仿宋" w:hAnsi="仿宋"/>
          <w:szCs w:val="32"/>
        </w:rPr>
      </w:pPr>
      <w:r>
        <w:rPr>
          <w:rFonts w:hint="eastAsia" w:ascii="仿宋" w:hAnsi="仿宋"/>
          <w:szCs w:val="32"/>
        </w:rPr>
        <w:t>对于频繁出现报告信息与交易行为不一致或者存在其他违反本通知规定情形的，本所重点进行监督检查。</w:t>
      </w:r>
    </w:p>
    <w:p>
      <w:pPr>
        <w:spacing w:line="600" w:lineRule="exact"/>
        <w:ind w:firstLine="632" w:firstLineChars="200"/>
        <w:rPr>
          <w:rFonts w:ascii="仿宋" w:hAnsi="仿宋"/>
          <w:szCs w:val="32"/>
        </w:rPr>
      </w:pPr>
      <w:r>
        <w:rPr>
          <w:rFonts w:hint="eastAsia" w:ascii="仿宋" w:hAnsi="仿宋"/>
          <w:szCs w:val="32"/>
        </w:rPr>
        <w:t>本所对会员客户</w:t>
      </w:r>
      <w:r>
        <w:rPr>
          <w:rFonts w:ascii="仿宋" w:hAnsi="仿宋"/>
          <w:szCs w:val="32"/>
        </w:rPr>
        <w:t>程序化交易</w:t>
      </w:r>
      <w:r>
        <w:rPr>
          <w:rFonts w:hint="eastAsia" w:ascii="仿宋" w:hAnsi="仿宋"/>
          <w:szCs w:val="32"/>
        </w:rPr>
        <w:t>情况进行监督检查的，会员应当</w:t>
      </w:r>
      <w:r>
        <w:rPr>
          <w:rFonts w:ascii="仿宋" w:hAnsi="仿宋"/>
          <w:szCs w:val="32"/>
        </w:rPr>
        <w:t>积极</w:t>
      </w:r>
      <w:r>
        <w:rPr>
          <w:rFonts w:hint="eastAsia" w:ascii="仿宋" w:hAnsi="仿宋"/>
          <w:szCs w:val="32"/>
        </w:rPr>
        <w:t>配合。</w:t>
      </w:r>
    </w:p>
    <w:p>
      <w:pPr>
        <w:spacing w:line="600" w:lineRule="exact"/>
        <w:ind w:firstLine="632" w:firstLineChars="200"/>
        <w:rPr>
          <w:rFonts w:ascii="仿宋" w:hAnsi="仿宋"/>
          <w:szCs w:val="32"/>
        </w:rPr>
      </w:pPr>
      <w:r>
        <w:rPr>
          <w:rFonts w:hint="eastAsia" w:ascii="仿宋" w:hAnsi="仿宋"/>
          <w:szCs w:val="32"/>
        </w:rPr>
        <w:t>十四、程序化交易投资者存在下列情形之一的，</w:t>
      </w:r>
      <w:r>
        <w:rPr>
          <w:rFonts w:ascii="仿宋" w:hAnsi="仿宋"/>
          <w:szCs w:val="32"/>
        </w:rPr>
        <w:t>本所可以根据《北京证券交易所交易规则</w:t>
      </w:r>
      <w:r>
        <w:rPr>
          <w:rFonts w:hint="eastAsia" w:ascii="仿宋" w:hAnsi="仿宋"/>
          <w:szCs w:val="32"/>
        </w:rPr>
        <w:t>（试行）</w:t>
      </w:r>
      <w:r>
        <w:rPr>
          <w:rFonts w:ascii="仿宋" w:hAnsi="仿宋"/>
          <w:szCs w:val="32"/>
        </w:rPr>
        <w:t>》</w:t>
      </w:r>
      <w:r>
        <w:rPr>
          <w:rFonts w:hint="eastAsia" w:ascii="仿宋" w:hAnsi="仿宋"/>
          <w:szCs w:val="32"/>
        </w:rPr>
        <w:t>《北京证券交易所自律监管措施和纪律处分实施细则》及其他相关业务规则的</w:t>
      </w:r>
      <w:r>
        <w:rPr>
          <w:rFonts w:ascii="仿宋" w:hAnsi="仿宋"/>
          <w:szCs w:val="32"/>
        </w:rPr>
        <w:t>规定</w:t>
      </w:r>
      <w:r>
        <w:rPr>
          <w:rFonts w:hint="eastAsia" w:ascii="仿宋" w:hAnsi="仿宋"/>
          <w:szCs w:val="32"/>
        </w:rPr>
        <w:t>，对其</w:t>
      </w:r>
      <w:r>
        <w:rPr>
          <w:rFonts w:ascii="仿宋" w:hAnsi="仿宋"/>
          <w:szCs w:val="32"/>
        </w:rPr>
        <w:t>采取</w:t>
      </w:r>
      <w:r>
        <w:rPr>
          <w:rFonts w:hint="eastAsia" w:ascii="仿宋" w:hAnsi="仿宋"/>
          <w:szCs w:val="32"/>
        </w:rPr>
        <w:t>相应</w:t>
      </w:r>
      <w:r>
        <w:rPr>
          <w:rFonts w:ascii="仿宋" w:hAnsi="仿宋"/>
          <w:szCs w:val="32"/>
        </w:rPr>
        <w:t>自律监管措施或者纪律处分</w:t>
      </w:r>
      <w:r>
        <w:rPr>
          <w:rFonts w:hint="eastAsia" w:ascii="仿宋" w:hAnsi="仿宋"/>
          <w:szCs w:val="32"/>
        </w:rPr>
        <w:t>：</w:t>
      </w:r>
    </w:p>
    <w:p>
      <w:pPr>
        <w:spacing w:line="600" w:lineRule="exact"/>
        <w:ind w:firstLine="632" w:firstLineChars="200"/>
        <w:outlineLvl w:val="0"/>
        <w:rPr>
          <w:rFonts w:ascii="仿宋" w:hAnsi="仿宋"/>
          <w:szCs w:val="32"/>
        </w:rPr>
      </w:pPr>
      <w:r>
        <w:rPr>
          <w:rFonts w:hint="eastAsia" w:ascii="仿宋" w:hAnsi="仿宋"/>
          <w:szCs w:val="32"/>
        </w:rPr>
        <w:t>（一）未履行报告义务即开展程序化交易；</w:t>
      </w:r>
    </w:p>
    <w:p>
      <w:pPr>
        <w:spacing w:line="600" w:lineRule="exact"/>
        <w:ind w:firstLine="632" w:firstLineChars="200"/>
        <w:outlineLvl w:val="0"/>
        <w:rPr>
          <w:rFonts w:ascii="仿宋" w:hAnsi="仿宋"/>
          <w:szCs w:val="32"/>
        </w:rPr>
      </w:pPr>
      <w:r>
        <w:rPr>
          <w:rFonts w:hint="eastAsia" w:ascii="仿宋" w:hAnsi="仿宋"/>
          <w:szCs w:val="32"/>
        </w:rPr>
        <w:t>（二）报告信息不符合真实、准确、完整、及时要求；</w:t>
      </w:r>
    </w:p>
    <w:p>
      <w:pPr>
        <w:spacing w:line="600" w:lineRule="exact"/>
        <w:ind w:firstLine="632" w:firstLineChars="200"/>
        <w:outlineLvl w:val="0"/>
        <w:rPr>
          <w:rFonts w:ascii="仿宋" w:hAnsi="仿宋"/>
          <w:szCs w:val="32"/>
        </w:rPr>
      </w:pPr>
      <w:r>
        <w:rPr>
          <w:rFonts w:hint="eastAsia" w:ascii="仿宋" w:hAnsi="仿宋"/>
          <w:szCs w:val="32"/>
        </w:rPr>
        <w:t>（三）违反本通知的其他情形。</w:t>
      </w:r>
    </w:p>
    <w:p>
      <w:pPr>
        <w:spacing w:line="600" w:lineRule="exact"/>
        <w:ind w:firstLine="632" w:firstLineChars="200"/>
        <w:rPr>
          <w:rFonts w:ascii="仿宋" w:hAnsi="仿宋"/>
          <w:szCs w:val="32"/>
        </w:rPr>
      </w:pPr>
      <w:r>
        <w:rPr>
          <w:rFonts w:hint="eastAsia" w:ascii="仿宋" w:hAnsi="仿宋"/>
          <w:szCs w:val="32"/>
        </w:rPr>
        <w:t>十五、会员未按规定履行对客户程序化交易报告管理职责的，</w:t>
      </w:r>
      <w:r>
        <w:rPr>
          <w:rFonts w:hint="eastAsia" w:ascii="仿宋" w:hAnsi="仿宋" w:cs="仿宋_GB2312"/>
          <w:szCs w:val="32"/>
        </w:rPr>
        <w:t>本所可以根据《</w:t>
      </w:r>
      <w:r>
        <w:rPr>
          <w:rFonts w:hint="eastAsia" w:ascii="仿宋" w:hAnsi="仿宋"/>
          <w:szCs w:val="32"/>
        </w:rPr>
        <w:t>北京</w:t>
      </w:r>
      <w:r>
        <w:rPr>
          <w:rFonts w:ascii="仿宋" w:hAnsi="仿宋"/>
          <w:szCs w:val="32"/>
        </w:rPr>
        <w:t>证券交易所</w:t>
      </w:r>
      <w:r>
        <w:rPr>
          <w:rFonts w:hint="eastAsia" w:ascii="仿宋" w:hAnsi="仿宋"/>
          <w:szCs w:val="32"/>
        </w:rPr>
        <w:t>会员管理</w:t>
      </w:r>
      <w:r>
        <w:rPr>
          <w:rFonts w:ascii="仿宋" w:hAnsi="仿宋"/>
          <w:szCs w:val="32"/>
        </w:rPr>
        <w:t>规则</w:t>
      </w:r>
      <w:r>
        <w:rPr>
          <w:rFonts w:hint="eastAsia" w:ascii="仿宋" w:hAnsi="仿宋"/>
          <w:szCs w:val="32"/>
        </w:rPr>
        <w:t>（试行）</w:t>
      </w:r>
      <w:r>
        <w:rPr>
          <w:rFonts w:hint="eastAsia" w:ascii="仿宋" w:hAnsi="仿宋" w:cs="仿宋_GB2312"/>
          <w:szCs w:val="32"/>
        </w:rPr>
        <w:t>》</w:t>
      </w:r>
      <w:r>
        <w:rPr>
          <w:rFonts w:hint="eastAsia" w:ascii="仿宋" w:hAnsi="仿宋"/>
          <w:szCs w:val="32"/>
        </w:rPr>
        <w:t>《北京证券交易所自律监管措施和纪律处分实施细则》及其他相关业务规则的</w:t>
      </w:r>
      <w:r>
        <w:rPr>
          <w:rFonts w:ascii="仿宋" w:hAnsi="仿宋"/>
          <w:szCs w:val="32"/>
        </w:rPr>
        <w:t>规定</w:t>
      </w:r>
      <w:r>
        <w:rPr>
          <w:rFonts w:hint="eastAsia" w:ascii="仿宋" w:hAnsi="仿宋"/>
          <w:szCs w:val="32"/>
        </w:rPr>
        <w:t>，对其</w:t>
      </w:r>
      <w:r>
        <w:rPr>
          <w:rFonts w:ascii="仿宋" w:hAnsi="仿宋"/>
          <w:szCs w:val="32"/>
        </w:rPr>
        <w:t>采取</w:t>
      </w:r>
      <w:r>
        <w:rPr>
          <w:rFonts w:hint="eastAsia" w:ascii="仿宋" w:hAnsi="仿宋"/>
          <w:szCs w:val="32"/>
        </w:rPr>
        <w:t>相应</w:t>
      </w:r>
      <w:r>
        <w:rPr>
          <w:rFonts w:ascii="仿宋" w:hAnsi="仿宋"/>
          <w:szCs w:val="32"/>
        </w:rPr>
        <w:t>自律监管措施</w:t>
      </w:r>
      <w:r>
        <w:rPr>
          <w:rFonts w:hint="eastAsia" w:ascii="仿宋" w:hAnsi="仿宋"/>
          <w:szCs w:val="32"/>
        </w:rPr>
        <w:t>或者纪律处分</w:t>
      </w:r>
      <w:r>
        <w:rPr>
          <w:rFonts w:hint="eastAsia" w:ascii="仿宋" w:hAnsi="仿宋" w:cs="仿宋_GB2312"/>
          <w:szCs w:val="32"/>
        </w:rPr>
        <w:t>。</w:t>
      </w:r>
    </w:p>
    <w:p>
      <w:pPr>
        <w:spacing w:line="600" w:lineRule="exact"/>
        <w:ind w:firstLine="632" w:firstLineChars="200"/>
        <w:rPr>
          <w:rFonts w:ascii="仿宋" w:hAnsi="仿宋"/>
          <w:szCs w:val="32"/>
        </w:rPr>
      </w:pPr>
      <w:r>
        <w:rPr>
          <w:rFonts w:hint="eastAsia" w:ascii="仿宋" w:hAnsi="仿宋"/>
          <w:szCs w:val="32"/>
        </w:rPr>
        <w:t>十</w:t>
      </w:r>
      <w:r>
        <w:rPr>
          <w:rFonts w:ascii="仿宋" w:hAnsi="仿宋"/>
          <w:szCs w:val="32"/>
        </w:rPr>
        <w:t>六</w:t>
      </w:r>
      <w:r>
        <w:rPr>
          <w:rFonts w:hint="eastAsia" w:ascii="仿宋" w:hAnsi="仿宋"/>
          <w:szCs w:val="32"/>
        </w:rPr>
        <w:t>、</w:t>
      </w:r>
      <w:r>
        <w:rPr>
          <w:rFonts w:hint="eastAsia" w:ascii="仿宋" w:hAnsi="仿宋"/>
          <w:kern w:val="0"/>
          <w:szCs w:val="32"/>
          <w:lang w:val="zh-TW" w:bidi="zh-TW"/>
        </w:rPr>
        <w:t>本所根据本通知的规定接收、比对和管理程序化交易投资者报告的信息，不代表本所对程序化交易投资者及其使用的程序化交易策略、交易指令执行方式和系统的合规性、适当性、可用性等作出判断或者保证。</w:t>
      </w:r>
    </w:p>
    <w:p>
      <w:pPr>
        <w:spacing w:line="600" w:lineRule="exact"/>
        <w:ind w:firstLine="632" w:firstLineChars="200"/>
        <w:rPr>
          <w:rFonts w:ascii="仿宋" w:hAnsi="仿宋"/>
          <w:szCs w:val="32"/>
        </w:rPr>
      </w:pPr>
      <w:r>
        <w:rPr>
          <w:rFonts w:hint="eastAsia" w:ascii="仿宋" w:hAnsi="仿宋"/>
          <w:szCs w:val="32"/>
        </w:rPr>
        <w:t>十</w:t>
      </w:r>
      <w:r>
        <w:rPr>
          <w:rFonts w:ascii="仿宋" w:hAnsi="仿宋"/>
          <w:szCs w:val="32"/>
        </w:rPr>
        <w:t>七</w:t>
      </w:r>
      <w:r>
        <w:rPr>
          <w:rFonts w:hint="eastAsia" w:ascii="仿宋" w:hAnsi="仿宋"/>
          <w:szCs w:val="32"/>
        </w:rPr>
        <w:t>、</w:t>
      </w:r>
      <w:r>
        <w:rPr>
          <w:rFonts w:ascii="仿宋" w:hAnsi="仿宋"/>
          <w:szCs w:val="32"/>
        </w:rPr>
        <w:t>本通知</w:t>
      </w:r>
      <w:r>
        <w:rPr>
          <w:szCs w:val="32"/>
        </w:rPr>
        <w:t>自2023年10月9日</w:t>
      </w:r>
      <w:r>
        <w:rPr>
          <w:rFonts w:ascii="仿宋" w:hAnsi="仿宋"/>
          <w:szCs w:val="32"/>
        </w:rPr>
        <w:t>起施行</w:t>
      </w:r>
      <w:r>
        <w:rPr>
          <w:rFonts w:hint="eastAsia" w:ascii="仿宋" w:hAnsi="仿宋"/>
          <w:szCs w:val="32"/>
        </w:rPr>
        <w:t>。</w:t>
      </w:r>
      <w:r>
        <w:rPr>
          <w:rFonts w:ascii="仿宋" w:hAnsi="仿宋"/>
          <w:szCs w:val="32"/>
        </w:rPr>
        <w:t>本通知施行前已经开展</w:t>
      </w:r>
      <w:r>
        <w:rPr>
          <w:rFonts w:hint="eastAsia" w:ascii="仿宋" w:hAnsi="仿宋"/>
          <w:szCs w:val="32"/>
        </w:rPr>
        <w:t>股票</w:t>
      </w:r>
      <w:r>
        <w:rPr>
          <w:rFonts w:ascii="仿宋" w:hAnsi="仿宋"/>
          <w:szCs w:val="32"/>
        </w:rPr>
        <w:t>程序化交易的投资者</w:t>
      </w:r>
      <w:r>
        <w:rPr>
          <w:rFonts w:hint="eastAsia" w:ascii="仿宋" w:hAnsi="仿宋"/>
          <w:szCs w:val="32"/>
        </w:rPr>
        <w:t>，</w:t>
      </w:r>
      <w:r>
        <w:rPr>
          <w:rFonts w:ascii="仿宋" w:hAnsi="仿宋"/>
          <w:szCs w:val="32"/>
        </w:rPr>
        <w:t>应当在本通知施行后</w:t>
      </w:r>
      <w:r>
        <w:rPr>
          <w:rFonts w:hint="eastAsia" w:ascii="仿宋" w:hAnsi="仿宋"/>
          <w:szCs w:val="32"/>
        </w:rPr>
        <w:t>六</w:t>
      </w:r>
      <w:r>
        <w:rPr>
          <w:rFonts w:ascii="仿宋" w:hAnsi="仿宋"/>
          <w:szCs w:val="32"/>
        </w:rPr>
        <w:t>十个交易日内</w:t>
      </w:r>
      <w:r>
        <w:rPr>
          <w:rFonts w:hint="eastAsia" w:ascii="仿宋" w:hAnsi="仿宋"/>
          <w:szCs w:val="32"/>
        </w:rPr>
        <w:t>进行</w:t>
      </w:r>
      <w:r>
        <w:rPr>
          <w:rFonts w:ascii="仿宋" w:hAnsi="仿宋"/>
          <w:szCs w:val="32"/>
        </w:rPr>
        <w:t>报告</w:t>
      </w:r>
      <w:r>
        <w:rPr>
          <w:rFonts w:hint="eastAsia" w:ascii="仿宋" w:hAnsi="仿宋"/>
          <w:szCs w:val="32"/>
        </w:rPr>
        <w:t>，其中会员客户向会员报告后</w:t>
      </w:r>
      <w:r>
        <w:rPr>
          <w:rFonts w:ascii="仿宋" w:hAnsi="仿宋"/>
          <w:szCs w:val="32"/>
        </w:rPr>
        <w:t>，</w:t>
      </w:r>
      <w:r>
        <w:rPr>
          <w:rFonts w:hint="eastAsia" w:ascii="仿宋" w:hAnsi="仿宋"/>
          <w:szCs w:val="32"/>
        </w:rPr>
        <w:t>由会员向本所报告，会员及使用交易单元的其他机构直接向本所报告</w:t>
      </w:r>
      <w:r>
        <w:rPr>
          <w:rFonts w:ascii="仿宋" w:hAnsi="仿宋"/>
          <w:szCs w:val="32"/>
        </w:rPr>
        <w:t>。</w:t>
      </w:r>
    </w:p>
    <w:p>
      <w:pPr>
        <w:spacing w:line="600" w:lineRule="exact"/>
        <w:ind w:firstLine="632" w:firstLineChars="200"/>
        <w:rPr>
          <w:rFonts w:ascii="仿宋" w:hAnsi="仿宋"/>
          <w:szCs w:val="32"/>
        </w:rPr>
      </w:pPr>
      <w:r>
        <w:rPr>
          <w:rFonts w:ascii="仿宋" w:hAnsi="仿宋"/>
          <w:szCs w:val="32"/>
        </w:rPr>
        <w:t>特此通知</w:t>
      </w:r>
      <w:r>
        <w:rPr>
          <w:rFonts w:hint="eastAsia" w:ascii="仿宋" w:hAnsi="仿宋"/>
          <w:szCs w:val="32"/>
        </w:rPr>
        <w:t>。</w:t>
      </w:r>
    </w:p>
    <w:p>
      <w:pPr>
        <w:tabs>
          <w:tab w:val="left" w:pos="7797"/>
        </w:tabs>
        <w:spacing w:line="600" w:lineRule="exact"/>
        <w:ind w:right="1422" w:rightChars="450"/>
        <w:jc w:val="left"/>
        <w:rPr>
          <w:rFonts w:ascii="仿宋" w:hAnsi="仿宋"/>
          <w:color w:val="000000"/>
          <w:szCs w:val="32"/>
        </w:rPr>
      </w:pPr>
      <w:bookmarkStart w:id="1" w:name="STOCK_CODE"/>
      <w:bookmarkEnd w:id="1"/>
    </w:p>
    <w:p>
      <w:pPr>
        <w:tabs>
          <w:tab w:val="left" w:pos="7797"/>
        </w:tabs>
        <w:spacing w:line="600" w:lineRule="exact"/>
        <w:ind w:firstLine="632" w:firstLineChars="200"/>
        <w:jc w:val="left"/>
        <w:outlineLvl w:val="0"/>
        <w:rPr>
          <w:szCs w:val="32"/>
        </w:rPr>
      </w:pPr>
      <w:r>
        <w:rPr>
          <w:rFonts w:ascii="仿宋" w:hAnsi="仿宋"/>
          <w:szCs w:val="32"/>
        </w:rPr>
        <w:t>附件</w:t>
      </w:r>
      <w:r>
        <w:rPr>
          <w:szCs w:val="32"/>
        </w:rPr>
        <w:t>：1．北京证券交易所程序化交易投资者信息报告表</w:t>
      </w:r>
    </w:p>
    <w:p>
      <w:pPr>
        <w:tabs>
          <w:tab w:val="left" w:pos="7797"/>
        </w:tabs>
        <w:spacing w:line="600" w:lineRule="exact"/>
        <w:ind w:left="2054" w:leftChars="500" w:hanging="474" w:hangingChars="150"/>
        <w:jc w:val="left"/>
        <w:outlineLvl w:val="0"/>
        <w:rPr>
          <w:rFonts w:ascii="仿宋" w:hAnsi="仿宋"/>
          <w:szCs w:val="32"/>
        </w:rPr>
      </w:pPr>
      <w:r>
        <w:rPr>
          <w:szCs w:val="32"/>
        </w:rPr>
        <w:t>2.《</w:t>
      </w:r>
      <w:r>
        <w:rPr>
          <w:rFonts w:ascii="仿宋" w:hAnsi="仿宋"/>
          <w:szCs w:val="32"/>
        </w:rPr>
        <w:t>北京证券交易所程序化交易投资者信息报告表》填报说明</w:t>
      </w:r>
    </w:p>
    <w:p>
      <w:pPr>
        <w:tabs>
          <w:tab w:val="left" w:pos="7797"/>
        </w:tabs>
        <w:adjustRightInd w:val="0"/>
        <w:snapToGrid w:val="0"/>
        <w:spacing w:line="600" w:lineRule="exact"/>
        <w:jc w:val="left"/>
        <w:rPr>
          <w:rFonts w:ascii="仿宋" w:hAnsi="仿宋"/>
          <w:szCs w:val="32"/>
        </w:rPr>
      </w:pPr>
    </w:p>
    <w:p>
      <w:pPr>
        <w:tabs>
          <w:tab w:val="left" w:pos="7797"/>
        </w:tabs>
        <w:adjustRightInd w:val="0"/>
        <w:snapToGrid w:val="0"/>
        <w:spacing w:line="600" w:lineRule="exact"/>
        <w:jc w:val="left"/>
        <w:rPr>
          <w:rFonts w:ascii="仿宋" w:hAnsi="仿宋"/>
          <w:szCs w:val="32"/>
        </w:rPr>
      </w:pPr>
    </w:p>
    <w:p>
      <w:pPr>
        <w:tabs>
          <w:tab w:val="left" w:pos="7875"/>
        </w:tabs>
        <w:spacing w:line="600" w:lineRule="exact"/>
        <w:ind w:right="1580" w:rightChars="500"/>
        <w:jc w:val="right"/>
        <w:rPr>
          <w:rFonts w:ascii="仿宋" w:hAnsi="仿宋"/>
          <w:color w:val="000000"/>
          <w:szCs w:val="32"/>
        </w:rPr>
      </w:pPr>
      <w:r>
        <w:rPr>
          <w:rFonts w:ascii="仿宋" w:hAnsi="仿宋"/>
          <w:color w:val="000000"/>
          <w:szCs w:val="32"/>
        </w:rPr>
        <w:t>北京</w:t>
      </w:r>
      <w:r>
        <w:rPr>
          <w:rFonts w:hint="eastAsia" w:ascii="仿宋" w:hAnsi="仿宋"/>
          <w:color w:val="000000"/>
          <w:szCs w:val="32"/>
        </w:rPr>
        <w:t>证券交易所</w:t>
      </w:r>
    </w:p>
    <w:p>
      <w:pPr>
        <w:tabs>
          <w:tab w:val="left" w:pos="7797"/>
        </w:tabs>
        <w:spacing w:line="600" w:lineRule="exact"/>
        <w:ind w:right="1580" w:rightChars="500"/>
        <w:jc w:val="right"/>
        <w:rPr>
          <w:rFonts w:ascii="仿宋" w:hAnsi="仿宋"/>
          <w:color w:val="000000"/>
          <w:szCs w:val="32"/>
        </w:rPr>
      </w:pPr>
      <w:r>
        <w:rPr>
          <w:color w:val="000000"/>
          <w:szCs w:val="32"/>
        </w:rPr>
        <w:t>2023年9月1</w:t>
      </w:r>
      <w:r>
        <w:rPr>
          <w:rFonts w:hint="eastAsia" w:ascii="仿宋" w:hAnsi="仿宋"/>
          <w:color w:val="000000"/>
          <w:szCs w:val="32"/>
        </w:rPr>
        <w:t>日</w:t>
      </w:r>
    </w:p>
    <w:p>
      <w:pPr>
        <w:widowControl/>
        <w:jc w:val="left"/>
        <w:rPr>
          <w:rFonts w:eastAsia="方正仿宋简体"/>
          <w:sz w:val="30"/>
          <w:szCs w:val="30"/>
        </w:rPr>
      </w:pPr>
    </w:p>
    <w:sectPr>
      <w:footerReference r:id="rId3" w:type="default"/>
      <w:footerReference r:id="rId4" w:type="even"/>
      <w:pgSz w:w="11906" w:h="16838"/>
      <w:pgMar w:top="2098" w:right="1474" w:bottom="1985" w:left="1588" w:header="851" w:footer="1134" w:gutter="0"/>
      <w:pgNumType w:fmt="numberInDash"/>
      <w:cols w:space="425"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4991713"/>
      <w:docPartObj>
        <w:docPartGallery w:val="autotext"/>
      </w:docPartObj>
    </w:sdtPr>
    <w:sdtContent>
      <w:p>
        <w:pPr>
          <w:pStyle w:val="6"/>
          <w:jc w:val="right"/>
        </w:pPr>
        <w:r>
          <w:fldChar w:fldCharType="begin"/>
        </w:r>
        <w:r>
          <w:instrText xml:space="preserve">PAGE   \* MERGEFORMAT</w:instrText>
        </w:r>
        <w: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7 -</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3895659"/>
      <w:docPartObj>
        <w:docPartGallery w:val="autotext"/>
      </w:docPartObj>
    </w:sdtPr>
    <w:sdtEndPr>
      <w:rPr>
        <w:rFonts w:asciiTheme="minorEastAsia" w:hAnsiTheme="minorEastAsia" w:eastAsiaTheme="minorEastAsia"/>
        <w:sz w:val="28"/>
        <w:szCs w:val="28"/>
      </w:rPr>
    </w:sdtEndPr>
    <w:sdtContent>
      <w:p>
        <w:pPr>
          <w:pStyle w:val="6"/>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8 -</w:t>
        </w:r>
        <w:r>
          <w:rPr>
            <w:rFonts w:asciiTheme="minorEastAsia" w:hAnsiTheme="minorEastAsia" w:eastAsiaTheme="minorEastAsia"/>
            <w:sz w:val="28"/>
            <w:szCs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58"/>
  <w:drawingGridVerticalSpacing w:val="579"/>
  <w:displayHorizontalDrawingGridEvery w:val="0"/>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571DDF320000044A" w:val=" "/>
    <w:docVar w:name="5728781200007021" w:val=" "/>
    <w:docVar w:name="573591B00000B26E" w:val=" "/>
    <w:docVar w:name="58A1507B00003F58" w:val=" "/>
    <w:docVar w:name="5A5C629A00001E04" w:val=" "/>
    <w:docVar w:name="5A5C8F0300009667" w:val=" "/>
    <w:docVar w:name="5A5C90EB000008A7" w:val=" "/>
    <w:docVar w:name="5A5C920200004A7F" w:val=" "/>
    <w:docVar w:name="5A5C9404000021E2" w:val=" "/>
    <w:docVar w:name="5A5CA2CD0000E3F4" w:val=" "/>
    <w:docVar w:name="5A5CA91B000084A4" w:val=" "/>
    <w:docVar w:name="5A5D525A0000A126" w:val=" "/>
  </w:docVars>
  <w:rsids>
    <w:rsidRoot w:val="007C6509"/>
    <w:rsid w:val="0000126C"/>
    <w:rsid w:val="00001FB4"/>
    <w:rsid w:val="00002BD0"/>
    <w:rsid w:val="0000702A"/>
    <w:rsid w:val="0000706A"/>
    <w:rsid w:val="0001050B"/>
    <w:rsid w:val="00011280"/>
    <w:rsid w:val="000134EE"/>
    <w:rsid w:val="0001443A"/>
    <w:rsid w:val="00023534"/>
    <w:rsid w:val="0002398A"/>
    <w:rsid w:val="0002791B"/>
    <w:rsid w:val="00030BB3"/>
    <w:rsid w:val="00031651"/>
    <w:rsid w:val="0003380B"/>
    <w:rsid w:val="00034820"/>
    <w:rsid w:val="0003546E"/>
    <w:rsid w:val="00036E62"/>
    <w:rsid w:val="0003788E"/>
    <w:rsid w:val="00040A64"/>
    <w:rsid w:val="00042F20"/>
    <w:rsid w:val="00043977"/>
    <w:rsid w:val="00045A7A"/>
    <w:rsid w:val="0005039C"/>
    <w:rsid w:val="0005352A"/>
    <w:rsid w:val="00055E73"/>
    <w:rsid w:val="00062646"/>
    <w:rsid w:val="00062FA5"/>
    <w:rsid w:val="00065871"/>
    <w:rsid w:val="00065B0C"/>
    <w:rsid w:val="00070C4C"/>
    <w:rsid w:val="00072AE2"/>
    <w:rsid w:val="00076A0D"/>
    <w:rsid w:val="00082B5D"/>
    <w:rsid w:val="00087699"/>
    <w:rsid w:val="00090F3D"/>
    <w:rsid w:val="00092B6B"/>
    <w:rsid w:val="00094AD1"/>
    <w:rsid w:val="00095F37"/>
    <w:rsid w:val="000A076C"/>
    <w:rsid w:val="000A2E00"/>
    <w:rsid w:val="000A393F"/>
    <w:rsid w:val="000A68A0"/>
    <w:rsid w:val="000B271D"/>
    <w:rsid w:val="000B3DB4"/>
    <w:rsid w:val="000B56B9"/>
    <w:rsid w:val="000B735C"/>
    <w:rsid w:val="000C224B"/>
    <w:rsid w:val="000C2722"/>
    <w:rsid w:val="000C3D01"/>
    <w:rsid w:val="000C75F7"/>
    <w:rsid w:val="000D14C1"/>
    <w:rsid w:val="000D4210"/>
    <w:rsid w:val="000E0901"/>
    <w:rsid w:val="000E0B17"/>
    <w:rsid w:val="000E5086"/>
    <w:rsid w:val="000E5684"/>
    <w:rsid w:val="000E5EBC"/>
    <w:rsid w:val="000E6E00"/>
    <w:rsid w:val="000F0947"/>
    <w:rsid w:val="000F20A7"/>
    <w:rsid w:val="000F7256"/>
    <w:rsid w:val="000F7D22"/>
    <w:rsid w:val="000F7D59"/>
    <w:rsid w:val="001018E1"/>
    <w:rsid w:val="00102703"/>
    <w:rsid w:val="00103577"/>
    <w:rsid w:val="001055FF"/>
    <w:rsid w:val="00105AD7"/>
    <w:rsid w:val="0011258E"/>
    <w:rsid w:val="00112A46"/>
    <w:rsid w:val="001144DF"/>
    <w:rsid w:val="0011640B"/>
    <w:rsid w:val="001220FF"/>
    <w:rsid w:val="00123149"/>
    <w:rsid w:val="00123A1D"/>
    <w:rsid w:val="001259B9"/>
    <w:rsid w:val="0012723A"/>
    <w:rsid w:val="00127891"/>
    <w:rsid w:val="001310C3"/>
    <w:rsid w:val="00134C60"/>
    <w:rsid w:val="00140323"/>
    <w:rsid w:val="00140B47"/>
    <w:rsid w:val="00141F1C"/>
    <w:rsid w:val="00145ED2"/>
    <w:rsid w:val="0015044F"/>
    <w:rsid w:val="00150887"/>
    <w:rsid w:val="0015306E"/>
    <w:rsid w:val="001530CD"/>
    <w:rsid w:val="001533AD"/>
    <w:rsid w:val="0015439B"/>
    <w:rsid w:val="00157086"/>
    <w:rsid w:val="00160817"/>
    <w:rsid w:val="0016395A"/>
    <w:rsid w:val="00165A2B"/>
    <w:rsid w:val="00165D61"/>
    <w:rsid w:val="00166D05"/>
    <w:rsid w:val="0017260E"/>
    <w:rsid w:val="00173881"/>
    <w:rsid w:val="001741F0"/>
    <w:rsid w:val="00174E29"/>
    <w:rsid w:val="00175871"/>
    <w:rsid w:val="00175A73"/>
    <w:rsid w:val="00176934"/>
    <w:rsid w:val="00182A91"/>
    <w:rsid w:val="001848FE"/>
    <w:rsid w:val="0018513C"/>
    <w:rsid w:val="00185439"/>
    <w:rsid w:val="00190778"/>
    <w:rsid w:val="00192EF9"/>
    <w:rsid w:val="00197D05"/>
    <w:rsid w:val="001A0325"/>
    <w:rsid w:val="001A261D"/>
    <w:rsid w:val="001A2B0E"/>
    <w:rsid w:val="001A3B6C"/>
    <w:rsid w:val="001A5302"/>
    <w:rsid w:val="001A543E"/>
    <w:rsid w:val="001A7A4B"/>
    <w:rsid w:val="001B0B3F"/>
    <w:rsid w:val="001B4857"/>
    <w:rsid w:val="001B6E07"/>
    <w:rsid w:val="001C22E5"/>
    <w:rsid w:val="001C5FBC"/>
    <w:rsid w:val="001C651D"/>
    <w:rsid w:val="001C715A"/>
    <w:rsid w:val="001D011A"/>
    <w:rsid w:val="001D15C4"/>
    <w:rsid w:val="001D5893"/>
    <w:rsid w:val="001D787F"/>
    <w:rsid w:val="001E04BF"/>
    <w:rsid w:val="001E063F"/>
    <w:rsid w:val="001E2551"/>
    <w:rsid w:val="001E2FCF"/>
    <w:rsid w:val="001E5419"/>
    <w:rsid w:val="001E7549"/>
    <w:rsid w:val="001E78CB"/>
    <w:rsid w:val="001F0924"/>
    <w:rsid w:val="001F3F7F"/>
    <w:rsid w:val="001F47D3"/>
    <w:rsid w:val="001F629B"/>
    <w:rsid w:val="00200ED5"/>
    <w:rsid w:val="00202BDA"/>
    <w:rsid w:val="00202DA8"/>
    <w:rsid w:val="002037C8"/>
    <w:rsid w:val="00213D94"/>
    <w:rsid w:val="00213F2F"/>
    <w:rsid w:val="002148FB"/>
    <w:rsid w:val="00215572"/>
    <w:rsid w:val="00221D64"/>
    <w:rsid w:val="002229B2"/>
    <w:rsid w:val="00223157"/>
    <w:rsid w:val="00224706"/>
    <w:rsid w:val="00224A0F"/>
    <w:rsid w:val="00224CD3"/>
    <w:rsid w:val="00225246"/>
    <w:rsid w:val="002335B4"/>
    <w:rsid w:val="00236AE7"/>
    <w:rsid w:val="002379CA"/>
    <w:rsid w:val="002441DF"/>
    <w:rsid w:val="002447BA"/>
    <w:rsid w:val="002467C3"/>
    <w:rsid w:val="00246BFB"/>
    <w:rsid w:val="002505B4"/>
    <w:rsid w:val="00250628"/>
    <w:rsid w:val="0025217D"/>
    <w:rsid w:val="0025318F"/>
    <w:rsid w:val="00253E23"/>
    <w:rsid w:val="00257FAF"/>
    <w:rsid w:val="00262004"/>
    <w:rsid w:val="00262892"/>
    <w:rsid w:val="00265743"/>
    <w:rsid w:val="00266579"/>
    <w:rsid w:val="00272906"/>
    <w:rsid w:val="002739D4"/>
    <w:rsid w:val="00273EDB"/>
    <w:rsid w:val="00283297"/>
    <w:rsid w:val="0028406D"/>
    <w:rsid w:val="0028480F"/>
    <w:rsid w:val="00291A09"/>
    <w:rsid w:val="0029229B"/>
    <w:rsid w:val="00293743"/>
    <w:rsid w:val="00296CD0"/>
    <w:rsid w:val="002A12FB"/>
    <w:rsid w:val="002A4681"/>
    <w:rsid w:val="002A51A3"/>
    <w:rsid w:val="002A6BE4"/>
    <w:rsid w:val="002A7374"/>
    <w:rsid w:val="002B285F"/>
    <w:rsid w:val="002B2C6F"/>
    <w:rsid w:val="002C0533"/>
    <w:rsid w:val="002C0F10"/>
    <w:rsid w:val="002C15F9"/>
    <w:rsid w:val="002C1E65"/>
    <w:rsid w:val="002C2702"/>
    <w:rsid w:val="002C38C9"/>
    <w:rsid w:val="002D0115"/>
    <w:rsid w:val="002D194B"/>
    <w:rsid w:val="002E2703"/>
    <w:rsid w:val="002E7242"/>
    <w:rsid w:val="002E74CD"/>
    <w:rsid w:val="002F0A82"/>
    <w:rsid w:val="002F0C25"/>
    <w:rsid w:val="002F3B45"/>
    <w:rsid w:val="002F3C14"/>
    <w:rsid w:val="002F7839"/>
    <w:rsid w:val="00302C38"/>
    <w:rsid w:val="00306067"/>
    <w:rsid w:val="00310957"/>
    <w:rsid w:val="00312470"/>
    <w:rsid w:val="003128DE"/>
    <w:rsid w:val="00312EDA"/>
    <w:rsid w:val="00314C94"/>
    <w:rsid w:val="0031581C"/>
    <w:rsid w:val="00316350"/>
    <w:rsid w:val="003170AF"/>
    <w:rsid w:val="00317984"/>
    <w:rsid w:val="00320523"/>
    <w:rsid w:val="00320DF9"/>
    <w:rsid w:val="003270EA"/>
    <w:rsid w:val="00330B4D"/>
    <w:rsid w:val="00330E6C"/>
    <w:rsid w:val="00333B72"/>
    <w:rsid w:val="00333CD4"/>
    <w:rsid w:val="0033650B"/>
    <w:rsid w:val="00337DD4"/>
    <w:rsid w:val="00341427"/>
    <w:rsid w:val="00342E0C"/>
    <w:rsid w:val="00344A9A"/>
    <w:rsid w:val="003451D8"/>
    <w:rsid w:val="00345CC0"/>
    <w:rsid w:val="00347E6D"/>
    <w:rsid w:val="00350120"/>
    <w:rsid w:val="00357001"/>
    <w:rsid w:val="00357C3B"/>
    <w:rsid w:val="003624E6"/>
    <w:rsid w:val="0037034A"/>
    <w:rsid w:val="003709D3"/>
    <w:rsid w:val="00373368"/>
    <w:rsid w:val="0037710F"/>
    <w:rsid w:val="0037767A"/>
    <w:rsid w:val="00382BF1"/>
    <w:rsid w:val="003852C9"/>
    <w:rsid w:val="003854CB"/>
    <w:rsid w:val="003903BF"/>
    <w:rsid w:val="00390C1C"/>
    <w:rsid w:val="0039612E"/>
    <w:rsid w:val="00397213"/>
    <w:rsid w:val="003A3D95"/>
    <w:rsid w:val="003A3D99"/>
    <w:rsid w:val="003A42CC"/>
    <w:rsid w:val="003A45A2"/>
    <w:rsid w:val="003A5C31"/>
    <w:rsid w:val="003B010C"/>
    <w:rsid w:val="003B0BBB"/>
    <w:rsid w:val="003B0EBA"/>
    <w:rsid w:val="003B2710"/>
    <w:rsid w:val="003B6BEE"/>
    <w:rsid w:val="003B7242"/>
    <w:rsid w:val="003C0040"/>
    <w:rsid w:val="003C74DE"/>
    <w:rsid w:val="003D1835"/>
    <w:rsid w:val="003D43F9"/>
    <w:rsid w:val="003D4893"/>
    <w:rsid w:val="003E28A6"/>
    <w:rsid w:val="003E3C52"/>
    <w:rsid w:val="003E456B"/>
    <w:rsid w:val="003E4602"/>
    <w:rsid w:val="003F1425"/>
    <w:rsid w:val="003F1C73"/>
    <w:rsid w:val="003F3936"/>
    <w:rsid w:val="003F41BE"/>
    <w:rsid w:val="00401FDE"/>
    <w:rsid w:val="00402682"/>
    <w:rsid w:val="004062EE"/>
    <w:rsid w:val="004072D3"/>
    <w:rsid w:val="0041268E"/>
    <w:rsid w:val="00413B67"/>
    <w:rsid w:val="00415AC9"/>
    <w:rsid w:val="004160A7"/>
    <w:rsid w:val="00417ADF"/>
    <w:rsid w:val="00417C5F"/>
    <w:rsid w:val="004213A3"/>
    <w:rsid w:val="00421401"/>
    <w:rsid w:val="004255CA"/>
    <w:rsid w:val="004265AD"/>
    <w:rsid w:val="004270D2"/>
    <w:rsid w:val="00434C2A"/>
    <w:rsid w:val="00435255"/>
    <w:rsid w:val="00440965"/>
    <w:rsid w:val="00440D8C"/>
    <w:rsid w:val="004422DB"/>
    <w:rsid w:val="00443CDB"/>
    <w:rsid w:val="004447EE"/>
    <w:rsid w:val="00446032"/>
    <w:rsid w:val="00451D42"/>
    <w:rsid w:val="004522EA"/>
    <w:rsid w:val="00454A02"/>
    <w:rsid w:val="004556F7"/>
    <w:rsid w:val="00455783"/>
    <w:rsid w:val="004570FC"/>
    <w:rsid w:val="00460B8E"/>
    <w:rsid w:val="004638B9"/>
    <w:rsid w:val="004641CA"/>
    <w:rsid w:val="00464419"/>
    <w:rsid w:val="00464A09"/>
    <w:rsid w:val="00470921"/>
    <w:rsid w:val="00471EC2"/>
    <w:rsid w:val="00473EA0"/>
    <w:rsid w:val="004921FE"/>
    <w:rsid w:val="00493BA7"/>
    <w:rsid w:val="00497E2A"/>
    <w:rsid w:val="004A1000"/>
    <w:rsid w:val="004A33DA"/>
    <w:rsid w:val="004A385C"/>
    <w:rsid w:val="004A4A1F"/>
    <w:rsid w:val="004B0557"/>
    <w:rsid w:val="004B2BA9"/>
    <w:rsid w:val="004B6572"/>
    <w:rsid w:val="004B745A"/>
    <w:rsid w:val="004C18F3"/>
    <w:rsid w:val="004C231C"/>
    <w:rsid w:val="004C23AA"/>
    <w:rsid w:val="004D4118"/>
    <w:rsid w:val="004D6E45"/>
    <w:rsid w:val="004E079D"/>
    <w:rsid w:val="004E75EA"/>
    <w:rsid w:val="004F06AA"/>
    <w:rsid w:val="004F0B64"/>
    <w:rsid w:val="004F217C"/>
    <w:rsid w:val="004F25A0"/>
    <w:rsid w:val="004F2FEB"/>
    <w:rsid w:val="004F38D0"/>
    <w:rsid w:val="004F45C3"/>
    <w:rsid w:val="004F6896"/>
    <w:rsid w:val="00504322"/>
    <w:rsid w:val="005106E3"/>
    <w:rsid w:val="00511F36"/>
    <w:rsid w:val="00515274"/>
    <w:rsid w:val="00516141"/>
    <w:rsid w:val="00522C3F"/>
    <w:rsid w:val="00524B7E"/>
    <w:rsid w:val="00525FDF"/>
    <w:rsid w:val="0052623D"/>
    <w:rsid w:val="00526A22"/>
    <w:rsid w:val="00531A83"/>
    <w:rsid w:val="005326C5"/>
    <w:rsid w:val="00532976"/>
    <w:rsid w:val="00536485"/>
    <w:rsid w:val="00536DB5"/>
    <w:rsid w:val="00537951"/>
    <w:rsid w:val="005442C2"/>
    <w:rsid w:val="005469B0"/>
    <w:rsid w:val="005509B2"/>
    <w:rsid w:val="00557508"/>
    <w:rsid w:val="00560AAB"/>
    <w:rsid w:val="005634FD"/>
    <w:rsid w:val="00563C73"/>
    <w:rsid w:val="00566E4E"/>
    <w:rsid w:val="00567423"/>
    <w:rsid w:val="0056774C"/>
    <w:rsid w:val="005702DC"/>
    <w:rsid w:val="0057069D"/>
    <w:rsid w:val="00570C84"/>
    <w:rsid w:val="005726CD"/>
    <w:rsid w:val="005728BF"/>
    <w:rsid w:val="00577C82"/>
    <w:rsid w:val="0058088A"/>
    <w:rsid w:val="0058303A"/>
    <w:rsid w:val="005840F4"/>
    <w:rsid w:val="00585756"/>
    <w:rsid w:val="00587804"/>
    <w:rsid w:val="005914A2"/>
    <w:rsid w:val="00593DD0"/>
    <w:rsid w:val="005953E8"/>
    <w:rsid w:val="005A05CA"/>
    <w:rsid w:val="005A077B"/>
    <w:rsid w:val="005A2D4B"/>
    <w:rsid w:val="005A6B83"/>
    <w:rsid w:val="005A75FC"/>
    <w:rsid w:val="005B4E52"/>
    <w:rsid w:val="005B5315"/>
    <w:rsid w:val="005C45C6"/>
    <w:rsid w:val="005C5E94"/>
    <w:rsid w:val="005C7DC8"/>
    <w:rsid w:val="005D4EB6"/>
    <w:rsid w:val="005D607F"/>
    <w:rsid w:val="005E1F06"/>
    <w:rsid w:val="005E5404"/>
    <w:rsid w:val="005F2ACC"/>
    <w:rsid w:val="005F58BF"/>
    <w:rsid w:val="005F61B1"/>
    <w:rsid w:val="00600284"/>
    <w:rsid w:val="00601939"/>
    <w:rsid w:val="00605FE5"/>
    <w:rsid w:val="00606BD9"/>
    <w:rsid w:val="00607E28"/>
    <w:rsid w:val="00611B6D"/>
    <w:rsid w:val="006126F9"/>
    <w:rsid w:val="00612F49"/>
    <w:rsid w:val="006148BB"/>
    <w:rsid w:val="00615938"/>
    <w:rsid w:val="00616306"/>
    <w:rsid w:val="00627A32"/>
    <w:rsid w:val="00636F03"/>
    <w:rsid w:val="0064034C"/>
    <w:rsid w:val="0064386F"/>
    <w:rsid w:val="00644E6D"/>
    <w:rsid w:val="00645027"/>
    <w:rsid w:val="006459E2"/>
    <w:rsid w:val="00646FC9"/>
    <w:rsid w:val="006505E2"/>
    <w:rsid w:val="00652CEB"/>
    <w:rsid w:val="006569E7"/>
    <w:rsid w:val="0066334D"/>
    <w:rsid w:val="00663A2F"/>
    <w:rsid w:val="00667F4B"/>
    <w:rsid w:val="00670AB0"/>
    <w:rsid w:val="00671027"/>
    <w:rsid w:val="00672121"/>
    <w:rsid w:val="006745CC"/>
    <w:rsid w:val="00674FFE"/>
    <w:rsid w:val="00676404"/>
    <w:rsid w:val="00676B2B"/>
    <w:rsid w:val="00682343"/>
    <w:rsid w:val="006825DC"/>
    <w:rsid w:val="00682A77"/>
    <w:rsid w:val="006838E4"/>
    <w:rsid w:val="0068605C"/>
    <w:rsid w:val="00686CF2"/>
    <w:rsid w:val="0069104F"/>
    <w:rsid w:val="00692771"/>
    <w:rsid w:val="00692D6B"/>
    <w:rsid w:val="00694C2E"/>
    <w:rsid w:val="00695E55"/>
    <w:rsid w:val="00695E5D"/>
    <w:rsid w:val="0069602B"/>
    <w:rsid w:val="00697822"/>
    <w:rsid w:val="006A1242"/>
    <w:rsid w:val="006A15AD"/>
    <w:rsid w:val="006A2B1A"/>
    <w:rsid w:val="006A3F41"/>
    <w:rsid w:val="006A6033"/>
    <w:rsid w:val="006B0304"/>
    <w:rsid w:val="006B0AA6"/>
    <w:rsid w:val="006B22F3"/>
    <w:rsid w:val="006B2FD0"/>
    <w:rsid w:val="006B5AA5"/>
    <w:rsid w:val="006B774F"/>
    <w:rsid w:val="006C02A8"/>
    <w:rsid w:val="006C2035"/>
    <w:rsid w:val="006C69F1"/>
    <w:rsid w:val="006C7AB3"/>
    <w:rsid w:val="006D2A84"/>
    <w:rsid w:val="006D2BCC"/>
    <w:rsid w:val="006D317C"/>
    <w:rsid w:val="006E21DA"/>
    <w:rsid w:val="006E24CA"/>
    <w:rsid w:val="006E3824"/>
    <w:rsid w:val="006E50DB"/>
    <w:rsid w:val="006E5F9F"/>
    <w:rsid w:val="006E6027"/>
    <w:rsid w:val="006F19C3"/>
    <w:rsid w:val="006F25D5"/>
    <w:rsid w:val="006F2818"/>
    <w:rsid w:val="006F2EF8"/>
    <w:rsid w:val="006F4B42"/>
    <w:rsid w:val="006F6293"/>
    <w:rsid w:val="006F65BB"/>
    <w:rsid w:val="007009EA"/>
    <w:rsid w:val="00703E2B"/>
    <w:rsid w:val="00714903"/>
    <w:rsid w:val="00717C07"/>
    <w:rsid w:val="00720600"/>
    <w:rsid w:val="00723E5C"/>
    <w:rsid w:val="00725670"/>
    <w:rsid w:val="00725938"/>
    <w:rsid w:val="00725A1B"/>
    <w:rsid w:val="007263B1"/>
    <w:rsid w:val="007273C2"/>
    <w:rsid w:val="0073244A"/>
    <w:rsid w:val="007329C4"/>
    <w:rsid w:val="00735FF6"/>
    <w:rsid w:val="007365FA"/>
    <w:rsid w:val="00743334"/>
    <w:rsid w:val="00745315"/>
    <w:rsid w:val="00751684"/>
    <w:rsid w:val="00751703"/>
    <w:rsid w:val="00751BC7"/>
    <w:rsid w:val="0075431C"/>
    <w:rsid w:val="0075575A"/>
    <w:rsid w:val="00755773"/>
    <w:rsid w:val="0075670D"/>
    <w:rsid w:val="007576DB"/>
    <w:rsid w:val="00762CEB"/>
    <w:rsid w:val="007668BA"/>
    <w:rsid w:val="007705F3"/>
    <w:rsid w:val="00772533"/>
    <w:rsid w:val="00772541"/>
    <w:rsid w:val="00773E52"/>
    <w:rsid w:val="00783F33"/>
    <w:rsid w:val="007871F0"/>
    <w:rsid w:val="00790895"/>
    <w:rsid w:val="00790B8C"/>
    <w:rsid w:val="007936F7"/>
    <w:rsid w:val="00793911"/>
    <w:rsid w:val="00797585"/>
    <w:rsid w:val="007A0E15"/>
    <w:rsid w:val="007A1887"/>
    <w:rsid w:val="007A20B4"/>
    <w:rsid w:val="007A2C8F"/>
    <w:rsid w:val="007A6B1A"/>
    <w:rsid w:val="007A6FCB"/>
    <w:rsid w:val="007B02AC"/>
    <w:rsid w:val="007B2714"/>
    <w:rsid w:val="007B38C9"/>
    <w:rsid w:val="007B4AEC"/>
    <w:rsid w:val="007B5D9D"/>
    <w:rsid w:val="007B6262"/>
    <w:rsid w:val="007B65A0"/>
    <w:rsid w:val="007B7FB7"/>
    <w:rsid w:val="007C0717"/>
    <w:rsid w:val="007C1F94"/>
    <w:rsid w:val="007C3EC8"/>
    <w:rsid w:val="007C57DF"/>
    <w:rsid w:val="007C6509"/>
    <w:rsid w:val="007C74B4"/>
    <w:rsid w:val="007C7FDD"/>
    <w:rsid w:val="007D0D4F"/>
    <w:rsid w:val="007D0EB0"/>
    <w:rsid w:val="007D3A56"/>
    <w:rsid w:val="007D3D7F"/>
    <w:rsid w:val="007D4CEA"/>
    <w:rsid w:val="007D57B9"/>
    <w:rsid w:val="007D6762"/>
    <w:rsid w:val="007D6ACF"/>
    <w:rsid w:val="007D789A"/>
    <w:rsid w:val="007D794D"/>
    <w:rsid w:val="007E2AEB"/>
    <w:rsid w:val="007E3621"/>
    <w:rsid w:val="007E416C"/>
    <w:rsid w:val="007E453C"/>
    <w:rsid w:val="007E63B3"/>
    <w:rsid w:val="007E6AE9"/>
    <w:rsid w:val="007E7799"/>
    <w:rsid w:val="007F0A52"/>
    <w:rsid w:val="007F0CEC"/>
    <w:rsid w:val="007F4EC7"/>
    <w:rsid w:val="007F543D"/>
    <w:rsid w:val="007F6B6B"/>
    <w:rsid w:val="007F7CD2"/>
    <w:rsid w:val="00800259"/>
    <w:rsid w:val="00800ED9"/>
    <w:rsid w:val="0080225F"/>
    <w:rsid w:val="00804EA8"/>
    <w:rsid w:val="00804ED1"/>
    <w:rsid w:val="00805898"/>
    <w:rsid w:val="00805DA2"/>
    <w:rsid w:val="00805E9E"/>
    <w:rsid w:val="00806C40"/>
    <w:rsid w:val="0081080A"/>
    <w:rsid w:val="00811C8A"/>
    <w:rsid w:val="0081272D"/>
    <w:rsid w:val="00816354"/>
    <w:rsid w:val="00820463"/>
    <w:rsid w:val="00821468"/>
    <w:rsid w:val="00821569"/>
    <w:rsid w:val="0082413A"/>
    <w:rsid w:val="00824398"/>
    <w:rsid w:val="008244D3"/>
    <w:rsid w:val="00824807"/>
    <w:rsid w:val="00825879"/>
    <w:rsid w:val="008300F1"/>
    <w:rsid w:val="00830615"/>
    <w:rsid w:val="008326F9"/>
    <w:rsid w:val="00832F57"/>
    <w:rsid w:val="00837DF3"/>
    <w:rsid w:val="008401CB"/>
    <w:rsid w:val="00840416"/>
    <w:rsid w:val="00841A20"/>
    <w:rsid w:val="008449CA"/>
    <w:rsid w:val="008455F3"/>
    <w:rsid w:val="00845F96"/>
    <w:rsid w:val="008511D4"/>
    <w:rsid w:val="008524BC"/>
    <w:rsid w:val="00853F88"/>
    <w:rsid w:val="0085669D"/>
    <w:rsid w:val="00856848"/>
    <w:rsid w:val="00862C48"/>
    <w:rsid w:val="00863D23"/>
    <w:rsid w:val="00864561"/>
    <w:rsid w:val="00864864"/>
    <w:rsid w:val="008679D0"/>
    <w:rsid w:val="00867D97"/>
    <w:rsid w:val="00871D91"/>
    <w:rsid w:val="00872E9C"/>
    <w:rsid w:val="00873676"/>
    <w:rsid w:val="008744D5"/>
    <w:rsid w:val="008771A6"/>
    <w:rsid w:val="00892702"/>
    <w:rsid w:val="008942C1"/>
    <w:rsid w:val="008A08FE"/>
    <w:rsid w:val="008A3CE6"/>
    <w:rsid w:val="008A3D3E"/>
    <w:rsid w:val="008A3FEA"/>
    <w:rsid w:val="008A4586"/>
    <w:rsid w:val="008A49E9"/>
    <w:rsid w:val="008A6B44"/>
    <w:rsid w:val="008B2610"/>
    <w:rsid w:val="008B4CD2"/>
    <w:rsid w:val="008B5D09"/>
    <w:rsid w:val="008C4912"/>
    <w:rsid w:val="008C7E49"/>
    <w:rsid w:val="008D3800"/>
    <w:rsid w:val="008E46CE"/>
    <w:rsid w:val="008E59F4"/>
    <w:rsid w:val="008E6CE1"/>
    <w:rsid w:val="008F0D87"/>
    <w:rsid w:val="008F249A"/>
    <w:rsid w:val="008F3D6B"/>
    <w:rsid w:val="0090195A"/>
    <w:rsid w:val="009029FB"/>
    <w:rsid w:val="00904C34"/>
    <w:rsid w:val="00907B15"/>
    <w:rsid w:val="009108E6"/>
    <w:rsid w:val="00911904"/>
    <w:rsid w:val="00912E70"/>
    <w:rsid w:val="00913186"/>
    <w:rsid w:val="009142A9"/>
    <w:rsid w:val="0091460D"/>
    <w:rsid w:val="00925728"/>
    <w:rsid w:val="00925B3C"/>
    <w:rsid w:val="00927AED"/>
    <w:rsid w:val="00927DBB"/>
    <w:rsid w:val="00931A6D"/>
    <w:rsid w:val="00932AB2"/>
    <w:rsid w:val="00937819"/>
    <w:rsid w:val="00937C38"/>
    <w:rsid w:val="0094059B"/>
    <w:rsid w:val="00941F3A"/>
    <w:rsid w:val="0094299E"/>
    <w:rsid w:val="00942CD7"/>
    <w:rsid w:val="00943F87"/>
    <w:rsid w:val="00945077"/>
    <w:rsid w:val="00945342"/>
    <w:rsid w:val="00945E76"/>
    <w:rsid w:val="00947F88"/>
    <w:rsid w:val="00952AAA"/>
    <w:rsid w:val="00953131"/>
    <w:rsid w:val="00954EC2"/>
    <w:rsid w:val="00957CD8"/>
    <w:rsid w:val="00964168"/>
    <w:rsid w:val="0097041D"/>
    <w:rsid w:val="00974AFC"/>
    <w:rsid w:val="00974CEA"/>
    <w:rsid w:val="0097551C"/>
    <w:rsid w:val="00975AAB"/>
    <w:rsid w:val="00983A17"/>
    <w:rsid w:val="00984CD0"/>
    <w:rsid w:val="00987AFD"/>
    <w:rsid w:val="0099100D"/>
    <w:rsid w:val="00993352"/>
    <w:rsid w:val="00993865"/>
    <w:rsid w:val="00995AE7"/>
    <w:rsid w:val="009A031C"/>
    <w:rsid w:val="009B0CE7"/>
    <w:rsid w:val="009B226C"/>
    <w:rsid w:val="009B2292"/>
    <w:rsid w:val="009B3622"/>
    <w:rsid w:val="009B45BE"/>
    <w:rsid w:val="009C134E"/>
    <w:rsid w:val="009C1D5E"/>
    <w:rsid w:val="009C74A2"/>
    <w:rsid w:val="009C7544"/>
    <w:rsid w:val="009D06C4"/>
    <w:rsid w:val="009D62EC"/>
    <w:rsid w:val="009D6997"/>
    <w:rsid w:val="009D6A2E"/>
    <w:rsid w:val="009F1B07"/>
    <w:rsid w:val="009F28CB"/>
    <w:rsid w:val="009F2B95"/>
    <w:rsid w:val="009F3492"/>
    <w:rsid w:val="009F57E3"/>
    <w:rsid w:val="00A005D7"/>
    <w:rsid w:val="00A00D06"/>
    <w:rsid w:val="00A07140"/>
    <w:rsid w:val="00A10F77"/>
    <w:rsid w:val="00A12786"/>
    <w:rsid w:val="00A12A08"/>
    <w:rsid w:val="00A14B5C"/>
    <w:rsid w:val="00A17181"/>
    <w:rsid w:val="00A1791A"/>
    <w:rsid w:val="00A17DD9"/>
    <w:rsid w:val="00A224E2"/>
    <w:rsid w:val="00A2349D"/>
    <w:rsid w:val="00A240EE"/>
    <w:rsid w:val="00A26C9C"/>
    <w:rsid w:val="00A3037D"/>
    <w:rsid w:val="00A31F89"/>
    <w:rsid w:val="00A34050"/>
    <w:rsid w:val="00A35542"/>
    <w:rsid w:val="00A3595B"/>
    <w:rsid w:val="00A35FBF"/>
    <w:rsid w:val="00A373E0"/>
    <w:rsid w:val="00A44057"/>
    <w:rsid w:val="00A472EA"/>
    <w:rsid w:val="00A5034A"/>
    <w:rsid w:val="00A51822"/>
    <w:rsid w:val="00A52CCF"/>
    <w:rsid w:val="00A563EC"/>
    <w:rsid w:val="00A578BF"/>
    <w:rsid w:val="00A6014D"/>
    <w:rsid w:val="00A61671"/>
    <w:rsid w:val="00A63085"/>
    <w:rsid w:val="00A6391E"/>
    <w:rsid w:val="00A65305"/>
    <w:rsid w:val="00A7008B"/>
    <w:rsid w:val="00A702DE"/>
    <w:rsid w:val="00A72C13"/>
    <w:rsid w:val="00A74A12"/>
    <w:rsid w:val="00A76275"/>
    <w:rsid w:val="00A77D02"/>
    <w:rsid w:val="00A82D05"/>
    <w:rsid w:val="00A8615C"/>
    <w:rsid w:val="00A970F0"/>
    <w:rsid w:val="00AA16AE"/>
    <w:rsid w:val="00AA3D30"/>
    <w:rsid w:val="00AA4D40"/>
    <w:rsid w:val="00AB3B90"/>
    <w:rsid w:val="00AB6522"/>
    <w:rsid w:val="00AC2E3F"/>
    <w:rsid w:val="00AC6AE5"/>
    <w:rsid w:val="00AD34B9"/>
    <w:rsid w:val="00AD3BF7"/>
    <w:rsid w:val="00AD408A"/>
    <w:rsid w:val="00AD4666"/>
    <w:rsid w:val="00AD7D89"/>
    <w:rsid w:val="00AE1609"/>
    <w:rsid w:val="00AE1822"/>
    <w:rsid w:val="00AE22EE"/>
    <w:rsid w:val="00AE5551"/>
    <w:rsid w:val="00AF2032"/>
    <w:rsid w:val="00AF5F4D"/>
    <w:rsid w:val="00AF76C8"/>
    <w:rsid w:val="00B02FDE"/>
    <w:rsid w:val="00B056DE"/>
    <w:rsid w:val="00B1427A"/>
    <w:rsid w:val="00B15F27"/>
    <w:rsid w:val="00B17C93"/>
    <w:rsid w:val="00B2230B"/>
    <w:rsid w:val="00B2330E"/>
    <w:rsid w:val="00B245D3"/>
    <w:rsid w:val="00B26B1A"/>
    <w:rsid w:val="00B301F8"/>
    <w:rsid w:val="00B3278A"/>
    <w:rsid w:val="00B342AC"/>
    <w:rsid w:val="00B3539A"/>
    <w:rsid w:val="00B37493"/>
    <w:rsid w:val="00B37916"/>
    <w:rsid w:val="00B42F47"/>
    <w:rsid w:val="00B4374C"/>
    <w:rsid w:val="00B46373"/>
    <w:rsid w:val="00B47A58"/>
    <w:rsid w:val="00B47B1E"/>
    <w:rsid w:val="00B5083B"/>
    <w:rsid w:val="00B6083B"/>
    <w:rsid w:val="00B60F4D"/>
    <w:rsid w:val="00B62CB7"/>
    <w:rsid w:val="00B64A4A"/>
    <w:rsid w:val="00B657E9"/>
    <w:rsid w:val="00B71DD1"/>
    <w:rsid w:val="00B72A8E"/>
    <w:rsid w:val="00B73C68"/>
    <w:rsid w:val="00B74DD2"/>
    <w:rsid w:val="00B75D80"/>
    <w:rsid w:val="00B82079"/>
    <w:rsid w:val="00B82770"/>
    <w:rsid w:val="00B8368B"/>
    <w:rsid w:val="00B83BF3"/>
    <w:rsid w:val="00B86A4E"/>
    <w:rsid w:val="00B875C2"/>
    <w:rsid w:val="00B9281A"/>
    <w:rsid w:val="00B94E02"/>
    <w:rsid w:val="00B953BD"/>
    <w:rsid w:val="00BA13AA"/>
    <w:rsid w:val="00BA2F84"/>
    <w:rsid w:val="00BA4A5B"/>
    <w:rsid w:val="00BA7927"/>
    <w:rsid w:val="00BB0CCE"/>
    <w:rsid w:val="00BB2AE0"/>
    <w:rsid w:val="00BB4A2B"/>
    <w:rsid w:val="00BC35C4"/>
    <w:rsid w:val="00BC41A8"/>
    <w:rsid w:val="00BC63D9"/>
    <w:rsid w:val="00BC756D"/>
    <w:rsid w:val="00BD3019"/>
    <w:rsid w:val="00BD325D"/>
    <w:rsid w:val="00BD32D9"/>
    <w:rsid w:val="00BD66B0"/>
    <w:rsid w:val="00BD71C3"/>
    <w:rsid w:val="00BE0A60"/>
    <w:rsid w:val="00BE180F"/>
    <w:rsid w:val="00BE3711"/>
    <w:rsid w:val="00BE3D0E"/>
    <w:rsid w:val="00BE45E0"/>
    <w:rsid w:val="00BE4606"/>
    <w:rsid w:val="00BE48CB"/>
    <w:rsid w:val="00BE5DB1"/>
    <w:rsid w:val="00BE7526"/>
    <w:rsid w:val="00BF3755"/>
    <w:rsid w:val="00BF51BA"/>
    <w:rsid w:val="00C01A8F"/>
    <w:rsid w:val="00C029BD"/>
    <w:rsid w:val="00C03B20"/>
    <w:rsid w:val="00C100BD"/>
    <w:rsid w:val="00C15EAE"/>
    <w:rsid w:val="00C168F3"/>
    <w:rsid w:val="00C27667"/>
    <w:rsid w:val="00C3498F"/>
    <w:rsid w:val="00C35461"/>
    <w:rsid w:val="00C35907"/>
    <w:rsid w:val="00C36CAF"/>
    <w:rsid w:val="00C378F6"/>
    <w:rsid w:val="00C40C51"/>
    <w:rsid w:val="00C4147B"/>
    <w:rsid w:val="00C4271A"/>
    <w:rsid w:val="00C46834"/>
    <w:rsid w:val="00C51F05"/>
    <w:rsid w:val="00C53BE8"/>
    <w:rsid w:val="00C543F1"/>
    <w:rsid w:val="00C556BE"/>
    <w:rsid w:val="00C55C99"/>
    <w:rsid w:val="00C5652F"/>
    <w:rsid w:val="00C5784D"/>
    <w:rsid w:val="00C627CE"/>
    <w:rsid w:val="00C67894"/>
    <w:rsid w:val="00C7556C"/>
    <w:rsid w:val="00C81BC0"/>
    <w:rsid w:val="00C846E9"/>
    <w:rsid w:val="00C852D1"/>
    <w:rsid w:val="00C85F88"/>
    <w:rsid w:val="00C8787B"/>
    <w:rsid w:val="00C90557"/>
    <w:rsid w:val="00C92589"/>
    <w:rsid w:val="00C94ED8"/>
    <w:rsid w:val="00C94FB5"/>
    <w:rsid w:val="00CA3924"/>
    <w:rsid w:val="00CA440F"/>
    <w:rsid w:val="00CA7D76"/>
    <w:rsid w:val="00CB065F"/>
    <w:rsid w:val="00CB0F8F"/>
    <w:rsid w:val="00CB37AB"/>
    <w:rsid w:val="00CB3954"/>
    <w:rsid w:val="00CB4C04"/>
    <w:rsid w:val="00CB4F67"/>
    <w:rsid w:val="00CB51B0"/>
    <w:rsid w:val="00CC1698"/>
    <w:rsid w:val="00CC2AF4"/>
    <w:rsid w:val="00CC4316"/>
    <w:rsid w:val="00CC4FA6"/>
    <w:rsid w:val="00CC58B3"/>
    <w:rsid w:val="00CC5978"/>
    <w:rsid w:val="00CC611C"/>
    <w:rsid w:val="00CC7359"/>
    <w:rsid w:val="00CD0A6F"/>
    <w:rsid w:val="00CD449A"/>
    <w:rsid w:val="00CD583E"/>
    <w:rsid w:val="00CD7BDB"/>
    <w:rsid w:val="00CD7EDA"/>
    <w:rsid w:val="00CE0C58"/>
    <w:rsid w:val="00CE4D66"/>
    <w:rsid w:val="00CE5833"/>
    <w:rsid w:val="00CF0845"/>
    <w:rsid w:val="00CF0B7B"/>
    <w:rsid w:val="00CF4046"/>
    <w:rsid w:val="00CF579A"/>
    <w:rsid w:val="00CF602F"/>
    <w:rsid w:val="00D0070D"/>
    <w:rsid w:val="00D03333"/>
    <w:rsid w:val="00D03525"/>
    <w:rsid w:val="00D07023"/>
    <w:rsid w:val="00D10753"/>
    <w:rsid w:val="00D12491"/>
    <w:rsid w:val="00D15D5B"/>
    <w:rsid w:val="00D16591"/>
    <w:rsid w:val="00D20348"/>
    <w:rsid w:val="00D205D8"/>
    <w:rsid w:val="00D20A59"/>
    <w:rsid w:val="00D21747"/>
    <w:rsid w:val="00D23E27"/>
    <w:rsid w:val="00D35FC4"/>
    <w:rsid w:val="00D42A91"/>
    <w:rsid w:val="00D43F48"/>
    <w:rsid w:val="00D443EC"/>
    <w:rsid w:val="00D52B1A"/>
    <w:rsid w:val="00D53A91"/>
    <w:rsid w:val="00D540E4"/>
    <w:rsid w:val="00D54931"/>
    <w:rsid w:val="00D56CC5"/>
    <w:rsid w:val="00D56D32"/>
    <w:rsid w:val="00D61B80"/>
    <w:rsid w:val="00D67CCE"/>
    <w:rsid w:val="00D705D3"/>
    <w:rsid w:val="00D718C1"/>
    <w:rsid w:val="00D749BE"/>
    <w:rsid w:val="00D7563B"/>
    <w:rsid w:val="00D7798D"/>
    <w:rsid w:val="00D77D29"/>
    <w:rsid w:val="00D8175B"/>
    <w:rsid w:val="00D8204C"/>
    <w:rsid w:val="00D837F8"/>
    <w:rsid w:val="00D84001"/>
    <w:rsid w:val="00D8638E"/>
    <w:rsid w:val="00DA1D32"/>
    <w:rsid w:val="00DA1E42"/>
    <w:rsid w:val="00DB43E9"/>
    <w:rsid w:val="00DB4D9B"/>
    <w:rsid w:val="00DB51AA"/>
    <w:rsid w:val="00DB69A1"/>
    <w:rsid w:val="00DC0A5A"/>
    <w:rsid w:val="00DC2C17"/>
    <w:rsid w:val="00DC6C2D"/>
    <w:rsid w:val="00DD1711"/>
    <w:rsid w:val="00DD1B6F"/>
    <w:rsid w:val="00DD495B"/>
    <w:rsid w:val="00DD7FBE"/>
    <w:rsid w:val="00DE1E8A"/>
    <w:rsid w:val="00DE3B03"/>
    <w:rsid w:val="00DE50C5"/>
    <w:rsid w:val="00DE54B6"/>
    <w:rsid w:val="00DE5823"/>
    <w:rsid w:val="00DE6E78"/>
    <w:rsid w:val="00DE7B70"/>
    <w:rsid w:val="00DF00CE"/>
    <w:rsid w:val="00DF4891"/>
    <w:rsid w:val="00E00F77"/>
    <w:rsid w:val="00E01189"/>
    <w:rsid w:val="00E02CCA"/>
    <w:rsid w:val="00E07DC3"/>
    <w:rsid w:val="00E102CD"/>
    <w:rsid w:val="00E12F8D"/>
    <w:rsid w:val="00E13A9C"/>
    <w:rsid w:val="00E13BE8"/>
    <w:rsid w:val="00E14730"/>
    <w:rsid w:val="00E1534E"/>
    <w:rsid w:val="00E16692"/>
    <w:rsid w:val="00E272CC"/>
    <w:rsid w:val="00E27C72"/>
    <w:rsid w:val="00E32332"/>
    <w:rsid w:val="00E35D3E"/>
    <w:rsid w:val="00E36B60"/>
    <w:rsid w:val="00E410E3"/>
    <w:rsid w:val="00E41E5B"/>
    <w:rsid w:val="00E4231D"/>
    <w:rsid w:val="00E43422"/>
    <w:rsid w:val="00E4425F"/>
    <w:rsid w:val="00E45FE2"/>
    <w:rsid w:val="00E51255"/>
    <w:rsid w:val="00E536DC"/>
    <w:rsid w:val="00E53739"/>
    <w:rsid w:val="00E56BF0"/>
    <w:rsid w:val="00E62126"/>
    <w:rsid w:val="00E62E9D"/>
    <w:rsid w:val="00E64730"/>
    <w:rsid w:val="00E652F9"/>
    <w:rsid w:val="00E654F2"/>
    <w:rsid w:val="00E7190B"/>
    <w:rsid w:val="00E71A1B"/>
    <w:rsid w:val="00E7669A"/>
    <w:rsid w:val="00E80ADA"/>
    <w:rsid w:val="00E80FCA"/>
    <w:rsid w:val="00E8496C"/>
    <w:rsid w:val="00E86099"/>
    <w:rsid w:val="00E93AD5"/>
    <w:rsid w:val="00E9678F"/>
    <w:rsid w:val="00E9731F"/>
    <w:rsid w:val="00EA02EE"/>
    <w:rsid w:val="00EA1DC4"/>
    <w:rsid w:val="00EA2327"/>
    <w:rsid w:val="00EA2767"/>
    <w:rsid w:val="00EA2E7A"/>
    <w:rsid w:val="00EA2EA6"/>
    <w:rsid w:val="00EA4BD3"/>
    <w:rsid w:val="00EB065A"/>
    <w:rsid w:val="00EB1470"/>
    <w:rsid w:val="00EB194A"/>
    <w:rsid w:val="00EB2B39"/>
    <w:rsid w:val="00EC36F6"/>
    <w:rsid w:val="00EC3982"/>
    <w:rsid w:val="00EC4D12"/>
    <w:rsid w:val="00EC552C"/>
    <w:rsid w:val="00EC6941"/>
    <w:rsid w:val="00ED020A"/>
    <w:rsid w:val="00ED1507"/>
    <w:rsid w:val="00ED36D8"/>
    <w:rsid w:val="00EE2446"/>
    <w:rsid w:val="00EE79C9"/>
    <w:rsid w:val="00EF28C0"/>
    <w:rsid w:val="00EF2F10"/>
    <w:rsid w:val="00EF435D"/>
    <w:rsid w:val="00EF607A"/>
    <w:rsid w:val="00EF73A4"/>
    <w:rsid w:val="00F007E4"/>
    <w:rsid w:val="00F00CA0"/>
    <w:rsid w:val="00F01C7B"/>
    <w:rsid w:val="00F024AF"/>
    <w:rsid w:val="00F05F3B"/>
    <w:rsid w:val="00F0645C"/>
    <w:rsid w:val="00F12136"/>
    <w:rsid w:val="00F13A9D"/>
    <w:rsid w:val="00F15D6F"/>
    <w:rsid w:val="00F23E3A"/>
    <w:rsid w:val="00F260B7"/>
    <w:rsid w:val="00F30D7F"/>
    <w:rsid w:val="00F31583"/>
    <w:rsid w:val="00F31A58"/>
    <w:rsid w:val="00F339B0"/>
    <w:rsid w:val="00F412E9"/>
    <w:rsid w:val="00F4180A"/>
    <w:rsid w:val="00F45891"/>
    <w:rsid w:val="00F47106"/>
    <w:rsid w:val="00F52B58"/>
    <w:rsid w:val="00F52FEA"/>
    <w:rsid w:val="00F60640"/>
    <w:rsid w:val="00F61F04"/>
    <w:rsid w:val="00F636BC"/>
    <w:rsid w:val="00F673D8"/>
    <w:rsid w:val="00F70A4A"/>
    <w:rsid w:val="00F735D5"/>
    <w:rsid w:val="00F74797"/>
    <w:rsid w:val="00F75B37"/>
    <w:rsid w:val="00F8229A"/>
    <w:rsid w:val="00F82D35"/>
    <w:rsid w:val="00F8375C"/>
    <w:rsid w:val="00F84327"/>
    <w:rsid w:val="00F85C02"/>
    <w:rsid w:val="00F85EED"/>
    <w:rsid w:val="00F8718C"/>
    <w:rsid w:val="00F90F8C"/>
    <w:rsid w:val="00F918D0"/>
    <w:rsid w:val="00F926C2"/>
    <w:rsid w:val="00F9358A"/>
    <w:rsid w:val="00F97867"/>
    <w:rsid w:val="00FA343B"/>
    <w:rsid w:val="00FA366E"/>
    <w:rsid w:val="00FA3A7D"/>
    <w:rsid w:val="00FA4DB9"/>
    <w:rsid w:val="00FA5B2A"/>
    <w:rsid w:val="00FA5D80"/>
    <w:rsid w:val="00FA710E"/>
    <w:rsid w:val="00FB1BF4"/>
    <w:rsid w:val="00FB3FC6"/>
    <w:rsid w:val="00FB4466"/>
    <w:rsid w:val="00FB5609"/>
    <w:rsid w:val="00FB6399"/>
    <w:rsid w:val="00FB7539"/>
    <w:rsid w:val="00FC1903"/>
    <w:rsid w:val="00FC65D0"/>
    <w:rsid w:val="00FC6EC3"/>
    <w:rsid w:val="00FC7892"/>
    <w:rsid w:val="00FD373E"/>
    <w:rsid w:val="00FD3B4A"/>
    <w:rsid w:val="00FD3E7D"/>
    <w:rsid w:val="00FD4746"/>
    <w:rsid w:val="00FD5488"/>
    <w:rsid w:val="00FD5D4B"/>
    <w:rsid w:val="00FE405D"/>
    <w:rsid w:val="00FE5868"/>
    <w:rsid w:val="00FF10E0"/>
    <w:rsid w:val="00FF627D"/>
    <w:rsid w:val="055B452D"/>
    <w:rsid w:val="0FDE0B88"/>
    <w:rsid w:val="3DED933E"/>
    <w:rsid w:val="3F6151BA"/>
    <w:rsid w:val="3FDF3E25"/>
    <w:rsid w:val="44E45E28"/>
    <w:rsid w:val="57FC4E4B"/>
    <w:rsid w:val="5FEE908B"/>
    <w:rsid w:val="66DB84F9"/>
    <w:rsid w:val="6BDCFDBA"/>
    <w:rsid w:val="76F24F01"/>
    <w:rsid w:val="76FF1DD5"/>
    <w:rsid w:val="7F862591"/>
    <w:rsid w:val="7FB22F79"/>
    <w:rsid w:val="9FED8A0D"/>
    <w:rsid w:val="DCF33733"/>
    <w:rsid w:val="DEF3A0B9"/>
    <w:rsid w:val="EEDF53CE"/>
    <w:rsid w:val="F7FF530C"/>
    <w:rsid w:val="FB77552F"/>
    <w:rsid w:val="FDBE8911"/>
    <w:rsid w:val="FDDBC3A8"/>
    <w:rsid w:val="FEF77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32"/>
      <w:szCs w:val="24"/>
      <w:lang w:val="en-US" w:eastAsia="zh-CN" w:bidi="ar-SA"/>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23"/>
    <w:qFormat/>
    <w:uiPriority w:val="0"/>
    <w:rPr>
      <w:rFonts w:ascii="宋体"/>
      <w:sz w:val="18"/>
      <w:szCs w:val="18"/>
    </w:rPr>
  </w:style>
  <w:style w:type="paragraph" w:styleId="3">
    <w:name w:val="annotation text"/>
    <w:basedOn w:val="1"/>
    <w:link w:val="27"/>
    <w:qFormat/>
    <w:uiPriority w:val="0"/>
    <w:pPr>
      <w:jc w:val="left"/>
    </w:pPr>
  </w:style>
  <w:style w:type="paragraph" w:styleId="4">
    <w:name w:val="Date"/>
    <w:basedOn w:val="1"/>
    <w:next w:val="1"/>
    <w:link w:val="26"/>
    <w:qFormat/>
    <w:uiPriority w:val="0"/>
    <w:pPr>
      <w:ind w:left="100" w:leftChars="2500"/>
    </w:pPr>
  </w:style>
  <w:style w:type="paragraph" w:styleId="5">
    <w:name w:val="Balloon Text"/>
    <w:basedOn w:val="1"/>
    <w:link w:val="22"/>
    <w:qFormat/>
    <w:uiPriority w:val="0"/>
    <w:rPr>
      <w:sz w:val="18"/>
      <w:szCs w:val="18"/>
    </w:rPr>
  </w:style>
  <w:style w:type="paragraph" w:styleId="6">
    <w:name w:val="footer"/>
    <w:basedOn w:val="1"/>
    <w:link w:val="21"/>
    <w:qFormat/>
    <w:uiPriority w:val="99"/>
    <w:pPr>
      <w:tabs>
        <w:tab w:val="center" w:pos="4153"/>
        <w:tab w:val="right" w:pos="8306"/>
      </w:tabs>
      <w:snapToGrid w:val="0"/>
      <w:jc w:val="left"/>
    </w:pPr>
    <w:rPr>
      <w:sz w:val="18"/>
      <w:szCs w:val="18"/>
    </w:rPr>
  </w:style>
  <w:style w:type="paragraph" w:styleId="7">
    <w:name w:val="header"/>
    <w:basedOn w:val="1"/>
    <w:link w:val="20"/>
    <w:qFormat/>
    <w:uiPriority w:val="99"/>
    <w:pPr>
      <w:pBdr>
        <w:bottom w:val="single" w:color="auto" w:sz="6" w:space="1"/>
      </w:pBdr>
      <w:tabs>
        <w:tab w:val="center" w:pos="4153"/>
        <w:tab w:val="right" w:pos="8306"/>
      </w:tabs>
      <w:snapToGrid w:val="0"/>
      <w:jc w:val="center"/>
    </w:pPr>
    <w:rPr>
      <w:sz w:val="18"/>
      <w:szCs w:val="18"/>
    </w:rPr>
  </w:style>
  <w:style w:type="paragraph" w:styleId="8">
    <w:name w:val="List"/>
    <w:basedOn w:val="1"/>
    <w:qFormat/>
    <w:uiPriority w:val="0"/>
    <w:pPr>
      <w:ind w:left="200" w:hanging="200" w:hangingChars="200"/>
      <w:contextualSpacing/>
    </w:pPr>
  </w:style>
  <w:style w:type="paragraph" w:styleId="9">
    <w:name w:val="footnote text"/>
    <w:basedOn w:val="1"/>
    <w:link w:val="25"/>
    <w:unhideWhenUsed/>
    <w:qFormat/>
    <w:uiPriority w:val="99"/>
    <w:pPr>
      <w:snapToGrid w:val="0"/>
      <w:jc w:val="left"/>
    </w:pPr>
    <w:rPr>
      <w:sz w:val="18"/>
      <w:szCs w:val="18"/>
    </w:rPr>
  </w:style>
  <w:style w:type="paragraph" w:styleId="10">
    <w:name w:val="annotation subject"/>
    <w:basedOn w:val="3"/>
    <w:next w:val="3"/>
    <w:link w:val="28"/>
    <w:qFormat/>
    <w:uiPriority w:val="0"/>
    <w:rPr>
      <w:b/>
      <w:bCs/>
    </w:rPr>
  </w:style>
  <w:style w:type="character" w:styleId="13">
    <w:name w:val="page number"/>
    <w:qFormat/>
    <w:uiPriority w:val="0"/>
  </w:style>
  <w:style w:type="character" w:styleId="14">
    <w:name w:val="Hyperlink"/>
    <w:basedOn w:val="12"/>
    <w:unhideWhenUsed/>
    <w:qFormat/>
    <w:uiPriority w:val="0"/>
    <w:rPr>
      <w:color w:val="0000FF"/>
      <w:u w:val="single"/>
    </w:rPr>
  </w:style>
  <w:style w:type="character" w:styleId="15">
    <w:name w:val="annotation reference"/>
    <w:qFormat/>
    <w:uiPriority w:val="0"/>
    <w:rPr>
      <w:sz w:val="21"/>
      <w:szCs w:val="21"/>
    </w:rPr>
  </w:style>
  <w:style w:type="character" w:styleId="16">
    <w:name w:val="footnote reference"/>
    <w:unhideWhenUsed/>
    <w:qFormat/>
    <w:uiPriority w:val="99"/>
    <w:rPr>
      <w:vertAlign w:val="superscript"/>
    </w:rPr>
  </w:style>
  <w:style w:type="paragraph" w:customStyle="1" w:styleId="17">
    <w:name w:val="样式 列表 + 居中"/>
    <w:basedOn w:val="8"/>
    <w:qFormat/>
    <w:uiPriority w:val="0"/>
    <w:pPr>
      <w:spacing w:line="300" w:lineRule="auto"/>
      <w:ind w:left="0" w:firstLine="0" w:firstLineChars="0"/>
      <w:jc w:val="center"/>
    </w:pPr>
    <w:rPr>
      <w:szCs w:val="21"/>
    </w:rPr>
  </w:style>
  <w:style w:type="paragraph" w:customStyle="1" w:styleId="18">
    <w:name w:val="列出段落1"/>
    <w:basedOn w:val="1"/>
    <w:qFormat/>
    <w:uiPriority w:val="34"/>
    <w:pPr>
      <w:ind w:firstLine="420" w:firstLineChars="200"/>
    </w:pPr>
  </w:style>
  <w:style w:type="paragraph" w:customStyle="1" w:styleId="19">
    <w:name w:val="修订1"/>
    <w:hidden/>
    <w:semiHidden/>
    <w:qFormat/>
    <w:uiPriority w:val="99"/>
    <w:rPr>
      <w:rFonts w:ascii="Times New Roman" w:hAnsi="Times New Roman" w:eastAsia="仿宋" w:cs="Times New Roman"/>
      <w:kern w:val="2"/>
      <w:sz w:val="32"/>
      <w:szCs w:val="24"/>
      <w:lang w:val="en-US" w:eastAsia="zh-CN" w:bidi="ar-SA"/>
    </w:rPr>
  </w:style>
  <w:style w:type="character" w:customStyle="1" w:styleId="20">
    <w:name w:val="页眉 Char"/>
    <w:link w:val="7"/>
    <w:qFormat/>
    <w:uiPriority w:val="99"/>
    <w:rPr>
      <w:kern w:val="2"/>
      <w:sz w:val="18"/>
      <w:szCs w:val="18"/>
    </w:rPr>
  </w:style>
  <w:style w:type="character" w:customStyle="1" w:styleId="21">
    <w:name w:val="页脚 Char"/>
    <w:link w:val="6"/>
    <w:qFormat/>
    <w:uiPriority w:val="99"/>
    <w:rPr>
      <w:kern w:val="2"/>
      <w:sz w:val="18"/>
      <w:szCs w:val="18"/>
    </w:rPr>
  </w:style>
  <w:style w:type="character" w:customStyle="1" w:styleId="22">
    <w:name w:val="批注框文本 Char"/>
    <w:link w:val="5"/>
    <w:qFormat/>
    <w:uiPriority w:val="0"/>
    <w:rPr>
      <w:kern w:val="2"/>
      <w:sz w:val="18"/>
      <w:szCs w:val="18"/>
    </w:rPr>
  </w:style>
  <w:style w:type="character" w:customStyle="1" w:styleId="23">
    <w:name w:val="文档结构图 Char"/>
    <w:link w:val="2"/>
    <w:qFormat/>
    <w:uiPriority w:val="0"/>
    <w:rPr>
      <w:rFonts w:ascii="宋体"/>
      <w:kern w:val="2"/>
      <w:sz w:val="18"/>
      <w:szCs w:val="18"/>
    </w:rPr>
  </w:style>
  <w:style w:type="character" w:customStyle="1" w:styleId="24">
    <w:name w:val="占位符文本1"/>
    <w:semiHidden/>
    <w:qFormat/>
    <w:uiPriority w:val="99"/>
    <w:rPr>
      <w:color w:val="808080"/>
    </w:rPr>
  </w:style>
  <w:style w:type="character" w:customStyle="1" w:styleId="25">
    <w:name w:val="脚注文本 Char"/>
    <w:link w:val="9"/>
    <w:qFormat/>
    <w:uiPriority w:val="99"/>
    <w:rPr>
      <w:kern w:val="2"/>
      <w:sz w:val="18"/>
      <w:szCs w:val="18"/>
    </w:rPr>
  </w:style>
  <w:style w:type="character" w:customStyle="1" w:styleId="26">
    <w:name w:val="日期 Char"/>
    <w:link w:val="4"/>
    <w:qFormat/>
    <w:uiPriority w:val="0"/>
    <w:rPr>
      <w:kern w:val="2"/>
      <w:sz w:val="21"/>
      <w:szCs w:val="24"/>
    </w:rPr>
  </w:style>
  <w:style w:type="character" w:customStyle="1" w:styleId="27">
    <w:name w:val="批注文字 Char"/>
    <w:link w:val="3"/>
    <w:qFormat/>
    <w:uiPriority w:val="0"/>
    <w:rPr>
      <w:rFonts w:eastAsia="仿宋"/>
      <w:kern w:val="2"/>
      <w:sz w:val="32"/>
      <w:szCs w:val="24"/>
    </w:rPr>
  </w:style>
  <w:style w:type="character" w:customStyle="1" w:styleId="28">
    <w:name w:val="批注主题 Char"/>
    <w:link w:val="10"/>
    <w:qFormat/>
    <w:uiPriority w:val="0"/>
    <w:rPr>
      <w:rFonts w:eastAsia="仿宋"/>
      <w:b/>
      <w:bCs/>
      <w:kern w:val="2"/>
      <w:sz w:val="32"/>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2837</Words>
  <Characters>2868</Characters>
  <Lines>23</Lines>
  <Paragraphs>6</Paragraphs>
  <TotalTime>90</TotalTime>
  <ScaleCrop>false</ScaleCrop>
  <LinksUpToDate>false</LinksUpToDate>
  <CharactersWithSpaces>2868</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2022-08-22T02:03:00Z</dcterms:created>
  <dc:creator>bse</dc:creator>
  <cp:lastModifiedBy>mawx</cp:lastModifiedBy>
  <cp:lastPrinted>2023-09-02T08:57:00Z</cp:lastPrinted>
  <dcterms:modified xsi:type="dcterms:W3CDTF">2024-09-25T19:00:16Z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0x010100277BE70400348A4D8EEC7D959D14FCE9</vt:lpwstr>
  </property>
  <property fmtid="{D5CDD505-2E9C-101B-9397-08002B2CF9AE}" pid="3" name="Title">
    <vt:lpwstr/>
  </property>
  <property fmtid="{D5CDD505-2E9C-101B-9397-08002B2CF9AE}" pid="4" name="KSOProductBuildVer">
    <vt:lpwstr>2052-11.8.2.10422</vt:lpwstr>
  </property>
</Properties>
</file>