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70" w:lineRule="exact"/>
        <w:jc w:val="both"/>
        <w:rPr>
          <w:rFonts w:ascii="Times New Roman" w:hAnsi="Times New Roman" w:eastAsia="方正大标宋简体"/>
          <w:sz w:val="44"/>
          <w:szCs w:val="44"/>
        </w:rPr>
      </w:pPr>
    </w:p>
    <w:p>
      <w:pPr>
        <w:spacing w:line="570" w:lineRule="exact"/>
        <w:jc w:val="center"/>
        <w:outlineLvl w:val="0"/>
        <w:rPr>
          <w:rFonts w:ascii="Times New Roman" w:hAnsi="Times New Roman" w:eastAsia="方正大标宋简体"/>
          <w:sz w:val="44"/>
          <w:szCs w:val="44"/>
        </w:rPr>
      </w:pPr>
      <w:r>
        <w:rPr>
          <w:rFonts w:hint="eastAsia" w:ascii="Times New Roman" w:hAnsi="Times New Roman" w:eastAsia="方正大标宋简体"/>
          <w:sz w:val="44"/>
          <w:szCs w:val="44"/>
        </w:rPr>
        <w:t>关于进一步优化债券购回业务</w:t>
      </w:r>
    </w:p>
    <w:p>
      <w:pPr>
        <w:spacing w:line="570" w:lineRule="exact"/>
        <w:jc w:val="center"/>
        <w:rPr>
          <w:rFonts w:ascii="方正大标宋简体" w:hAnsi="宋体" w:eastAsia="方正大标宋简体"/>
          <w:color w:val="000000"/>
          <w:sz w:val="44"/>
          <w:szCs w:val="44"/>
        </w:rPr>
      </w:pPr>
      <w:r>
        <w:rPr>
          <w:rFonts w:hint="eastAsia" w:ascii="Times New Roman" w:hAnsi="Times New Roman" w:eastAsia="方正大标宋简体"/>
          <w:sz w:val="44"/>
          <w:szCs w:val="44"/>
        </w:rPr>
        <w:t>有关事项的通知</w:t>
      </w:r>
    </w:p>
    <w:p>
      <w:pPr>
        <w:spacing w:line="570" w:lineRule="exact"/>
        <w:ind w:firstLine="612"/>
        <w:rPr>
          <w:rFonts w:ascii="Times New Roman" w:hAnsi="Times New Roman" w:eastAsia="方正仿宋简体"/>
          <w:sz w:val="30"/>
          <w:szCs w:val="30"/>
        </w:rPr>
      </w:pPr>
    </w:p>
    <w:p>
      <w:pPr>
        <w:spacing w:line="570" w:lineRule="exact"/>
        <w:rPr>
          <w:rFonts w:ascii="Times New Roman" w:hAnsi="Times New Roman" w:eastAsia="仿宋"/>
          <w:sz w:val="32"/>
          <w:szCs w:val="32"/>
        </w:rPr>
      </w:pPr>
      <w:r>
        <w:rPr>
          <w:rFonts w:ascii="Times New Roman" w:hAnsi="Times New Roman" w:eastAsia="仿宋"/>
          <w:sz w:val="32"/>
          <w:szCs w:val="32"/>
        </w:rPr>
        <w:t>各市场参与人：</w:t>
      </w:r>
    </w:p>
    <w:p>
      <w:pPr>
        <w:spacing w:line="570" w:lineRule="exact"/>
        <w:ind w:firstLine="640" w:firstLineChars="200"/>
        <w:rPr>
          <w:rFonts w:ascii="Times New Roman" w:hAnsi="Times New Roman" w:eastAsia="仿宋"/>
          <w:sz w:val="32"/>
          <w:szCs w:val="32"/>
        </w:rPr>
      </w:pPr>
      <w:r>
        <w:rPr>
          <w:rFonts w:ascii="Times New Roman" w:hAnsi="Times New Roman" w:eastAsia="仿宋"/>
          <w:sz w:val="32"/>
          <w:szCs w:val="32"/>
        </w:rPr>
        <w:t>为了进一步优化和规范北京证券交易所（以下简称本所）公司债券（含企业债券）购回业务，丰富债务管理工具，促进通过市场化、法治化、多元化方式优化公司债务结构、化解公司债券信用风险，保护投资者合法权益，现将有关事项通知如下：</w:t>
      </w:r>
    </w:p>
    <w:p>
      <w:pPr>
        <w:spacing w:line="570" w:lineRule="exact"/>
        <w:ind w:firstLine="640" w:firstLineChars="200"/>
        <w:rPr>
          <w:rFonts w:ascii="Times New Roman" w:hAnsi="Times New Roman" w:eastAsia="仿宋"/>
          <w:sz w:val="32"/>
          <w:szCs w:val="32"/>
        </w:rPr>
      </w:pPr>
      <w:r>
        <w:rPr>
          <w:rFonts w:ascii="Times New Roman" w:hAnsi="Times New Roman" w:eastAsia="仿宋"/>
          <w:sz w:val="32"/>
          <w:szCs w:val="32"/>
        </w:rPr>
        <w:t>一、本通知所称债券购回，是指购回方通过要约、二级市场交易的方式，以现金购回发行人在本所上市挂牌的存量公司债券（以下简称标的债券）。</w:t>
      </w:r>
    </w:p>
    <w:p>
      <w:pPr>
        <w:spacing w:line="570" w:lineRule="exact"/>
        <w:ind w:firstLine="640" w:firstLineChars="200"/>
        <w:rPr>
          <w:rFonts w:ascii="Times New Roman" w:hAnsi="Times New Roman" w:eastAsia="仿宋"/>
          <w:sz w:val="32"/>
          <w:szCs w:val="32"/>
        </w:rPr>
      </w:pPr>
      <w:r>
        <w:rPr>
          <w:rFonts w:ascii="Times New Roman" w:hAnsi="Times New Roman" w:eastAsia="仿宋"/>
          <w:sz w:val="32"/>
          <w:szCs w:val="32"/>
        </w:rPr>
        <w:t>资产支持证券的购回参照适用本通知。</w:t>
      </w:r>
    </w:p>
    <w:p>
      <w:pPr>
        <w:spacing w:line="570" w:lineRule="exact"/>
        <w:ind w:firstLine="640" w:firstLineChars="200"/>
        <w:rPr>
          <w:rFonts w:ascii="Times New Roman" w:hAnsi="Times New Roman" w:eastAsia="仿宋"/>
          <w:sz w:val="32"/>
          <w:szCs w:val="32"/>
        </w:rPr>
      </w:pPr>
      <w:r>
        <w:rPr>
          <w:rFonts w:ascii="Times New Roman" w:hAnsi="Times New Roman" w:eastAsia="仿宋"/>
          <w:sz w:val="32"/>
          <w:szCs w:val="32"/>
        </w:rPr>
        <w:t>本所上市公司发行的可转换公司债券的债券购回，不适用本通知。</w:t>
      </w:r>
    </w:p>
    <w:p>
      <w:pPr>
        <w:spacing w:line="570" w:lineRule="exact"/>
        <w:ind w:firstLine="640" w:firstLineChars="200"/>
        <w:rPr>
          <w:rFonts w:ascii="Times New Roman" w:hAnsi="Times New Roman" w:eastAsia="仿宋"/>
          <w:sz w:val="32"/>
          <w:szCs w:val="32"/>
        </w:rPr>
      </w:pPr>
      <w:r>
        <w:rPr>
          <w:rFonts w:ascii="Times New Roman" w:hAnsi="Times New Roman" w:eastAsia="仿宋"/>
          <w:sz w:val="32"/>
          <w:szCs w:val="32"/>
        </w:rPr>
        <w:t>二、通过要约方式购回公司债券（以下简称要约购回）的购回方包括发行人及其关联方以及第三方。</w:t>
      </w:r>
    </w:p>
    <w:p>
      <w:pPr>
        <w:spacing w:line="570" w:lineRule="exact"/>
        <w:ind w:firstLine="640" w:firstLineChars="200"/>
        <w:rPr>
          <w:rFonts w:ascii="Times New Roman" w:hAnsi="Times New Roman" w:eastAsia="仿宋"/>
          <w:sz w:val="32"/>
          <w:szCs w:val="32"/>
        </w:rPr>
      </w:pPr>
      <w:r>
        <w:rPr>
          <w:rFonts w:ascii="Times New Roman" w:hAnsi="Times New Roman" w:eastAsia="仿宋"/>
          <w:sz w:val="32"/>
          <w:szCs w:val="32"/>
        </w:rPr>
        <w:t>通过二级市场交易方式购回公司债券（以下简称交易购回）的购回方包括发行人及其关联方。</w:t>
      </w:r>
    </w:p>
    <w:p>
      <w:pPr>
        <w:spacing w:line="570" w:lineRule="exact"/>
        <w:ind w:firstLine="640" w:firstLineChars="200"/>
        <w:rPr>
          <w:rFonts w:ascii="Times New Roman" w:hAnsi="Times New Roman" w:eastAsia="仿宋"/>
          <w:sz w:val="32"/>
          <w:szCs w:val="32"/>
        </w:rPr>
      </w:pPr>
      <w:r>
        <w:rPr>
          <w:rFonts w:ascii="Times New Roman" w:hAnsi="Times New Roman" w:eastAsia="仿宋"/>
          <w:sz w:val="32"/>
          <w:szCs w:val="32"/>
        </w:rPr>
        <w:t>本通知所称关联方按照《企业会计准则第36号——关联方披露》确定。</w:t>
      </w:r>
    </w:p>
    <w:p>
      <w:pPr>
        <w:spacing w:line="570" w:lineRule="exact"/>
        <w:ind w:firstLine="640" w:firstLineChars="200"/>
        <w:rPr>
          <w:rFonts w:ascii="Times New Roman" w:hAnsi="Times New Roman" w:eastAsia="仿宋"/>
          <w:sz w:val="32"/>
          <w:szCs w:val="32"/>
        </w:rPr>
      </w:pPr>
      <w:r>
        <w:rPr>
          <w:rFonts w:ascii="Times New Roman" w:hAnsi="Times New Roman" w:eastAsia="仿宋"/>
          <w:sz w:val="32"/>
          <w:szCs w:val="32"/>
        </w:rPr>
        <w:t>三、发行人、购回方、债券持有人、受托管理人、购回财务顾问（如有）等债券购回业务各参与人（以下合称购回业务参与主体）应当按照平等、自愿、公平、合理的原则参与债券购回业务，自行承担相应风险，确保所出具或者提供的材料真实、准确、完整，并配合其他购回业务参与主体履行相关职责。</w:t>
      </w:r>
    </w:p>
    <w:p>
      <w:pPr>
        <w:spacing w:line="570" w:lineRule="exact"/>
        <w:ind w:firstLine="640" w:firstLineChars="200"/>
        <w:rPr>
          <w:rFonts w:ascii="Times New Roman" w:hAnsi="Times New Roman" w:eastAsia="仿宋"/>
          <w:sz w:val="32"/>
          <w:szCs w:val="32"/>
        </w:rPr>
      </w:pPr>
      <w:r>
        <w:rPr>
          <w:rFonts w:ascii="Times New Roman" w:hAnsi="Times New Roman" w:eastAsia="仿宋"/>
          <w:sz w:val="32"/>
          <w:szCs w:val="32"/>
        </w:rPr>
        <w:t>购回业务参与主体应当根据相关规定和约定履行必要的内部决策程序，严格做好内幕信息管理，不得利用债券购回业务从事内幕交易、利益输送、操纵市场等违法违规活动，不得损害债券持有人合法权益。</w:t>
      </w:r>
    </w:p>
    <w:p>
      <w:pPr>
        <w:spacing w:line="570" w:lineRule="exact"/>
        <w:ind w:firstLine="640" w:firstLineChars="200"/>
        <w:rPr>
          <w:rFonts w:ascii="Times New Roman" w:hAnsi="Times New Roman" w:eastAsia="仿宋"/>
          <w:sz w:val="32"/>
          <w:szCs w:val="32"/>
        </w:rPr>
      </w:pPr>
      <w:r>
        <w:rPr>
          <w:rFonts w:ascii="Times New Roman" w:hAnsi="Times New Roman" w:eastAsia="仿宋"/>
          <w:sz w:val="32"/>
          <w:szCs w:val="32"/>
        </w:rPr>
        <w:t>四、购回方实施要约购回的，购回要约发出、购回单价或者定价方式、购回比例、购回实施安排等事项，应当符合《北京证券交易所公司债券存续期监管业务指引第3号——信用风险管理》（以下简称《债券信用风险管理指引》）第六十六条的有关规定，但本通知另有规定的除外。</w:t>
      </w:r>
    </w:p>
    <w:p>
      <w:pPr>
        <w:spacing w:line="570" w:lineRule="exact"/>
        <w:ind w:firstLine="640" w:firstLineChars="200"/>
        <w:rPr>
          <w:rFonts w:ascii="Times New Roman" w:hAnsi="Times New Roman" w:eastAsia="仿宋"/>
          <w:sz w:val="32"/>
          <w:szCs w:val="32"/>
        </w:rPr>
      </w:pPr>
      <w:r>
        <w:rPr>
          <w:rFonts w:ascii="Times New Roman" w:hAnsi="Times New Roman" w:eastAsia="仿宋"/>
          <w:sz w:val="32"/>
          <w:szCs w:val="32"/>
        </w:rPr>
        <w:t>购回方为债务风险处置需要制定债务重组方案并实施要约购回的（以下简称债务重组类要约购回），可以在公平合理的基础上，根据债券持有人会议对债务重组方案的市场化协商结果，或者依据破产和解协议、破产重整计划等开展差异化要约购回，</w:t>
      </w:r>
      <w:bookmarkStart w:id="0" w:name="OLE_LINK1"/>
      <w:r>
        <w:rPr>
          <w:rFonts w:ascii="Times New Roman" w:hAnsi="Times New Roman" w:eastAsia="仿宋"/>
          <w:sz w:val="32"/>
          <w:szCs w:val="32"/>
        </w:rPr>
        <w:t>对不同债券购回实施顺序、购回定价机制、购回比例等进行差异化安排。</w:t>
      </w:r>
      <w:bookmarkEnd w:id="0"/>
    </w:p>
    <w:p>
      <w:pPr>
        <w:spacing w:line="570" w:lineRule="exact"/>
        <w:ind w:firstLine="640" w:firstLineChars="200"/>
        <w:rPr>
          <w:rFonts w:ascii="Times New Roman" w:hAnsi="Times New Roman" w:eastAsia="仿宋"/>
          <w:sz w:val="32"/>
          <w:szCs w:val="32"/>
        </w:rPr>
      </w:pPr>
      <w:r>
        <w:rPr>
          <w:rFonts w:ascii="Times New Roman" w:hAnsi="Times New Roman" w:eastAsia="仿宋"/>
          <w:sz w:val="32"/>
          <w:szCs w:val="32"/>
        </w:rPr>
        <w:t>购回方可以聘请购回财务顾问，协助购回方实施要约购回业务。</w:t>
      </w:r>
    </w:p>
    <w:p>
      <w:pPr>
        <w:spacing w:line="570" w:lineRule="exact"/>
        <w:ind w:firstLine="640" w:firstLineChars="200"/>
        <w:rPr>
          <w:rFonts w:ascii="Times New Roman" w:hAnsi="Times New Roman" w:eastAsia="仿宋"/>
          <w:sz w:val="32"/>
          <w:szCs w:val="32"/>
        </w:rPr>
      </w:pPr>
      <w:r>
        <w:rPr>
          <w:rFonts w:ascii="Times New Roman" w:hAnsi="Times New Roman" w:eastAsia="仿宋"/>
          <w:sz w:val="32"/>
          <w:szCs w:val="32"/>
        </w:rPr>
        <w:t>五、公司债券交易价格出现下列情形之一的，购回方为平抑市场波动、提振市场信心，可以通过二级市场交易方式购回相关债券：</w:t>
      </w:r>
    </w:p>
    <w:p>
      <w:pPr>
        <w:spacing w:line="570" w:lineRule="exact"/>
        <w:ind w:firstLine="640" w:firstLineChars="200"/>
        <w:rPr>
          <w:rFonts w:ascii="Times New Roman" w:hAnsi="Times New Roman" w:eastAsia="仿宋"/>
          <w:sz w:val="32"/>
          <w:szCs w:val="32"/>
        </w:rPr>
      </w:pPr>
      <w:r>
        <w:rPr>
          <w:rFonts w:ascii="Times New Roman" w:hAnsi="Times New Roman" w:eastAsia="仿宋"/>
          <w:sz w:val="32"/>
          <w:szCs w:val="32"/>
        </w:rPr>
        <w:t>（一）债券收盘价较此前第20个交易日当日收盘价跌幅达到5%；</w:t>
      </w:r>
    </w:p>
    <w:p>
      <w:pPr>
        <w:spacing w:line="570" w:lineRule="exact"/>
        <w:ind w:firstLine="640" w:firstLineChars="200"/>
        <w:rPr>
          <w:rFonts w:ascii="Times New Roman" w:hAnsi="Times New Roman" w:eastAsia="仿宋"/>
          <w:sz w:val="32"/>
          <w:szCs w:val="32"/>
        </w:rPr>
      </w:pPr>
      <w:r>
        <w:rPr>
          <w:rFonts w:ascii="Times New Roman" w:hAnsi="Times New Roman" w:eastAsia="仿宋"/>
          <w:sz w:val="32"/>
          <w:szCs w:val="32"/>
        </w:rPr>
        <w:t>（二）债券收盘价较最近一年债券最高收盘价跌幅达到10%；</w:t>
      </w:r>
    </w:p>
    <w:p>
      <w:pPr>
        <w:spacing w:line="570" w:lineRule="exact"/>
        <w:ind w:firstLine="640" w:firstLineChars="200"/>
        <w:rPr>
          <w:rFonts w:ascii="Times New Roman" w:hAnsi="Times New Roman" w:eastAsia="仿宋"/>
          <w:sz w:val="32"/>
          <w:szCs w:val="32"/>
        </w:rPr>
      </w:pPr>
      <w:r>
        <w:rPr>
          <w:rFonts w:ascii="Times New Roman" w:hAnsi="Times New Roman" w:eastAsia="仿宋"/>
          <w:sz w:val="32"/>
          <w:szCs w:val="32"/>
        </w:rPr>
        <w:t>（三）债券收盘价低于债券面值5%以上；</w:t>
      </w:r>
    </w:p>
    <w:p>
      <w:pPr>
        <w:spacing w:line="570" w:lineRule="exact"/>
        <w:ind w:firstLine="640" w:firstLineChars="200"/>
        <w:rPr>
          <w:rFonts w:ascii="Times New Roman" w:hAnsi="Times New Roman" w:eastAsia="仿宋"/>
          <w:sz w:val="32"/>
          <w:szCs w:val="32"/>
        </w:rPr>
      </w:pPr>
      <w:r>
        <w:rPr>
          <w:rFonts w:ascii="Times New Roman" w:hAnsi="Times New Roman" w:eastAsia="仿宋"/>
          <w:sz w:val="32"/>
          <w:szCs w:val="32"/>
        </w:rPr>
        <w:t>（四）购回方有合理理由认为债券价格偏离合理估值的其他情形。</w:t>
      </w:r>
    </w:p>
    <w:p>
      <w:pPr>
        <w:spacing w:line="570" w:lineRule="exact"/>
        <w:ind w:firstLine="640" w:firstLineChars="200"/>
        <w:rPr>
          <w:rFonts w:ascii="Times New Roman" w:hAnsi="Times New Roman" w:eastAsia="仿宋"/>
          <w:sz w:val="32"/>
          <w:szCs w:val="32"/>
        </w:rPr>
      </w:pPr>
      <w:r>
        <w:rPr>
          <w:rFonts w:ascii="Times New Roman" w:hAnsi="Times New Roman" w:eastAsia="仿宋"/>
          <w:sz w:val="32"/>
          <w:szCs w:val="32"/>
        </w:rPr>
        <w:t>多只公司债券同时出现前款规定情形的，购回方可以结合相关债券交易活跃度、债券价格波动程度等情况，在公平合理的基础上，确定交易购回的不同安排。</w:t>
      </w:r>
    </w:p>
    <w:p>
      <w:pPr>
        <w:spacing w:line="570" w:lineRule="exact"/>
        <w:ind w:firstLine="640" w:firstLineChars="200"/>
        <w:rPr>
          <w:rFonts w:ascii="Times New Roman" w:hAnsi="Times New Roman" w:eastAsia="仿宋"/>
          <w:sz w:val="32"/>
          <w:szCs w:val="32"/>
        </w:rPr>
      </w:pPr>
      <w:r>
        <w:rPr>
          <w:rFonts w:ascii="Times New Roman" w:hAnsi="Times New Roman" w:eastAsia="仿宋"/>
          <w:sz w:val="32"/>
          <w:szCs w:val="32"/>
        </w:rPr>
        <w:t>购回方实施交易购回的，应当采用匹配成交、点击成交或者竞买成交的方式。</w:t>
      </w:r>
    </w:p>
    <w:p>
      <w:pPr>
        <w:numPr>
          <w:ilvl w:val="255"/>
          <w:numId w:val="0"/>
        </w:numPr>
        <w:spacing w:line="570" w:lineRule="exact"/>
        <w:ind w:firstLine="640" w:firstLineChars="200"/>
        <w:rPr>
          <w:rFonts w:ascii="Times New Roman" w:hAnsi="Times New Roman" w:eastAsia="仿宋"/>
          <w:sz w:val="32"/>
          <w:szCs w:val="32"/>
        </w:rPr>
      </w:pPr>
      <w:r>
        <w:rPr>
          <w:rFonts w:ascii="Times New Roman" w:hAnsi="Times New Roman" w:eastAsia="仿宋"/>
          <w:sz w:val="32"/>
          <w:szCs w:val="32"/>
        </w:rPr>
        <w:t>六、参与债券购回的标的债券持有人应当确保持有的债券份额不存在质押、冻结等权利受限情形。</w:t>
      </w:r>
    </w:p>
    <w:p>
      <w:pPr>
        <w:spacing w:line="570" w:lineRule="exact"/>
        <w:ind w:firstLine="640" w:firstLineChars="200"/>
        <w:rPr>
          <w:rFonts w:ascii="Times New Roman" w:hAnsi="Times New Roman" w:eastAsia="仿宋"/>
          <w:sz w:val="32"/>
          <w:szCs w:val="32"/>
        </w:rPr>
      </w:pPr>
      <w:r>
        <w:rPr>
          <w:rFonts w:ascii="Times New Roman" w:hAnsi="Times New Roman" w:eastAsia="仿宋"/>
          <w:sz w:val="32"/>
          <w:szCs w:val="32"/>
        </w:rPr>
        <w:t>标的债券份额处于申报要约购回状态的，相应标的债券持有人不得转让相关债券份额。</w:t>
      </w:r>
    </w:p>
    <w:p>
      <w:pPr>
        <w:spacing w:line="570" w:lineRule="exact"/>
        <w:ind w:firstLine="640" w:firstLineChars="200"/>
        <w:rPr>
          <w:rFonts w:ascii="Times New Roman" w:hAnsi="Times New Roman" w:eastAsia="仿宋"/>
          <w:sz w:val="32"/>
          <w:szCs w:val="32"/>
        </w:rPr>
      </w:pPr>
      <w:r>
        <w:rPr>
          <w:rFonts w:ascii="Times New Roman" w:hAnsi="Times New Roman" w:eastAsia="仿宋"/>
          <w:sz w:val="32"/>
          <w:szCs w:val="32"/>
        </w:rPr>
        <w:t>七、购回方不得在下列期间开展债券购回业务：</w:t>
      </w:r>
    </w:p>
    <w:p>
      <w:pPr>
        <w:spacing w:line="570" w:lineRule="exact"/>
        <w:ind w:firstLine="640" w:firstLineChars="200"/>
        <w:rPr>
          <w:rFonts w:ascii="Times New Roman" w:hAnsi="Times New Roman" w:eastAsia="仿宋"/>
          <w:sz w:val="32"/>
          <w:szCs w:val="32"/>
        </w:rPr>
      </w:pPr>
      <w:r>
        <w:rPr>
          <w:rFonts w:ascii="Times New Roman" w:hAnsi="Times New Roman" w:eastAsia="仿宋"/>
          <w:sz w:val="32"/>
          <w:szCs w:val="32"/>
        </w:rPr>
        <w:t>（一）发行人定期报告、业绩预告或者业绩快报（如有）披露前10个交易日内；</w:t>
      </w:r>
    </w:p>
    <w:p>
      <w:pPr>
        <w:numPr>
          <w:ilvl w:val="255"/>
          <w:numId w:val="0"/>
        </w:numPr>
        <w:spacing w:line="570" w:lineRule="exact"/>
        <w:ind w:firstLine="640" w:firstLineChars="200"/>
        <w:rPr>
          <w:rFonts w:ascii="Times New Roman" w:hAnsi="Times New Roman" w:eastAsia="仿宋"/>
          <w:sz w:val="32"/>
          <w:szCs w:val="32"/>
        </w:rPr>
      </w:pPr>
      <w:r>
        <w:rPr>
          <w:rFonts w:ascii="Times New Roman" w:hAnsi="Times New Roman" w:eastAsia="仿宋"/>
          <w:sz w:val="32"/>
          <w:szCs w:val="32"/>
        </w:rPr>
        <w:t>（二）可能对发行人债务重组、偿债能力等产生重大影响的事项发生之日至披露后的2个交易日内；</w:t>
      </w:r>
    </w:p>
    <w:p>
      <w:pPr>
        <w:spacing w:line="570" w:lineRule="exact"/>
        <w:ind w:firstLine="640" w:firstLineChars="200"/>
        <w:rPr>
          <w:rFonts w:ascii="Times New Roman" w:hAnsi="Times New Roman" w:eastAsia="仿宋"/>
          <w:sz w:val="32"/>
          <w:szCs w:val="32"/>
        </w:rPr>
      </w:pPr>
      <w:r>
        <w:rPr>
          <w:rFonts w:ascii="Times New Roman" w:hAnsi="Times New Roman" w:eastAsia="仿宋"/>
          <w:sz w:val="32"/>
          <w:szCs w:val="32"/>
        </w:rPr>
        <w:t>（三）法律法规、本所业务规则等规定的其他期间。</w:t>
      </w:r>
    </w:p>
    <w:p>
      <w:pPr>
        <w:spacing w:line="570" w:lineRule="exact"/>
        <w:ind w:firstLine="640" w:firstLineChars="200"/>
        <w:rPr>
          <w:rFonts w:ascii="Times New Roman" w:hAnsi="Times New Roman" w:eastAsia="仿宋"/>
          <w:sz w:val="32"/>
          <w:szCs w:val="32"/>
        </w:rPr>
      </w:pPr>
      <w:r>
        <w:rPr>
          <w:rFonts w:ascii="Times New Roman" w:hAnsi="Times New Roman" w:eastAsia="仿宋"/>
          <w:sz w:val="32"/>
          <w:szCs w:val="32"/>
        </w:rPr>
        <w:t>标的债券还本付息日前的1个月内，购回方不得开展交易购回。</w:t>
      </w:r>
    </w:p>
    <w:p>
      <w:pPr>
        <w:spacing w:line="570" w:lineRule="exact"/>
        <w:ind w:firstLine="640" w:firstLineChars="200"/>
        <w:rPr>
          <w:rFonts w:ascii="Times New Roman" w:hAnsi="Times New Roman" w:eastAsia="仿宋"/>
          <w:sz w:val="32"/>
          <w:szCs w:val="32"/>
        </w:rPr>
      </w:pPr>
      <w:r>
        <w:rPr>
          <w:rFonts w:ascii="Times New Roman" w:hAnsi="Times New Roman" w:eastAsia="仿宋"/>
          <w:sz w:val="32"/>
          <w:szCs w:val="32"/>
        </w:rPr>
        <w:t>八、购回方应当在开展要约购回前编制购回方案并向本所报送。购回方案应当明确下列事项：</w:t>
      </w:r>
    </w:p>
    <w:p>
      <w:pPr>
        <w:spacing w:line="570" w:lineRule="exact"/>
        <w:ind w:firstLine="640" w:firstLineChars="200"/>
        <w:rPr>
          <w:rFonts w:ascii="Times New Roman" w:hAnsi="Times New Roman" w:eastAsia="仿宋"/>
          <w:sz w:val="32"/>
          <w:szCs w:val="32"/>
        </w:rPr>
      </w:pPr>
      <w:r>
        <w:rPr>
          <w:rFonts w:ascii="Times New Roman" w:hAnsi="Times New Roman" w:eastAsia="仿宋"/>
          <w:sz w:val="32"/>
          <w:szCs w:val="32"/>
        </w:rPr>
        <w:t>（一）购回实施背景及目的，购回方涉及发行人关联方或者第三方的，还应当说明其购回发行人债券的主要考虑或者依据，以及获取的对价及其履行情况；</w:t>
      </w:r>
    </w:p>
    <w:p>
      <w:pPr>
        <w:spacing w:line="570" w:lineRule="exact"/>
        <w:ind w:firstLine="640" w:firstLineChars="200"/>
        <w:rPr>
          <w:rFonts w:ascii="Times New Roman" w:hAnsi="Times New Roman" w:eastAsia="仿宋"/>
          <w:sz w:val="32"/>
          <w:szCs w:val="32"/>
        </w:rPr>
      </w:pPr>
      <w:r>
        <w:rPr>
          <w:rFonts w:ascii="Times New Roman" w:hAnsi="Times New Roman" w:eastAsia="仿宋"/>
          <w:sz w:val="32"/>
          <w:szCs w:val="32"/>
        </w:rPr>
        <w:t>（二）标的债券基本情况、要约对象；</w:t>
      </w:r>
    </w:p>
    <w:p>
      <w:pPr>
        <w:spacing w:line="570" w:lineRule="exact"/>
        <w:ind w:firstLine="640" w:firstLineChars="200"/>
        <w:rPr>
          <w:rFonts w:ascii="Times New Roman" w:hAnsi="Times New Roman" w:eastAsia="仿宋"/>
          <w:sz w:val="32"/>
          <w:szCs w:val="32"/>
        </w:rPr>
      </w:pPr>
      <w:r>
        <w:rPr>
          <w:rFonts w:ascii="Times New Roman" w:hAnsi="Times New Roman" w:eastAsia="仿宋"/>
          <w:sz w:val="32"/>
          <w:szCs w:val="32"/>
        </w:rPr>
        <w:t>（三）购回总金额，标的债券购回金额、购回价格，购回金额与购回价格确定机制等；</w:t>
      </w:r>
    </w:p>
    <w:p>
      <w:pPr>
        <w:spacing w:line="570" w:lineRule="exact"/>
        <w:ind w:firstLine="640" w:firstLineChars="200"/>
        <w:rPr>
          <w:rFonts w:ascii="Times New Roman" w:hAnsi="Times New Roman" w:eastAsia="仿宋"/>
          <w:sz w:val="32"/>
          <w:szCs w:val="32"/>
        </w:rPr>
      </w:pPr>
      <w:r>
        <w:rPr>
          <w:rFonts w:ascii="Times New Roman" w:hAnsi="Times New Roman" w:eastAsia="仿宋"/>
          <w:sz w:val="32"/>
          <w:szCs w:val="32"/>
        </w:rPr>
        <w:t>（四）购回实施方案，包括要约申报期间（原则上不少于3个交易日）、申报方式、撤销申报条件、撤销申报期间、超额申报后的处理方式、购回资金派付日、购回后注销及转让安排；</w:t>
      </w:r>
    </w:p>
    <w:p>
      <w:pPr>
        <w:spacing w:line="570" w:lineRule="exact"/>
        <w:ind w:firstLine="640" w:firstLineChars="200"/>
        <w:rPr>
          <w:rFonts w:ascii="Times New Roman" w:hAnsi="Times New Roman" w:eastAsia="仿宋"/>
          <w:sz w:val="32"/>
          <w:szCs w:val="32"/>
        </w:rPr>
      </w:pPr>
      <w:r>
        <w:rPr>
          <w:rFonts w:ascii="Times New Roman" w:hAnsi="Times New Roman" w:eastAsia="仿宋"/>
          <w:sz w:val="32"/>
          <w:szCs w:val="32"/>
        </w:rPr>
        <w:t>（五）财务顾问的基本情况（如有）；</w:t>
      </w:r>
    </w:p>
    <w:p>
      <w:pPr>
        <w:spacing w:line="570" w:lineRule="exact"/>
        <w:ind w:firstLine="640" w:firstLineChars="200"/>
        <w:rPr>
          <w:rFonts w:ascii="Times New Roman" w:hAnsi="Times New Roman" w:eastAsia="仿宋"/>
          <w:sz w:val="32"/>
          <w:szCs w:val="32"/>
        </w:rPr>
      </w:pPr>
      <w:r>
        <w:rPr>
          <w:rFonts w:ascii="Times New Roman" w:hAnsi="Times New Roman" w:eastAsia="仿宋"/>
          <w:sz w:val="32"/>
          <w:szCs w:val="32"/>
        </w:rPr>
        <w:t>（六）本所要求说明的其他事项。</w:t>
      </w:r>
    </w:p>
    <w:p>
      <w:pPr>
        <w:spacing w:line="570" w:lineRule="exact"/>
        <w:ind w:firstLine="640" w:firstLineChars="200"/>
        <w:rPr>
          <w:rFonts w:ascii="Times New Roman" w:hAnsi="Times New Roman" w:eastAsia="仿宋"/>
          <w:sz w:val="32"/>
          <w:szCs w:val="32"/>
        </w:rPr>
      </w:pPr>
      <w:r>
        <w:rPr>
          <w:rFonts w:ascii="Times New Roman" w:hAnsi="Times New Roman" w:eastAsia="仿宋"/>
          <w:sz w:val="32"/>
          <w:szCs w:val="32"/>
        </w:rPr>
        <w:t>购回方开展差异化要约购回的，应当在购回方案中充分说明差异化安排的背景和目的、公平性与合理性、对各标的债券持有人权益的影响，未参与购回或者购回条件低于其他债券持有人的沟通情况和相应安排。</w:t>
      </w:r>
    </w:p>
    <w:p>
      <w:pPr>
        <w:spacing w:line="570" w:lineRule="exact"/>
        <w:ind w:firstLine="640" w:firstLineChars="200"/>
        <w:rPr>
          <w:rFonts w:ascii="Times New Roman" w:hAnsi="Times New Roman" w:eastAsia="仿宋"/>
          <w:sz w:val="32"/>
          <w:szCs w:val="32"/>
        </w:rPr>
      </w:pPr>
      <w:r>
        <w:rPr>
          <w:rFonts w:ascii="Times New Roman" w:hAnsi="Times New Roman" w:eastAsia="仿宋"/>
          <w:sz w:val="32"/>
          <w:szCs w:val="32"/>
        </w:rPr>
        <w:t>九、购回方以要约方式购回公司债券的，发行人应当按照下列要求向标的债券持有人披露信息：</w:t>
      </w:r>
    </w:p>
    <w:p>
      <w:pPr>
        <w:spacing w:line="570" w:lineRule="exact"/>
        <w:ind w:firstLine="640" w:firstLineChars="200"/>
        <w:rPr>
          <w:rFonts w:ascii="Times New Roman" w:hAnsi="Times New Roman" w:eastAsia="仿宋"/>
          <w:sz w:val="32"/>
          <w:szCs w:val="32"/>
        </w:rPr>
      </w:pPr>
      <w:r>
        <w:rPr>
          <w:rFonts w:ascii="Times New Roman" w:hAnsi="Times New Roman" w:eastAsia="仿宋"/>
          <w:sz w:val="32"/>
          <w:szCs w:val="32"/>
        </w:rPr>
        <w:t>（一）购回要约申报开始的3个交易日前，披露购回方案。购回方案一经披露，原则上不得变更。</w:t>
      </w:r>
    </w:p>
    <w:p>
      <w:pPr>
        <w:spacing w:line="570" w:lineRule="exact"/>
        <w:ind w:firstLine="640" w:firstLineChars="200"/>
        <w:rPr>
          <w:rFonts w:ascii="Times New Roman" w:hAnsi="Times New Roman" w:eastAsia="仿宋"/>
          <w:sz w:val="32"/>
          <w:szCs w:val="32"/>
        </w:rPr>
      </w:pPr>
      <w:r>
        <w:rPr>
          <w:rFonts w:ascii="Times New Roman" w:hAnsi="Times New Roman" w:eastAsia="仿宋"/>
          <w:sz w:val="32"/>
          <w:szCs w:val="32"/>
        </w:rPr>
        <w:t>（二）购回要约申报期届满后的5个交易日内，披露债券购回申报结果，说明申报规模、拟购回金额、购回资金来源、购回资金派付安排、购回份额注销及转让安排等。</w:t>
      </w:r>
    </w:p>
    <w:p>
      <w:pPr>
        <w:spacing w:line="570" w:lineRule="exact"/>
        <w:ind w:firstLine="640" w:firstLineChars="200"/>
        <w:rPr>
          <w:rFonts w:ascii="Times New Roman" w:hAnsi="Times New Roman" w:eastAsia="仿宋"/>
          <w:sz w:val="32"/>
          <w:szCs w:val="32"/>
        </w:rPr>
      </w:pPr>
      <w:r>
        <w:rPr>
          <w:rFonts w:ascii="Times New Roman" w:hAnsi="Times New Roman" w:eastAsia="仿宋"/>
          <w:sz w:val="32"/>
          <w:szCs w:val="32"/>
        </w:rPr>
        <w:t>（三）购回资金发放后的2个交易日内，披露债券购回实施结果公告，说明购回金额、标的债券未偿余额、购回份额注销情况等。</w:t>
      </w:r>
    </w:p>
    <w:p>
      <w:pPr>
        <w:spacing w:line="570" w:lineRule="exact"/>
        <w:ind w:firstLine="640" w:firstLineChars="200"/>
        <w:rPr>
          <w:rFonts w:ascii="Times New Roman" w:hAnsi="Times New Roman" w:eastAsia="仿宋"/>
          <w:sz w:val="32"/>
          <w:szCs w:val="32"/>
        </w:rPr>
      </w:pPr>
      <w:r>
        <w:rPr>
          <w:rFonts w:ascii="Times New Roman" w:hAnsi="Times New Roman" w:eastAsia="仿宋"/>
          <w:sz w:val="32"/>
          <w:szCs w:val="32"/>
        </w:rPr>
        <w:t>开展债务重组类要约购回的，发行人应当同时向所有存量公司债券持有人披露购回方案。</w:t>
      </w:r>
    </w:p>
    <w:p>
      <w:pPr>
        <w:numPr>
          <w:ilvl w:val="255"/>
          <w:numId w:val="0"/>
        </w:numPr>
        <w:spacing w:line="570" w:lineRule="exact"/>
        <w:ind w:firstLine="640" w:firstLineChars="200"/>
        <w:rPr>
          <w:rFonts w:ascii="Times New Roman" w:hAnsi="Times New Roman" w:eastAsia="仿宋"/>
          <w:sz w:val="32"/>
          <w:szCs w:val="32"/>
        </w:rPr>
      </w:pPr>
      <w:r>
        <w:rPr>
          <w:rFonts w:ascii="Times New Roman" w:hAnsi="Times New Roman" w:eastAsia="仿宋"/>
          <w:sz w:val="32"/>
          <w:szCs w:val="32"/>
        </w:rPr>
        <w:t>十、购回方以交易方式购回公司债券的，发行人应当在本通知第五条第一款规定情形发生之日起5个交易日内向所有存量公司债券持有人披露购回方案，并明确下列事项：</w:t>
      </w:r>
    </w:p>
    <w:p>
      <w:pPr>
        <w:numPr>
          <w:ilvl w:val="255"/>
          <w:numId w:val="0"/>
        </w:numPr>
        <w:spacing w:line="570" w:lineRule="exact"/>
        <w:ind w:firstLine="640" w:firstLineChars="200"/>
        <w:rPr>
          <w:rFonts w:ascii="Times New Roman" w:hAnsi="Times New Roman" w:eastAsia="仿宋"/>
          <w:sz w:val="32"/>
          <w:szCs w:val="32"/>
        </w:rPr>
      </w:pPr>
      <w:r>
        <w:rPr>
          <w:rFonts w:ascii="Times New Roman" w:hAnsi="Times New Roman" w:eastAsia="仿宋"/>
          <w:sz w:val="32"/>
          <w:szCs w:val="32"/>
        </w:rPr>
        <w:t>（一）购回实施背景及目的；</w:t>
      </w:r>
    </w:p>
    <w:p>
      <w:pPr>
        <w:numPr>
          <w:ilvl w:val="255"/>
          <w:numId w:val="0"/>
        </w:numPr>
        <w:spacing w:line="570" w:lineRule="exact"/>
        <w:ind w:firstLine="640" w:firstLineChars="200"/>
        <w:rPr>
          <w:rFonts w:ascii="Times New Roman" w:hAnsi="Times New Roman" w:eastAsia="仿宋"/>
          <w:sz w:val="32"/>
          <w:szCs w:val="32"/>
        </w:rPr>
      </w:pPr>
      <w:r>
        <w:rPr>
          <w:rFonts w:ascii="Times New Roman" w:hAnsi="Times New Roman" w:eastAsia="仿宋"/>
          <w:sz w:val="32"/>
          <w:szCs w:val="32"/>
        </w:rPr>
        <w:t>（二）购回方名称、与发行人的关系，购回方涉及发行人关联方的，还应当说明其购回发行人债券的主要考虑或者依据，以及获取的对价及其履行情况；</w:t>
      </w:r>
    </w:p>
    <w:p>
      <w:pPr>
        <w:spacing w:line="570" w:lineRule="exact"/>
        <w:ind w:firstLine="640" w:firstLineChars="200"/>
        <w:rPr>
          <w:rFonts w:ascii="Times New Roman" w:hAnsi="Times New Roman" w:eastAsia="仿宋"/>
          <w:sz w:val="32"/>
          <w:szCs w:val="32"/>
        </w:rPr>
      </w:pPr>
      <w:r>
        <w:rPr>
          <w:rFonts w:ascii="Times New Roman" w:hAnsi="Times New Roman" w:eastAsia="仿宋"/>
          <w:sz w:val="32"/>
          <w:szCs w:val="32"/>
        </w:rPr>
        <w:t>（三）标的债券范围及确定原则，购回债券交易方式；</w:t>
      </w:r>
    </w:p>
    <w:p>
      <w:pPr>
        <w:spacing w:line="570" w:lineRule="exact"/>
        <w:ind w:firstLine="640" w:firstLineChars="200"/>
        <w:rPr>
          <w:rFonts w:ascii="Times New Roman" w:hAnsi="Times New Roman" w:eastAsia="仿宋"/>
          <w:sz w:val="32"/>
          <w:szCs w:val="32"/>
        </w:rPr>
      </w:pPr>
      <w:r>
        <w:rPr>
          <w:rFonts w:ascii="Times New Roman" w:hAnsi="Times New Roman" w:eastAsia="仿宋"/>
          <w:sz w:val="32"/>
          <w:szCs w:val="32"/>
        </w:rPr>
        <w:t>（四）购回总金额或者区间范围，购回价格及确定原则；</w:t>
      </w:r>
    </w:p>
    <w:p>
      <w:pPr>
        <w:spacing w:line="570" w:lineRule="exact"/>
        <w:ind w:firstLine="640" w:firstLineChars="200"/>
        <w:rPr>
          <w:rFonts w:ascii="Times New Roman" w:hAnsi="Times New Roman" w:eastAsia="仿宋"/>
          <w:sz w:val="32"/>
          <w:szCs w:val="32"/>
        </w:rPr>
      </w:pPr>
      <w:r>
        <w:rPr>
          <w:rFonts w:ascii="Times New Roman" w:hAnsi="Times New Roman" w:eastAsia="仿宋"/>
          <w:sz w:val="32"/>
          <w:szCs w:val="32"/>
        </w:rPr>
        <w:t>（五）购回实施期间，实施期间起始日应当不晚于公告披露后2个交易日，单次购回期间原则上不超过10个交易日；</w:t>
      </w:r>
    </w:p>
    <w:p>
      <w:pPr>
        <w:spacing w:line="570" w:lineRule="exact"/>
        <w:ind w:firstLine="640" w:firstLineChars="200"/>
        <w:rPr>
          <w:rFonts w:ascii="Times New Roman" w:hAnsi="Times New Roman" w:eastAsia="仿宋"/>
          <w:sz w:val="32"/>
          <w:szCs w:val="32"/>
        </w:rPr>
      </w:pPr>
      <w:r>
        <w:rPr>
          <w:rFonts w:ascii="Times New Roman" w:hAnsi="Times New Roman" w:eastAsia="仿宋"/>
          <w:sz w:val="32"/>
          <w:szCs w:val="32"/>
        </w:rPr>
        <w:t>（六）本所要求说明的其他事项。</w:t>
      </w:r>
    </w:p>
    <w:p>
      <w:pPr>
        <w:spacing w:line="570" w:lineRule="exact"/>
        <w:ind w:firstLine="640" w:firstLineChars="200"/>
        <w:rPr>
          <w:rFonts w:ascii="Times New Roman" w:hAnsi="Times New Roman" w:eastAsia="仿宋"/>
          <w:sz w:val="32"/>
          <w:szCs w:val="32"/>
        </w:rPr>
      </w:pPr>
      <w:r>
        <w:rPr>
          <w:rFonts w:ascii="Times New Roman" w:hAnsi="Times New Roman" w:eastAsia="仿宋"/>
          <w:sz w:val="32"/>
          <w:szCs w:val="32"/>
        </w:rPr>
        <w:t>购回方同时对多只债券实施交易购回且不同债券的购回安排存在差异的，发行人应当充分披露有关安排的公平性与合理性。</w:t>
      </w:r>
    </w:p>
    <w:p>
      <w:pPr>
        <w:spacing w:line="570" w:lineRule="exact"/>
        <w:ind w:firstLine="640" w:firstLineChars="200"/>
        <w:rPr>
          <w:rFonts w:ascii="Times New Roman" w:hAnsi="Times New Roman" w:eastAsia="仿宋"/>
        </w:rPr>
      </w:pPr>
      <w:r>
        <w:rPr>
          <w:rFonts w:ascii="Times New Roman" w:hAnsi="Times New Roman" w:eastAsia="仿宋"/>
          <w:sz w:val="32"/>
          <w:szCs w:val="32"/>
        </w:rPr>
        <w:t>发行人关联方在本通知第五条规定情形之外，交易发行人在本所上市挂牌的存量公司债券的，应当按照有关规定及时履行信息披露义务，其债券交易不适用本通知。</w:t>
      </w:r>
    </w:p>
    <w:p>
      <w:pPr>
        <w:spacing w:line="570" w:lineRule="exact"/>
        <w:ind w:firstLine="640" w:firstLineChars="200"/>
        <w:rPr>
          <w:rFonts w:ascii="Times New Roman" w:hAnsi="Times New Roman" w:eastAsia="仿宋"/>
          <w:sz w:val="32"/>
          <w:szCs w:val="32"/>
        </w:rPr>
      </w:pPr>
      <w:r>
        <w:rPr>
          <w:rFonts w:ascii="Times New Roman" w:hAnsi="Times New Roman" w:eastAsia="仿宋"/>
          <w:sz w:val="32"/>
          <w:szCs w:val="32"/>
        </w:rPr>
        <w:t>十一、发行人应当在交易购回实施期间届满的2个交易日内披露购回实施结果公告，说明下列事项：</w:t>
      </w:r>
    </w:p>
    <w:p>
      <w:pPr>
        <w:spacing w:line="570" w:lineRule="exact"/>
        <w:ind w:firstLine="640" w:firstLineChars="200"/>
        <w:rPr>
          <w:rFonts w:ascii="Times New Roman" w:hAnsi="Times New Roman" w:eastAsia="仿宋"/>
          <w:sz w:val="32"/>
          <w:szCs w:val="32"/>
        </w:rPr>
      </w:pPr>
      <w:r>
        <w:rPr>
          <w:rFonts w:ascii="Times New Roman" w:hAnsi="Times New Roman" w:eastAsia="仿宋"/>
          <w:sz w:val="32"/>
          <w:szCs w:val="32"/>
        </w:rPr>
        <w:t>（一）购回实施主体、实际购回的标的债券代码及简称、购回数量及购回金额；</w:t>
      </w:r>
    </w:p>
    <w:p>
      <w:pPr>
        <w:spacing w:line="570" w:lineRule="exact"/>
        <w:ind w:firstLine="640" w:firstLineChars="200"/>
        <w:rPr>
          <w:rFonts w:ascii="Times New Roman" w:hAnsi="Times New Roman" w:eastAsia="仿宋"/>
          <w:sz w:val="32"/>
          <w:szCs w:val="32"/>
        </w:rPr>
      </w:pPr>
      <w:r>
        <w:rPr>
          <w:rFonts w:ascii="Times New Roman" w:hAnsi="Times New Roman" w:eastAsia="仿宋"/>
          <w:sz w:val="32"/>
          <w:szCs w:val="32"/>
        </w:rPr>
        <w:t>（二）购回债券注销安排；</w:t>
      </w:r>
    </w:p>
    <w:p>
      <w:pPr>
        <w:spacing w:line="570" w:lineRule="exact"/>
        <w:ind w:firstLine="640" w:firstLineChars="200"/>
        <w:rPr>
          <w:rFonts w:ascii="Times New Roman" w:hAnsi="Times New Roman" w:eastAsia="仿宋"/>
          <w:sz w:val="32"/>
          <w:szCs w:val="32"/>
        </w:rPr>
      </w:pPr>
      <w:r>
        <w:rPr>
          <w:rFonts w:ascii="Times New Roman" w:hAnsi="Times New Roman" w:eastAsia="仿宋"/>
          <w:sz w:val="32"/>
          <w:szCs w:val="32"/>
        </w:rPr>
        <w:t>（三）本所要求说明的其他事项。</w:t>
      </w:r>
    </w:p>
    <w:p>
      <w:pPr>
        <w:spacing w:line="570" w:lineRule="exact"/>
        <w:ind w:firstLine="640" w:firstLineChars="200"/>
        <w:rPr>
          <w:rFonts w:ascii="Times New Roman" w:hAnsi="Times New Roman" w:eastAsia="仿宋"/>
          <w:sz w:val="32"/>
          <w:szCs w:val="32"/>
        </w:rPr>
      </w:pPr>
      <w:r>
        <w:rPr>
          <w:rFonts w:ascii="Times New Roman" w:hAnsi="Times New Roman" w:eastAsia="仿宋"/>
          <w:sz w:val="32"/>
          <w:szCs w:val="32"/>
        </w:rPr>
        <w:t>交易购回对手方为发行人关联方的，发行人应当进一步披露对手方名称、与发行人的关系、购回的债券数量及规模。</w:t>
      </w:r>
    </w:p>
    <w:p>
      <w:pPr>
        <w:spacing w:line="570" w:lineRule="exact"/>
        <w:ind w:firstLine="640" w:firstLineChars="200"/>
        <w:rPr>
          <w:rFonts w:ascii="Times New Roman" w:hAnsi="Times New Roman" w:eastAsia="仿宋"/>
          <w:sz w:val="32"/>
          <w:szCs w:val="32"/>
        </w:rPr>
      </w:pPr>
      <w:r>
        <w:rPr>
          <w:rFonts w:ascii="Times New Roman" w:hAnsi="Times New Roman" w:eastAsia="仿宋"/>
          <w:sz w:val="32"/>
          <w:szCs w:val="32"/>
        </w:rPr>
        <w:t>十二、标的债券的受托管理人应当对购回业务全流程进行合规性核查，督促发行人或者其他购回方严格按照本通知及本所业务规则的要求开展购回业务，切实维护债券持有人的合法权益。</w:t>
      </w:r>
    </w:p>
    <w:p>
      <w:pPr>
        <w:spacing w:line="570" w:lineRule="exact"/>
        <w:ind w:firstLine="640" w:firstLineChars="200"/>
        <w:rPr>
          <w:rFonts w:ascii="Times New Roman" w:hAnsi="Times New Roman" w:eastAsia="仿宋"/>
          <w:sz w:val="32"/>
          <w:szCs w:val="32"/>
        </w:rPr>
      </w:pPr>
      <w:r>
        <w:rPr>
          <w:rFonts w:ascii="Times New Roman" w:hAnsi="Times New Roman" w:eastAsia="仿宋"/>
          <w:sz w:val="32"/>
          <w:szCs w:val="32"/>
        </w:rPr>
        <w:t>标的债券受托管理人应当在发行人披露购回方案、购回实施结果公告后的2个交易日内披露临时受托管理事务报告，并对购回方案的公平性与合理性、是否存在明显损害受托标的债券持有人合法权益的情形发表明确意见。</w:t>
      </w:r>
    </w:p>
    <w:p>
      <w:pPr>
        <w:spacing w:line="570" w:lineRule="exact"/>
        <w:ind w:firstLine="640" w:firstLineChars="200"/>
        <w:rPr>
          <w:rFonts w:ascii="Times New Roman" w:hAnsi="Times New Roman" w:eastAsia="仿宋"/>
          <w:sz w:val="32"/>
          <w:szCs w:val="32"/>
        </w:rPr>
      </w:pPr>
      <w:r>
        <w:rPr>
          <w:rFonts w:ascii="Times New Roman" w:hAnsi="Times New Roman" w:eastAsia="仿宋"/>
          <w:sz w:val="32"/>
          <w:szCs w:val="32"/>
        </w:rPr>
        <w:t>十三、发行人依照本通知规定购回的公司债券，原则上应当及时予以注销。</w:t>
      </w:r>
    </w:p>
    <w:p>
      <w:pPr>
        <w:spacing w:line="570" w:lineRule="exact"/>
        <w:ind w:firstLine="640" w:firstLineChars="200"/>
        <w:rPr>
          <w:rFonts w:ascii="Times New Roman" w:hAnsi="Times New Roman" w:eastAsia="仿宋"/>
          <w:sz w:val="32"/>
          <w:szCs w:val="32"/>
        </w:rPr>
      </w:pPr>
      <w:r>
        <w:rPr>
          <w:rFonts w:ascii="Times New Roman" w:hAnsi="Times New Roman" w:eastAsia="仿宋"/>
          <w:sz w:val="32"/>
          <w:szCs w:val="32"/>
        </w:rPr>
        <w:t>发行人关联方、第三方以要约方式购回的公司债券，原则上应当及时予以注销；发行人关联方以交易方式购回的公司债券，购回后6个月内不得对外转让，且在债券约定的行权日或者到期日前原则上不得提前注销。</w:t>
      </w:r>
    </w:p>
    <w:p>
      <w:pPr>
        <w:spacing w:line="570" w:lineRule="exact"/>
        <w:ind w:firstLine="640" w:firstLineChars="200"/>
        <w:rPr>
          <w:rFonts w:ascii="Times New Roman" w:hAnsi="Times New Roman" w:eastAsia="仿宋"/>
          <w:sz w:val="32"/>
          <w:szCs w:val="32"/>
        </w:rPr>
      </w:pPr>
      <w:r>
        <w:rPr>
          <w:rFonts w:ascii="Times New Roman" w:hAnsi="Times New Roman" w:eastAsia="仿宋"/>
          <w:sz w:val="32"/>
          <w:szCs w:val="32"/>
        </w:rPr>
        <w:t>十四、发行人依据与第三方的市场化重组方案、破产和解协议或者破产重整计划等实施要约购回的，可以在转让期内对已申报购回的债券向该第三方进行转让，但应当在购回方案中披露债券转让的原因背景、获取的对价及其履行情况和转让的具体安排。</w:t>
      </w:r>
    </w:p>
    <w:p>
      <w:pPr>
        <w:spacing w:line="570" w:lineRule="exact"/>
        <w:ind w:firstLine="640" w:firstLineChars="200"/>
        <w:rPr>
          <w:rFonts w:ascii="Times New Roman" w:hAnsi="Times New Roman" w:eastAsia="仿宋"/>
          <w:sz w:val="32"/>
          <w:szCs w:val="32"/>
        </w:rPr>
      </w:pPr>
      <w:r>
        <w:rPr>
          <w:rFonts w:ascii="Times New Roman" w:hAnsi="Times New Roman" w:eastAsia="仿宋"/>
          <w:sz w:val="32"/>
          <w:szCs w:val="32"/>
        </w:rPr>
        <w:t>前款所称转让期原则上不超过20个交易日，自购回资金发放次日起算。发行人应当在转让期届满后的2个交易日内披露转让结果公告。</w:t>
      </w:r>
    </w:p>
    <w:p>
      <w:pPr>
        <w:spacing w:line="570" w:lineRule="exact"/>
        <w:ind w:firstLine="640" w:firstLineChars="200"/>
        <w:rPr>
          <w:rFonts w:ascii="Times New Roman" w:hAnsi="Times New Roman" w:eastAsia="仿宋"/>
          <w:sz w:val="32"/>
          <w:szCs w:val="32"/>
        </w:rPr>
      </w:pPr>
      <w:r>
        <w:rPr>
          <w:rFonts w:ascii="Times New Roman" w:hAnsi="Times New Roman" w:eastAsia="仿宋"/>
          <w:sz w:val="32"/>
          <w:szCs w:val="32"/>
        </w:rPr>
        <w:t>已购回债券的转让业务原则上应当通过本所交易系统办理，确有必要通过其他方式办理的，发行人应当提前向本所申请并经本所同意。</w:t>
      </w:r>
    </w:p>
    <w:p>
      <w:pPr>
        <w:spacing w:line="570" w:lineRule="exact"/>
        <w:ind w:firstLine="640" w:firstLineChars="200"/>
        <w:rPr>
          <w:rFonts w:ascii="Times New Roman" w:hAnsi="Times New Roman" w:eastAsia="仿宋"/>
          <w:sz w:val="32"/>
          <w:szCs w:val="32"/>
        </w:rPr>
      </w:pPr>
      <w:r>
        <w:rPr>
          <w:rFonts w:ascii="Times New Roman" w:hAnsi="Times New Roman" w:eastAsia="仿宋"/>
          <w:sz w:val="32"/>
          <w:szCs w:val="32"/>
        </w:rPr>
        <w:t>十五、购回业务参与主体及其相关人员违反本通知、相关约定、承诺或者本所其他规定的</w:t>
      </w:r>
      <w:bookmarkStart w:id="1" w:name="_GoBack"/>
      <w:bookmarkEnd w:id="1"/>
      <w:r>
        <w:rPr>
          <w:rFonts w:ascii="Times New Roman" w:hAnsi="Times New Roman" w:eastAsia="仿宋"/>
          <w:sz w:val="32"/>
          <w:szCs w:val="32"/>
        </w:rPr>
        <w:t>，本所可以依规对其采取自律监管措施或者纪律处分。涉嫌违法违规的，本所将依法报中国证监会查处。</w:t>
      </w:r>
    </w:p>
    <w:p>
      <w:pPr>
        <w:spacing w:line="570" w:lineRule="exact"/>
        <w:ind w:firstLine="640" w:firstLineChars="200"/>
        <w:rPr>
          <w:rFonts w:ascii="Times New Roman" w:hAnsi="Times New Roman" w:eastAsia="仿宋"/>
          <w:sz w:val="32"/>
          <w:szCs w:val="32"/>
        </w:rPr>
      </w:pPr>
      <w:r>
        <w:rPr>
          <w:rFonts w:ascii="Times New Roman" w:hAnsi="Times New Roman" w:eastAsia="仿宋"/>
          <w:sz w:val="32"/>
          <w:szCs w:val="32"/>
        </w:rPr>
        <w:t>十六、本通知内容与《债券信用风险管理指引》规定不一致的，适用本通知。</w:t>
      </w:r>
    </w:p>
    <w:p>
      <w:pPr>
        <w:spacing w:line="570" w:lineRule="exact"/>
        <w:ind w:firstLine="640" w:firstLineChars="200"/>
        <w:rPr>
          <w:rFonts w:ascii="Times New Roman" w:hAnsi="Times New Roman" w:eastAsia="仿宋"/>
          <w:sz w:val="32"/>
          <w:szCs w:val="32"/>
        </w:rPr>
      </w:pPr>
      <w:r>
        <w:rPr>
          <w:rFonts w:ascii="Times New Roman" w:hAnsi="Times New Roman" w:eastAsia="仿宋"/>
          <w:sz w:val="32"/>
          <w:szCs w:val="32"/>
        </w:rPr>
        <w:t>十七、本通知自发布之日起施行。</w:t>
      </w:r>
    </w:p>
    <w:p>
      <w:pPr>
        <w:spacing w:line="570" w:lineRule="exact"/>
        <w:ind w:firstLine="640" w:firstLineChars="200"/>
        <w:rPr>
          <w:rFonts w:ascii="Times New Roman" w:hAnsi="Times New Roman" w:eastAsia="仿宋"/>
          <w:sz w:val="32"/>
          <w:szCs w:val="32"/>
        </w:rPr>
      </w:pPr>
      <w:r>
        <w:rPr>
          <w:rFonts w:ascii="Times New Roman" w:hAnsi="Times New Roman" w:eastAsia="仿宋"/>
          <w:sz w:val="32"/>
          <w:szCs w:val="32"/>
        </w:rPr>
        <w:t>特此通知。</w:t>
      </w:r>
    </w:p>
    <w:p>
      <w:pPr>
        <w:spacing w:line="570" w:lineRule="exact"/>
        <w:ind w:firstLine="600" w:firstLineChars="200"/>
        <w:rPr>
          <w:rFonts w:ascii="Times New Roman" w:hAnsi="Times New Roman" w:eastAsia="方正仿宋简体"/>
          <w:bCs/>
          <w:sz w:val="30"/>
          <w:szCs w:val="30"/>
        </w:rPr>
      </w:pPr>
    </w:p>
    <w:p>
      <w:pPr>
        <w:spacing w:line="570" w:lineRule="exact"/>
        <w:ind w:firstLine="612"/>
        <w:rPr>
          <w:rFonts w:ascii="Times New Roman" w:hAnsi="Times New Roman" w:eastAsia="方正仿宋简体"/>
          <w:sz w:val="30"/>
          <w:szCs w:val="30"/>
        </w:rPr>
      </w:pPr>
    </w:p>
    <w:p>
      <w:pPr>
        <w:spacing w:line="570" w:lineRule="exact"/>
        <w:ind w:firstLine="612"/>
        <w:rPr>
          <w:rFonts w:ascii="Times New Roman" w:hAnsi="Times New Roman" w:eastAsia="方正仿宋简体"/>
          <w:sz w:val="30"/>
          <w:szCs w:val="30"/>
        </w:rPr>
      </w:pPr>
    </w:p>
    <w:p>
      <w:pPr>
        <w:spacing w:line="570" w:lineRule="exact"/>
        <w:rPr>
          <w:rFonts w:ascii="仿宋" w:hAnsi="仿宋" w:eastAsia="仿宋" w:cstheme="majorBidi"/>
          <w:bCs/>
          <w:sz w:val="32"/>
          <w:szCs w:val="32"/>
        </w:rPr>
      </w:pPr>
      <w:r>
        <w:rPr>
          <w:rFonts w:hint="eastAsia" w:ascii="方正仿宋简体" w:hAnsi="仿宋" w:eastAsia="方正仿宋简体" w:cstheme="majorBidi"/>
          <w:bCs/>
          <w:sz w:val="30"/>
          <w:szCs w:val="30"/>
        </w:rPr>
        <w:t xml:space="preserve">                 </w:t>
      </w:r>
      <w:r>
        <w:rPr>
          <w:rFonts w:ascii="方正仿宋简体" w:hAnsi="仿宋" w:eastAsia="方正仿宋简体" w:cstheme="majorBidi"/>
          <w:bCs/>
          <w:sz w:val="30"/>
          <w:szCs w:val="30"/>
        </w:rPr>
        <w:t xml:space="preserve">                </w:t>
      </w:r>
      <w:r>
        <w:rPr>
          <w:rFonts w:hint="eastAsia" w:ascii="方正仿宋简体" w:hAnsi="仿宋" w:eastAsia="方正仿宋简体" w:cstheme="majorBidi"/>
          <w:bCs/>
          <w:sz w:val="30"/>
          <w:szCs w:val="30"/>
        </w:rPr>
        <w:t xml:space="preserve"> </w:t>
      </w:r>
      <w:r>
        <w:rPr>
          <w:rFonts w:hint="eastAsia" w:ascii="仿宋" w:hAnsi="仿宋" w:eastAsia="仿宋" w:cstheme="majorBidi"/>
          <w:bCs/>
          <w:sz w:val="32"/>
          <w:szCs w:val="32"/>
        </w:rPr>
        <w:t>北京证券交易所</w:t>
      </w:r>
    </w:p>
    <w:p>
      <w:pPr>
        <w:spacing w:line="570" w:lineRule="exact"/>
        <w:jc w:val="center"/>
        <w:outlineLvl w:val="0"/>
        <w:rPr>
          <w:rFonts w:ascii="Times New Roman" w:hAnsi="Times New Roman" w:eastAsia="仿宋"/>
          <w:sz w:val="32"/>
          <w:szCs w:val="32"/>
        </w:rPr>
      </w:pPr>
      <w:r>
        <w:rPr>
          <w:rFonts w:ascii="仿宋" w:hAnsi="仿宋" w:eastAsia="仿宋"/>
          <w:sz w:val="32"/>
          <w:szCs w:val="32"/>
        </w:rPr>
        <w:t xml:space="preserve">                   </w:t>
      </w:r>
      <w:r>
        <w:rPr>
          <w:rFonts w:hint="eastAsia" w:ascii="仿宋" w:hAnsi="仿宋" w:eastAsia="仿宋"/>
          <w:sz w:val="32"/>
          <w:szCs w:val="32"/>
        </w:rPr>
        <w:t xml:space="preserve">  </w:t>
      </w:r>
      <w:r>
        <w:rPr>
          <w:rFonts w:ascii="Times New Roman" w:hAnsi="Times New Roman" w:eastAsia="仿宋"/>
          <w:sz w:val="32"/>
          <w:szCs w:val="32"/>
        </w:rPr>
        <w:t xml:space="preserve">   </w:t>
      </w:r>
      <w:r>
        <w:rPr>
          <w:rFonts w:hint="eastAsia" w:ascii="Times New Roman" w:hAnsi="Times New Roman" w:eastAsia="仿宋"/>
          <w:sz w:val="32"/>
          <w:szCs w:val="32"/>
        </w:rPr>
        <w:t>2025</w:t>
      </w:r>
      <w:r>
        <w:rPr>
          <w:rFonts w:ascii="Times New Roman" w:hAnsi="Times New Roman" w:eastAsia="仿宋"/>
          <w:sz w:val="32"/>
          <w:szCs w:val="32"/>
        </w:rPr>
        <w:t>年</w:t>
      </w:r>
      <w:r>
        <w:rPr>
          <w:rFonts w:hint="eastAsia" w:ascii="Times New Roman" w:hAnsi="Times New Roman" w:eastAsia="仿宋"/>
          <w:sz w:val="32"/>
          <w:szCs w:val="32"/>
        </w:rPr>
        <w:t>9</w:t>
      </w:r>
      <w:r>
        <w:rPr>
          <w:rFonts w:ascii="Times New Roman" w:hAnsi="Times New Roman" w:eastAsia="仿宋"/>
          <w:sz w:val="32"/>
          <w:szCs w:val="32"/>
        </w:rPr>
        <w:t>月</w:t>
      </w:r>
      <w:r>
        <w:rPr>
          <w:rFonts w:hint="eastAsia" w:ascii="Times New Roman" w:hAnsi="Times New Roman" w:eastAsia="仿宋"/>
          <w:sz w:val="32"/>
          <w:szCs w:val="32"/>
        </w:rPr>
        <w:t>19</w:t>
      </w:r>
      <w:r>
        <w:rPr>
          <w:rFonts w:ascii="Times New Roman" w:hAnsi="Times New Roman" w:eastAsia="仿宋"/>
          <w:sz w:val="32"/>
          <w:szCs w:val="32"/>
        </w:rPr>
        <w:t>日</w:t>
      </w:r>
    </w:p>
    <w:p>
      <w:pPr>
        <w:spacing w:line="560" w:lineRule="exact"/>
        <w:outlineLvl w:val="0"/>
        <w:rPr>
          <w:rFonts w:ascii="Times New Roman" w:hAnsi="Times New Roman" w:eastAsia="方正仿宋简体"/>
          <w:color w:val="FF0000"/>
          <w:kern w:val="0"/>
          <w:sz w:val="30"/>
          <w:szCs w:val="30"/>
        </w:rPr>
      </w:pPr>
      <w:r>
        <w:rPr>
          <w:rFonts w:hint="eastAsia" w:ascii="Times New Roman" w:hAnsi="Times New Roman" w:eastAsia="方正仿宋简体"/>
          <w:kern w:val="0"/>
          <w:sz w:val="30"/>
          <w:szCs w:val="30"/>
        </w:rPr>
        <w:t xml:space="preserve"> </w:t>
      </w:r>
      <w:r>
        <w:rPr>
          <w:rFonts w:ascii="Times New Roman" w:hAnsi="Times New Roman" w:eastAsia="方正仿宋简体"/>
          <w:kern w:val="0"/>
          <w:sz w:val="30"/>
          <w:szCs w:val="30"/>
        </w:rPr>
        <w:t xml:space="preserve">                           </w:t>
      </w:r>
    </w:p>
    <w:p>
      <w:pPr>
        <w:spacing w:line="280" w:lineRule="exact"/>
        <w:rPr>
          <w:rFonts w:ascii="Times New Roman" w:hAnsi="Times New Roman" w:eastAsia="方正仿宋简体"/>
          <w:sz w:val="30"/>
          <w:szCs w:val="30"/>
        </w:rPr>
      </w:pPr>
    </w:p>
    <w:p>
      <w:pPr>
        <w:spacing w:line="280" w:lineRule="exact"/>
        <w:rPr>
          <w:rFonts w:ascii="Times New Roman" w:hAnsi="Times New Roman" w:eastAsia="方正仿宋简体"/>
          <w:sz w:val="30"/>
          <w:szCs w:val="30"/>
        </w:rPr>
      </w:pPr>
    </w:p>
    <w:p>
      <w:pPr>
        <w:spacing w:line="280" w:lineRule="exact"/>
        <w:rPr>
          <w:rFonts w:ascii="Times New Roman" w:hAnsi="Times New Roman" w:eastAsia="方正仿宋简体"/>
          <w:sz w:val="30"/>
          <w:szCs w:val="30"/>
        </w:rPr>
      </w:pPr>
    </w:p>
    <w:p>
      <w:pPr>
        <w:spacing w:line="280" w:lineRule="exact"/>
        <w:rPr>
          <w:rFonts w:ascii="Times New Roman" w:hAnsi="Times New Roman" w:eastAsia="方正仿宋简体"/>
          <w:sz w:val="30"/>
          <w:szCs w:val="30"/>
        </w:rPr>
      </w:pPr>
    </w:p>
    <w:p>
      <w:pPr>
        <w:spacing w:line="280" w:lineRule="exact"/>
        <w:rPr>
          <w:rFonts w:ascii="Times New Roman" w:hAnsi="Times New Roman" w:eastAsia="方正仿宋简体"/>
          <w:sz w:val="30"/>
          <w:szCs w:val="30"/>
        </w:rPr>
      </w:pPr>
    </w:p>
    <w:p>
      <w:pPr>
        <w:snapToGrid w:val="0"/>
        <w:spacing w:line="400" w:lineRule="exact"/>
        <w:rPr>
          <w:rFonts w:ascii="Times New Roman" w:hAnsi="Times New Roman" w:eastAsia="仿宋"/>
          <w:sz w:val="28"/>
          <w:szCs w:val="28"/>
        </w:rPr>
      </w:pPr>
    </w:p>
    <w:sectPr>
      <w:footerReference r:id="rId3" w:type="default"/>
      <w:footerReference r:id="rId4" w:type="even"/>
      <w:pgSz w:w="11906" w:h="16838"/>
      <w:pgMar w:top="2098" w:right="1531" w:bottom="1985" w:left="1531"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方正书宋_GBK">
    <w:panose1 w:val="02000000000000000000"/>
    <w:charset w:val="86"/>
    <w:family w:val="auto"/>
    <w:pitch w:val="default"/>
    <w:sig w:usb0="00000001" w:usb1="08000000" w:usb2="00000000" w:usb3="00000000" w:csb0="00040000" w:csb1="00000000"/>
  </w:font>
  <w:font w:name="汉仪叶叶相思体简">
    <w:altName w:val="仿宋"/>
    <w:panose1 w:val="00000000000000000000"/>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方正大标宋简体">
    <w:panose1 w:val="02010601030101010101"/>
    <w:charset w:val="86"/>
    <w:family w:val="auto"/>
    <w:pitch w:val="default"/>
    <w:sig w:usb0="00000001" w:usb1="080E0000" w:usb2="00000000" w:usb3="00000000" w:csb0="00040000" w:csb1="00000000"/>
  </w:font>
  <w:font w:name="方正仿宋简体">
    <w:panose1 w:val="02010601030101010101"/>
    <w:charset w:val="86"/>
    <w:family w:val="auto"/>
    <w:pitch w:val="default"/>
    <w:sig w:usb0="00000001" w:usb1="080E0000" w:usb2="00000000" w:usb3="00000000" w:csb0="00040000" w:csb1="00000000"/>
  </w:font>
  <w:font w:name="Noto Sans CJK JP Bold">
    <w:panose1 w:val="020B0800000000000000"/>
    <w:charset w:val="86"/>
    <w:family w:val="auto"/>
    <w:pitch w:val="default"/>
    <w:sig w:usb0="30000003" w:usb1="2BDF3C10" w:usb2="00000016" w:usb3="00000000" w:csb0="602E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29509888"/>
    </w:sdtPr>
    <w:sdtEndPr>
      <w:rPr>
        <w:rFonts w:asciiTheme="minorEastAsia" w:hAnsiTheme="minorEastAsia" w:eastAsiaTheme="minorEastAsia"/>
        <w:sz w:val="28"/>
        <w:szCs w:val="28"/>
      </w:rPr>
    </w:sdtEndPr>
    <w:sdtContent>
      <w:p>
        <w:pPr>
          <w:pStyle w:val="5"/>
          <w:jc w:val="right"/>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1 -</w:t>
        </w:r>
        <w:r>
          <w:rPr>
            <w:rFonts w:asciiTheme="minorEastAsia" w:hAnsiTheme="minorEastAsia" w:eastAsiaTheme="minorEastAsia"/>
            <w:sz w:val="28"/>
            <w:szCs w:val="28"/>
          </w:rPr>
          <w:fldChar w:fldCharType="end"/>
        </w:r>
      </w:p>
    </w:sdtContent>
  </w:sdt>
  <w:p>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94239689"/>
    </w:sdtPr>
    <w:sdtEndPr>
      <w:rPr>
        <w:rFonts w:asciiTheme="minorEastAsia" w:hAnsiTheme="minorEastAsia" w:eastAsiaTheme="minorEastAsia"/>
        <w:sz w:val="28"/>
        <w:szCs w:val="28"/>
      </w:rPr>
    </w:sdtEndPr>
    <w:sdtContent>
      <w:p>
        <w:pPr>
          <w:pStyle w:val="5"/>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2 -</w:t>
        </w:r>
        <w:r>
          <w:rPr>
            <w:rFonts w:asciiTheme="minorEastAsia" w:hAnsiTheme="minorEastAsia" w:eastAsiaTheme="minorEastAsia"/>
            <w:sz w:val="28"/>
            <w:szCs w:val="28"/>
          </w:rPr>
          <w:fldChar w:fldCharType="end"/>
        </w:r>
      </w:p>
    </w:sdtContent>
  </w:sdt>
  <w:p>
    <w:pPr>
      <w:pStyle w:val="5"/>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31B8"/>
    <w:rsid w:val="0001132B"/>
    <w:rsid w:val="000114CC"/>
    <w:rsid w:val="0001279E"/>
    <w:rsid w:val="00013FD4"/>
    <w:rsid w:val="000140A5"/>
    <w:rsid w:val="00020B26"/>
    <w:rsid w:val="00023393"/>
    <w:rsid w:val="00023918"/>
    <w:rsid w:val="000253C4"/>
    <w:rsid w:val="00027677"/>
    <w:rsid w:val="00030254"/>
    <w:rsid w:val="0003177A"/>
    <w:rsid w:val="00031819"/>
    <w:rsid w:val="0003452A"/>
    <w:rsid w:val="00034CB4"/>
    <w:rsid w:val="00034DC5"/>
    <w:rsid w:val="000350FA"/>
    <w:rsid w:val="00036093"/>
    <w:rsid w:val="00040339"/>
    <w:rsid w:val="000406E0"/>
    <w:rsid w:val="00040A29"/>
    <w:rsid w:val="00042AA7"/>
    <w:rsid w:val="000464E4"/>
    <w:rsid w:val="0004678F"/>
    <w:rsid w:val="000501AA"/>
    <w:rsid w:val="000515D0"/>
    <w:rsid w:val="000530B5"/>
    <w:rsid w:val="00057221"/>
    <w:rsid w:val="000614F2"/>
    <w:rsid w:val="00061835"/>
    <w:rsid w:val="00070A1C"/>
    <w:rsid w:val="00070EF4"/>
    <w:rsid w:val="00073313"/>
    <w:rsid w:val="00075DDE"/>
    <w:rsid w:val="000770D6"/>
    <w:rsid w:val="00077B36"/>
    <w:rsid w:val="00083C8D"/>
    <w:rsid w:val="00087D53"/>
    <w:rsid w:val="00090A5F"/>
    <w:rsid w:val="000914B4"/>
    <w:rsid w:val="00092880"/>
    <w:rsid w:val="00093565"/>
    <w:rsid w:val="00093666"/>
    <w:rsid w:val="000979F3"/>
    <w:rsid w:val="000B1D18"/>
    <w:rsid w:val="000B2000"/>
    <w:rsid w:val="000B3F90"/>
    <w:rsid w:val="000B4853"/>
    <w:rsid w:val="000B52DC"/>
    <w:rsid w:val="000B5EAA"/>
    <w:rsid w:val="000C446C"/>
    <w:rsid w:val="000C6818"/>
    <w:rsid w:val="000D7B7F"/>
    <w:rsid w:val="000E6E4C"/>
    <w:rsid w:val="000E72C9"/>
    <w:rsid w:val="000E72D0"/>
    <w:rsid w:val="000F0DC4"/>
    <w:rsid w:val="000F1B08"/>
    <w:rsid w:val="000F2D51"/>
    <w:rsid w:val="000F315B"/>
    <w:rsid w:val="000F593E"/>
    <w:rsid w:val="00104023"/>
    <w:rsid w:val="0010434B"/>
    <w:rsid w:val="0010613F"/>
    <w:rsid w:val="00110389"/>
    <w:rsid w:val="00111415"/>
    <w:rsid w:val="001136DB"/>
    <w:rsid w:val="00113E16"/>
    <w:rsid w:val="00116D3E"/>
    <w:rsid w:val="00117488"/>
    <w:rsid w:val="00121BFE"/>
    <w:rsid w:val="0012224F"/>
    <w:rsid w:val="00126771"/>
    <w:rsid w:val="00126F8E"/>
    <w:rsid w:val="00130AC5"/>
    <w:rsid w:val="00131C2F"/>
    <w:rsid w:val="00131FD5"/>
    <w:rsid w:val="00131FE7"/>
    <w:rsid w:val="001351B4"/>
    <w:rsid w:val="00136A16"/>
    <w:rsid w:val="001377F4"/>
    <w:rsid w:val="00137C57"/>
    <w:rsid w:val="00140260"/>
    <w:rsid w:val="001421AB"/>
    <w:rsid w:val="00142A8D"/>
    <w:rsid w:val="0014751A"/>
    <w:rsid w:val="00150C13"/>
    <w:rsid w:val="0015190D"/>
    <w:rsid w:val="001525AB"/>
    <w:rsid w:val="00154EFD"/>
    <w:rsid w:val="00155052"/>
    <w:rsid w:val="001559C9"/>
    <w:rsid w:val="0016074F"/>
    <w:rsid w:val="001608C8"/>
    <w:rsid w:val="00160BF3"/>
    <w:rsid w:val="00165E5A"/>
    <w:rsid w:val="00170F03"/>
    <w:rsid w:val="001732C7"/>
    <w:rsid w:val="001751C9"/>
    <w:rsid w:val="00177DEB"/>
    <w:rsid w:val="0018408C"/>
    <w:rsid w:val="00184F1F"/>
    <w:rsid w:val="001856EA"/>
    <w:rsid w:val="0018614E"/>
    <w:rsid w:val="00186237"/>
    <w:rsid w:val="001868F6"/>
    <w:rsid w:val="0019258E"/>
    <w:rsid w:val="001931B8"/>
    <w:rsid w:val="00194F2E"/>
    <w:rsid w:val="00196309"/>
    <w:rsid w:val="001A4206"/>
    <w:rsid w:val="001A5588"/>
    <w:rsid w:val="001B041D"/>
    <w:rsid w:val="001B0CD9"/>
    <w:rsid w:val="001B6DFE"/>
    <w:rsid w:val="001B73AB"/>
    <w:rsid w:val="001B7CCF"/>
    <w:rsid w:val="001C335C"/>
    <w:rsid w:val="001C3A53"/>
    <w:rsid w:val="001C3B47"/>
    <w:rsid w:val="001C4F64"/>
    <w:rsid w:val="001C7F38"/>
    <w:rsid w:val="001D11CB"/>
    <w:rsid w:val="001D11E3"/>
    <w:rsid w:val="001D1DB2"/>
    <w:rsid w:val="001D2CDF"/>
    <w:rsid w:val="001E0B46"/>
    <w:rsid w:val="001E0D34"/>
    <w:rsid w:val="001E6EB7"/>
    <w:rsid w:val="001E73D1"/>
    <w:rsid w:val="001F09A0"/>
    <w:rsid w:val="001F0B06"/>
    <w:rsid w:val="001F1813"/>
    <w:rsid w:val="001F22B9"/>
    <w:rsid w:val="001F2C66"/>
    <w:rsid w:val="001F5720"/>
    <w:rsid w:val="00200160"/>
    <w:rsid w:val="00201401"/>
    <w:rsid w:val="00201CDB"/>
    <w:rsid w:val="00203CC3"/>
    <w:rsid w:val="00203EFD"/>
    <w:rsid w:val="00205457"/>
    <w:rsid w:val="00207C88"/>
    <w:rsid w:val="002124CB"/>
    <w:rsid w:val="00213109"/>
    <w:rsid w:val="0021481E"/>
    <w:rsid w:val="002152AF"/>
    <w:rsid w:val="00215932"/>
    <w:rsid w:val="00215A3B"/>
    <w:rsid w:val="002205CB"/>
    <w:rsid w:val="002223D6"/>
    <w:rsid w:val="002233E0"/>
    <w:rsid w:val="00224B26"/>
    <w:rsid w:val="002271A7"/>
    <w:rsid w:val="002333E3"/>
    <w:rsid w:val="00236755"/>
    <w:rsid w:val="00236833"/>
    <w:rsid w:val="002473F6"/>
    <w:rsid w:val="0025096D"/>
    <w:rsid w:val="00251293"/>
    <w:rsid w:val="00252D56"/>
    <w:rsid w:val="002536E0"/>
    <w:rsid w:val="00254F5B"/>
    <w:rsid w:val="00255F48"/>
    <w:rsid w:val="002566F5"/>
    <w:rsid w:val="00256738"/>
    <w:rsid w:val="0025678A"/>
    <w:rsid w:val="00256A8B"/>
    <w:rsid w:val="00260853"/>
    <w:rsid w:val="00264360"/>
    <w:rsid w:val="00267C14"/>
    <w:rsid w:val="00271211"/>
    <w:rsid w:val="002730B4"/>
    <w:rsid w:val="002735E0"/>
    <w:rsid w:val="00280A80"/>
    <w:rsid w:val="0028118C"/>
    <w:rsid w:val="00283F11"/>
    <w:rsid w:val="002942FD"/>
    <w:rsid w:val="00296704"/>
    <w:rsid w:val="00297E79"/>
    <w:rsid w:val="002A0CDE"/>
    <w:rsid w:val="002A1318"/>
    <w:rsid w:val="002A5EE4"/>
    <w:rsid w:val="002B12F6"/>
    <w:rsid w:val="002B4533"/>
    <w:rsid w:val="002B4CE7"/>
    <w:rsid w:val="002B531D"/>
    <w:rsid w:val="002B5C1B"/>
    <w:rsid w:val="002B66C4"/>
    <w:rsid w:val="002B69F3"/>
    <w:rsid w:val="002C0DC9"/>
    <w:rsid w:val="002C1F53"/>
    <w:rsid w:val="002C3192"/>
    <w:rsid w:val="002C4D50"/>
    <w:rsid w:val="002D06DE"/>
    <w:rsid w:val="002D3F1F"/>
    <w:rsid w:val="002E0200"/>
    <w:rsid w:val="002F1E6E"/>
    <w:rsid w:val="002F3353"/>
    <w:rsid w:val="002F67FE"/>
    <w:rsid w:val="0030322B"/>
    <w:rsid w:val="00306CA9"/>
    <w:rsid w:val="0031218F"/>
    <w:rsid w:val="00312E97"/>
    <w:rsid w:val="00313721"/>
    <w:rsid w:val="003138A7"/>
    <w:rsid w:val="0032130E"/>
    <w:rsid w:val="00323369"/>
    <w:rsid w:val="00323A6D"/>
    <w:rsid w:val="00326C44"/>
    <w:rsid w:val="00326E84"/>
    <w:rsid w:val="00327855"/>
    <w:rsid w:val="003325EB"/>
    <w:rsid w:val="0033366F"/>
    <w:rsid w:val="00333E25"/>
    <w:rsid w:val="00336460"/>
    <w:rsid w:val="00336C12"/>
    <w:rsid w:val="003375BE"/>
    <w:rsid w:val="00337714"/>
    <w:rsid w:val="0034018B"/>
    <w:rsid w:val="003413FE"/>
    <w:rsid w:val="00343C07"/>
    <w:rsid w:val="0034410B"/>
    <w:rsid w:val="00344237"/>
    <w:rsid w:val="00346C39"/>
    <w:rsid w:val="00350D51"/>
    <w:rsid w:val="00351852"/>
    <w:rsid w:val="003523D3"/>
    <w:rsid w:val="00353031"/>
    <w:rsid w:val="00353B57"/>
    <w:rsid w:val="00356570"/>
    <w:rsid w:val="00362652"/>
    <w:rsid w:val="00365AE1"/>
    <w:rsid w:val="00365CEC"/>
    <w:rsid w:val="00373B5F"/>
    <w:rsid w:val="003810B0"/>
    <w:rsid w:val="00383400"/>
    <w:rsid w:val="00391E10"/>
    <w:rsid w:val="003941C0"/>
    <w:rsid w:val="003A0328"/>
    <w:rsid w:val="003A0961"/>
    <w:rsid w:val="003A2E2D"/>
    <w:rsid w:val="003B0326"/>
    <w:rsid w:val="003B4EDD"/>
    <w:rsid w:val="003B5FCF"/>
    <w:rsid w:val="003B7243"/>
    <w:rsid w:val="003C0078"/>
    <w:rsid w:val="003C0372"/>
    <w:rsid w:val="003C2E72"/>
    <w:rsid w:val="003C4AFF"/>
    <w:rsid w:val="003C64F5"/>
    <w:rsid w:val="003C70C1"/>
    <w:rsid w:val="003D0861"/>
    <w:rsid w:val="003D2796"/>
    <w:rsid w:val="003D3C08"/>
    <w:rsid w:val="003D48CA"/>
    <w:rsid w:val="003D4B63"/>
    <w:rsid w:val="003D71BB"/>
    <w:rsid w:val="003D7933"/>
    <w:rsid w:val="003E215D"/>
    <w:rsid w:val="003E3337"/>
    <w:rsid w:val="003E6343"/>
    <w:rsid w:val="003E75A9"/>
    <w:rsid w:val="00405C7A"/>
    <w:rsid w:val="004073C0"/>
    <w:rsid w:val="00410467"/>
    <w:rsid w:val="004112D7"/>
    <w:rsid w:val="004155EF"/>
    <w:rsid w:val="00415930"/>
    <w:rsid w:val="00422DFD"/>
    <w:rsid w:val="004248AD"/>
    <w:rsid w:val="00425659"/>
    <w:rsid w:val="004258CD"/>
    <w:rsid w:val="00431C10"/>
    <w:rsid w:val="00432FC0"/>
    <w:rsid w:val="004412FE"/>
    <w:rsid w:val="00441CF2"/>
    <w:rsid w:val="00447E4C"/>
    <w:rsid w:val="00447EB8"/>
    <w:rsid w:val="00453ED7"/>
    <w:rsid w:val="00457E95"/>
    <w:rsid w:val="00460DF6"/>
    <w:rsid w:val="004629E8"/>
    <w:rsid w:val="00462D27"/>
    <w:rsid w:val="004636C3"/>
    <w:rsid w:val="00464262"/>
    <w:rsid w:val="004667C6"/>
    <w:rsid w:val="00466D70"/>
    <w:rsid w:val="0047156C"/>
    <w:rsid w:val="004720FD"/>
    <w:rsid w:val="00475B2E"/>
    <w:rsid w:val="00475E36"/>
    <w:rsid w:val="00480718"/>
    <w:rsid w:val="00481C27"/>
    <w:rsid w:val="004907BB"/>
    <w:rsid w:val="00492779"/>
    <w:rsid w:val="00492F1F"/>
    <w:rsid w:val="00497A41"/>
    <w:rsid w:val="004B16F2"/>
    <w:rsid w:val="004B54A2"/>
    <w:rsid w:val="004B58F2"/>
    <w:rsid w:val="004B7ECC"/>
    <w:rsid w:val="004C012F"/>
    <w:rsid w:val="004C1CFB"/>
    <w:rsid w:val="004C3960"/>
    <w:rsid w:val="004C3E8D"/>
    <w:rsid w:val="004C4091"/>
    <w:rsid w:val="004C7017"/>
    <w:rsid w:val="004D0513"/>
    <w:rsid w:val="004D4298"/>
    <w:rsid w:val="004D4A9C"/>
    <w:rsid w:val="004E0EFA"/>
    <w:rsid w:val="004E2F19"/>
    <w:rsid w:val="004E6730"/>
    <w:rsid w:val="004F0718"/>
    <w:rsid w:val="004F22C0"/>
    <w:rsid w:val="004F44A2"/>
    <w:rsid w:val="0050023A"/>
    <w:rsid w:val="00502293"/>
    <w:rsid w:val="00504A9C"/>
    <w:rsid w:val="005145C1"/>
    <w:rsid w:val="00516D22"/>
    <w:rsid w:val="0052009E"/>
    <w:rsid w:val="005233D2"/>
    <w:rsid w:val="00530DC9"/>
    <w:rsid w:val="00533ACC"/>
    <w:rsid w:val="00536258"/>
    <w:rsid w:val="00541D59"/>
    <w:rsid w:val="0054351C"/>
    <w:rsid w:val="0054585A"/>
    <w:rsid w:val="0055358F"/>
    <w:rsid w:val="00556F11"/>
    <w:rsid w:val="005607CD"/>
    <w:rsid w:val="005609C4"/>
    <w:rsid w:val="00567CB8"/>
    <w:rsid w:val="00570CB3"/>
    <w:rsid w:val="00570F99"/>
    <w:rsid w:val="00572286"/>
    <w:rsid w:val="005727F7"/>
    <w:rsid w:val="00574BA1"/>
    <w:rsid w:val="00575CD8"/>
    <w:rsid w:val="00577ABC"/>
    <w:rsid w:val="00581DEA"/>
    <w:rsid w:val="00583A82"/>
    <w:rsid w:val="00586313"/>
    <w:rsid w:val="00590FC5"/>
    <w:rsid w:val="00591B1A"/>
    <w:rsid w:val="00594182"/>
    <w:rsid w:val="00594416"/>
    <w:rsid w:val="00594610"/>
    <w:rsid w:val="00594CDC"/>
    <w:rsid w:val="0059595B"/>
    <w:rsid w:val="005A16C3"/>
    <w:rsid w:val="005A4BF4"/>
    <w:rsid w:val="005B1BD5"/>
    <w:rsid w:val="005B76E4"/>
    <w:rsid w:val="005C235F"/>
    <w:rsid w:val="005C3297"/>
    <w:rsid w:val="005C3D38"/>
    <w:rsid w:val="005C4C02"/>
    <w:rsid w:val="005C7B94"/>
    <w:rsid w:val="005D0783"/>
    <w:rsid w:val="005D14A4"/>
    <w:rsid w:val="005D5157"/>
    <w:rsid w:val="005D5E84"/>
    <w:rsid w:val="005E5FC8"/>
    <w:rsid w:val="005E7889"/>
    <w:rsid w:val="005F65B0"/>
    <w:rsid w:val="006108D0"/>
    <w:rsid w:val="0061216D"/>
    <w:rsid w:val="00612EFA"/>
    <w:rsid w:val="006144BA"/>
    <w:rsid w:val="00617D4B"/>
    <w:rsid w:val="00617F1A"/>
    <w:rsid w:val="006238B2"/>
    <w:rsid w:val="0063018A"/>
    <w:rsid w:val="0063103E"/>
    <w:rsid w:val="00634293"/>
    <w:rsid w:val="006413D2"/>
    <w:rsid w:val="00642348"/>
    <w:rsid w:val="00642FB4"/>
    <w:rsid w:val="00646FD2"/>
    <w:rsid w:val="006508A5"/>
    <w:rsid w:val="006541B9"/>
    <w:rsid w:val="0065557B"/>
    <w:rsid w:val="006569F3"/>
    <w:rsid w:val="006577F3"/>
    <w:rsid w:val="00661591"/>
    <w:rsid w:val="006716AD"/>
    <w:rsid w:val="006736BE"/>
    <w:rsid w:val="00680308"/>
    <w:rsid w:val="006805CB"/>
    <w:rsid w:val="006821AC"/>
    <w:rsid w:val="00686D70"/>
    <w:rsid w:val="00690B4E"/>
    <w:rsid w:val="006953A0"/>
    <w:rsid w:val="00695889"/>
    <w:rsid w:val="006A1A60"/>
    <w:rsid w:val="006A4000"/>
    <w:rsid w:val="006A6C9A"/>
    <w:rsid w:val="006A6FE1"/>
    <w:rsid w:val="006B7D6D"/>
    <w:rsid w:val="006C0352"/>
    <w:rsid w:val="006C2998"/>
    <w:rsid w:val="006C2BCD"/>
    <w:rsid w:val="006C310F"/>
    <w:rsid w:val="006C317B"/>
    <w:rsid w:val="006C5520"/>
    <w:rsid w:val="006C7D19"/>
    <w:rsid w:val="006D1144"/>
    <w:rsid w:val="006D4341"/>
    <w:rsid w:val="006D6786"/>
    <w:rsid w:val="006D6BD1"/>
    <w:rsid w:val="006D76DE"/>
    <w:rsid w:val="006E0452"/>
    <w:rsid w:val="006E15D4"/>
    <w:rsid w:val="006E64AE"/>
    <w:rsid w:val="006F7B98"/>
    <w:rsid w:val="00704DC6"/>
    <w:rsid w:val="00710B19"/>
    <w:rsid w:val="00713C6F"/>
    <w:rsid w:val="007141B1"/>
    <w:rsid w:val="00717741"/>
    <w:rsid w:val="00720C37"/>
    <w:rsid w:val="00721DDC"/>
    <w:rsid w:val="00722126"/>
    <w:rsid w:val="00723551"/>
    <w:rsid w:val="007278F1"/>
    <w:rsid w:val="007305A6"/>
    <w:rsid w:val="0073094A"/>
    <w:rsid w:val="00731F38"/>
    <w:rsid w:val="00732954"/>
    <w:rsid w:val="00736F93"/>
    <w:rsid w:val="00737013"/>
    <w:rsid w:val="00737CCC"/>
    <w:rsid w:val="00740DD6"/>
    <w:rsid w:val="00744509"/>
    <w:rsid w:val="00745551"/>
    <w:rsid w:val="0074587C"/>
    <w:rsid w:val="00745C48"/>
    <w:rsid w:val="00750653"/>
    <w:rsid w:val="007506D8"/>
    <w:rsid w:val="00755883"/>
    <w:rsid w:val="0076142A"/>
    <w:rsid w:val="0076251E"/>
    <w:rsid w:val="00765B6D"/>
    <w:rsid w:val="007665B5"/>
    <w:rsid w:val="00767AFC"/>
    <w:rsid w:val="00774792"/>
    <w:rsid w:val="007774B2"/>
    <w:rsid w:val="007810C5"/>
    <w:rsid w:val="00783A24"/>
    <w:rsid w:val="007860BF"/>
    <w:rsid w:val="00787625"/>
    <w:rsid w:val="00787B9B"/>
    <w:rsid w:val="00790165"/>
    <w:rsid w:val="00790292"/>
    <w:rsid w:val="0079388D"/>
    <w:rsid w:val="00795E0F"/>
    <w:rsid w:val="007A12DA"/>
    <w:rsid w:val="007A45EB"/>
    <w:rsid w:val="007A4B06"/>
    <w:rsid w:val="007A5539"/>
    <w:rsid w:val="007A5C77"/>
    <w:rsid w:val="007A63A3"/>
    <w:rsid w:val="007B38C0"/>
    <w:rsid w:val="007B4891"/>
    <w:rsid w:val="007C1FE2"/>
    <w:rsid w:val="007C29AF"/>
    <w:rsid w:val="007C2D4E"/>
    <w:rsid w:val="007C3CA2"/>
    <w:rsid w:val="007C52F0"/>
    <w:rsid w:val="007D0836"/>
    <w:rsid w:val="007D0AB3"/>
    <w:rsid w:val="007D3F31"/>
    <w:rsid w:val="007D64B2"/>
    <w:rsid w:val="007D64B8"/>
    <w:rsid w:val="007E344F"/>
    <w:rsid w:val="007E3749"/>
    <w:rsid w:val="007E3DA1"/>
    <w:rsid w:val="007E57E1"/>
    <w:rsid w:val="007E6A98"/>
    <w:rsid w:val="007E767D"/>
    <w:rsid w:val="007F0069"/>
    <w:rsid w:val="007F306F"/>
    <w:rsid w:val="007F467E"/>
    <w:rsid w:val="007F46F5"/>
    <w:rsid w:val="007F7F67"/>
    <w:rsid w:val="00800A66"/>
    <w:rsid w:val="0080230B"/>
    <w:rsid w:val="008046FA"/>
    <w:rsid w:val="0080612C"/>
    <w:rsid w:val="008065A4"/>
    <w:rsid w:val="008152CC"/>
    <w:rsid w:val="00825CAE"/>
    <w:rsid w:val="00830314"/>
    <w:rsid w:val="00834D8B"/>
    <w:rsid w:val="00835998"/>
    <w:rsid w:val="00836BAD"/>
    <w:rsid w:val="00841DC6"/>
    <w:rsid w:val="00842A70"/>
    <w:rsid w:val="00843B57"/>
    <w:rsid w:val="00850265"/>
    <w:rsid w:val="008516C1"/>
    <w:rsid w:val="00852B07"/>
    <w:rsid w:val="008566B7"/>
    <w:rsid w:val="00860654"/>
    <w:rsid w:val="00864DCA"/>
    <w:rsid w:val="00864EE1"/>
    <w:rsid w:val="008654AF"/>
    <w:rsid w:val="00865B27"/>
    <w:rsid w:val="008673CB"/>
    <w:rsid w:val="00870868"/>
    <w:rsid w:val="008712CC"/>
    <w:rsid w:val="00871AEB"/>
    <w:rsid w:val="008727F2"/>
    <w:rsid w:val="00872DE7"/>
    <w:rsid w:val="00875140"/>
    <w:rsid w:val="008815F8"/>
    <w:rsid w:val="00881BF1"/>
    <w:rsid w:val="00881CDE"/>
    <w:rsid w:val="00885B5F"/>
    <w:rsid w:val="00885F71"/>
    <w:rsid w:val="00886C8F"/>
    <w:rsid w:val="00890C12"/>
    <w:rsid w:val="00893150"/>
    <w:rsid w:val="00893929"/>
    <w:rsid w:val="00896F9A"/>
    <w:rsid w:val="008973DA"/>
    <w:rsid w:val="008A0792"/>
    <w:rsid w:val="008A0BC2"/>
    <w:rsid w:val="008A48B5"/>
    <w:rsid w:val="008B2857"/>
    <w:rsid w:val="008B3A38"/>
    <w:rsid w:val="008C0B07"/>
    <w:rsid w:val="008C314A"/>
    <w:rsid w:val="008C3177"/>
    <w:rsid w:val="008C5972"/>
    <w:rsid w:val="008C643D"/>
    <w:rsid w:val="008C78D2"/>
    <w:rsid w:val="008D243A"/>
    <w:rsid w:val="008D3296"/>
    <w:rsid w:val="008D6A5A"/>
    <w:rsid w:val="008E2016"/>
    <w:rsid w:val="008F2904"/>
    <w:rsid w:val="008F6491"/>
    <w:rsid w:val="008F7A96"/>
    <w:rsid w:val="00910FAB"/>
    <w:rsid w:val="00914F96"/>
    <w:rsid w:val="009158B6"/>
    <w:rsid w:val="00917C4C"/>
    <w:rsid w:val="00920576"/>
    <w:rsid w:val="00920711"/>
    <w:rsid w:val="0092123C"/>
    <w:rsid w:val="00921986"/>
    <w:rsid w:val="009220EE"/>
    <w:rsid w:val="0092461F"/>
    <w:rsid w:val="00924664"/>
    <w:rsid w:val="00925244"/>
    <w:rsid w:val="009356C9"/>
    <w:rsid w:val="00936B1C"/>
    <w:rsid w:val="009428CB"/>
    <w:rsid w:val="00947A56"/>
    <w:rsid w:val="00950FDE"/>
    <w:rsid w:val="009526E9"/>
    <w:rsid w:val="00953670"/>
    <w:rsid w:val="00955FFB"/>
    <w:rsid w:val="009624C9"/>
    <w:rsid w:val="009747FB"/>
    <w:rsid w:val="00975561"/>
    <w:rsid w:val="00976507"/>
    <w:rsid w:val="0097736B"/>
    <w:rsid w:val="00980D21"/>
    <w:rsid w:val="00983F9F"/>
    <w:rsid w:val="009939B0"/>
    <w:rsid w:val="009964EB"/>
    <w:rsid w:val="0099784B"/>
    <w:rsid w:val="009A61C3"/>
    <w:rsid w:val="009B15F9"/>
    <w:rsid w:val="009B2D02"/>
    <w:rsid w:val="009B470E"/>
    <w:rsid w:val="009C35E2"/>
    <w:rsid w:val="009C4955"/>
    <w:rsid w:val="009C7AF2"/>
    <w:rsid w:val="009D118D"/>
    <w:rsid w:val="009D16A1"/>
    <w:rsid w:val="009D1701"/>
    <w:rsid w:val="009D6D6F"/>
    <w:rsid w:val="009E109F"/>
    <w:rsid w:val="009E2352"/>
    <w:rsid w:val="009E2EEF"/>
    <w:rsid w:val="009E3295"/>
    <w:rsid w:val="009E3451"/>
    <w:rsid w:val="009E65FD"/>
    <w:rsid w:val="009F0843"/>
    <w:rsid w:val="009F68D1"/>
    <w:rsid w:val="00A00F12"/>
    <w:rsid w:val="00A0147F"/>
    <w:rsid w:val="00A0639E"/>
    <w:rsid w:val="00A10575"/>
    <w:rsid w:val="00A10B71"/>
    <w:rsid w:val="00A115FB"/>
    <w:rsid w:val="00A11E0C"/>
    <w:rsid w:val="00A17BBA"/>
    <w:rsid w:val="00A2109A"/>
    <w:rsid w:val="00A21B31"/>
    <w:rsid w:val="00A221DA"/>
    <w:rsid w:val="00A2464B"/>
    <w:rsid w:val="00A254DD"/>
    <w:rsid w:val="00A302D2"/>
    <w:rsid w:val="00A31158"/>
    <w:rsid w:val="00A3154C"/>
    <w:rsid w:val="00A31C6A"/>
    <w:rsid w:val="00A3678B"/>
    <w:rsid w:val="00A42557"/>
    <w:rsid w:val="00A44897"/>
    <w:rsid w:val="00A45E54"/>
    <w:rsid w:val="00A478DB"/>
    <w:rsid w:val="00A52365"/>
    <w:rsid w:val="00A53357"/>
    <w:rsid w:val="00A53DA2"/>
    <w:rsid w:val="00A5457E"/>
    <w:rsid w:val="00A54947"/>
    <w:rsid w:val="00A577CA"/>
    <w:rsid w:val="00A617CC"/>
    <w:rsid w:val="00A63BB6"/>
    <w:rsid w:val="00A7779F"/>
    <w:rsid w:val="00A80D85"/>
    <w:rsid w:val="00A8169B"/>
    <w:rsid w:val="00A81700"/>
    <w:rsid w:val="00A954B5"/>
    <w:rsid w:val="00A95C10"/>
    <w:rsid w:val="00AA37F0"/>
    <w:rsid w:val="00AA510C"/>
    <w:rsid w:val="00AA6D90"/>
    <w:rsid w:val="00AB06D8"/>
    <w:rsid w:val="00AB4FB8"/>
    <w:rsid w:val="00AD040F"/>
    <w:rsid w:val="00AD197C"/>
    <w:rsid w:val="00AD1C8F"/>
    <w:rsid w:val="00AD6DB9"/>
    <w:rsid w:val="00AE07B9"/>
    <w:rsid w:val="00AE2F43"/>
    <w:rsid w:val="00AE378E"/>
    <w:rsid w:val="00AE4D51"/>
    <w:rsid w:val="00AE5757"/>
    <w:rsid w:val="00AE6AF9"/>
    <w:rsid w:val="00AF4816"/>
    <w:rsid w:val="00AF5201"/>
    <w:rsid w:val="00AF7C33"/>
    <w:rsid w:val="00B008E2"/>
    <w:rsid w:val="00B02891"/>
    <w:rsid w:val="00B03141"/>
    <w:rsid w:val="00B0377F"/>
    <w:rsid w:val="00B07873"/>
    <w:rsid w:val="00B10CE4"/>
    <w:rsid w:val="00B10DF0"/>
    <w:rsid w:val="00B1163A"/>
    <w:rsid w:val="00B126C9"/>
    <w:rsid w:val="00B13A69"/>
    <w:rsid w:val="00B16815"/>
    <w:rsid w:val="00B16E12"/>
    <w:rsid w:val="00B17A5B"/>
    <w:rsid w:val="00B23487"/>
    <w:rsid w:val="00B239C0"/>
    <w:rsid w:val="00B24A64"/>
    <w:rsid w:val="00B26049"/>
    <w:rsid w:val="00B266F0"/>
    <w:rsid w:val="00B26E0E"/>
    <w:rsid w:val="00B334FB"/>
    <w:rsid w:val="00B35299"/>
    <w:rsid w:val="00B3592E"/>
    <w:rsid w:val="00B3740B"/>
    <w:rsid w:val="00B40E72"/>
    <w:rsid w:val="00B4651C"/>
    <w:rsid w:val="00B46C42"/>
    <w:rsid w:val="00B52BD4"/>
    <w:rsid w:val="00B52FAB"/>
    <w:rsid w:val="00B55678"/>
    <w:rsid w:val="00B658B2"/>
    <w:rsid w:val="00B6752B"/>
    <w:rsid w:val="00B67D2A"/>
    <w:rsid w:val="00B7401B"/>
    <w:rsid w:val="00B807A7"/>
    <w:rsid w:val="00B84629"/>
    <w:rsid w:val="00B91A8B"/>
    <w:rsid w:val="00B95A64"/>
    <w:rsid w:val="00BA2B8F"/>
    <w:rsid w:val="00BA31CF"/>
    <w:rsid w:val="00BA39DA"/>
    <w:rsid w:val="00BA41FB"/>
    <w:rsid w:val="00BB35D3"/>
    <w:rsid w:val="00BB385F"/>
    <w:rsid w:val="00BB5514"/>
    <w:rsid w:val="00BD02EF"/>
    <w:rsid w:val="00BD1ACA"/>
    <w:rsid w:val="00BD2A70"/>
    <w:rsid w:val="00BD2CAE"/>
    <w:rsid w:val="00BD5C94"/>
    <w:rsid w:val="00BD63C1"/>
    <w:rsid w:val="00BD7A96"/>
    <w:rsid w:val="00BE1A7B"/>
    <w:rsid w:val="00BE5684"/>
    <w:rsid w:val="00BF1C5A"/>
    <w:rsid w:val="00BF6168"/>
    <w:rsid w:val="00BF63A0"/>
    <w:rsid w:val="00C00AD0"/>
    <w:rsid w:val="00C026B3"/>
    <w:rsid w:val="00C0325F"/>
    <w:rsid w:val="00C07BE2"/>
    <w:rsid w:val="00C107D3"/>
    <w:rsid w:val="00C112E3"/>
    <w:rsid w:val="00C12252"/>
    <w:rsid w:val="00C13B57"/>
    <w:rsid w:val="00C155F2"/>
    <w:rsid w:val="00C2081D"/>
    <w:rsid w:val="00C23F7A"/>
    <w:rsid w:val="00C241AB"/>
    <w:rsid w:val="00C3079D"/>
    <w:rsid w:val="00C314CD"/>
    <w:rsid w:val="00C36930"/>
    <w:rsid w:val="00C36E96"/>
    <w:rsid w:val="00C4120A"/>
    <w:rsid w:val="00C473FD"/>
    <w:rsid w:val="00C47F38"/>
    <w:rsid w:val="00C51537"/>
    <w:rsid w:val="00C55A78"/>
    <w:rsid w:val="00C5671A"/>
    <w:rsid w:val="00C569E6"/>
    <w:rsid w:val="00C638EA"/>
    <w:rsid w:val="00C66427"/>
    <w:rsid w:val="00C70B25"/>
    <w:rsid w:val="00C70E2E"/>
    <w:rsid w:val="00C72022"/>
    <w:rsid w:val="00C734BA"/>
    <w:rsid w:val="00C757C6"/>
    <w:rsid w:val="00C7674C"/>
    <w:rsid w:val="00C81251"/>
    <w:rsid w:val="00C83FCB"/>
    <w:rsid w:val="00C84CC6"/>
    <w:rsid w:val="00C85723"/>
    <w:rsid w:val="00C87666"/>
    <w:rsid w:val="00C90B3D"/>
    <w:rsid w:val="00CA6562"/>
    <w:rsid w:val="00CB2104"/>
    <w:rsid w:val="00CB29C3"/>
    <w:rsid w:val="00CB2C39"/>
    <w:rsid w:val="00CB2D41"/>
    <w:rsid w:val="00CC66AC"/>
    <w:rsid w:val="00CD060D"/>
    <w:rsid w:val="00CD2057"/>
    <w:rsid w:val="00CD3B61"/>
    <w:rsid w:val="00CD49B7"/>
    <w:rsid w:val="00CE4F04"/>
    <w:rsid w:val="00CF23F7"/>
    <w:rsid w:val="00CF5143"/>
    <w:rsid w:val="00CF6FBB"/>
    <w:rsid w:val="00D0533D"/>
    <w:rsid w:val="00D0567E"/>
    <w:rsid w:val="00D062B7"/>
    <w:rsid w:val="00D0685A"/>
    <w:rsid w:val="00D10DE3"/>
    <w:rsid w:val="00D11CD9"/>
    <w:rsid w:val="00D12E51"/>
    <w:rsid w:val="00D1489C"/>
    <w:rsid w:val="00D151DF"/>
    <w:rsid w:val="00D3032B"/>
    <w:rsid w:val="00D30781"/>
    <w:rsid w:val="00D30D5C"/>
    <w:rsid w:val="00D323DB"/>
    <w:rsid w:val="00D40370"/>
    <w:rsid w:val="00D40456"/>
    <w:rsid w:val="00D42AA2"/>
    <w:rsid w:val="00D4327E"/>
    <w:rsid w:val="00D44642"/>
    <w:rsid w:val="00D45BB0"/>
    <w:rsid w:val="00D54E59"/>
    <w:rsid w:val="00D6250A"/>
    <w:rsid w:val="00D63B60"/>
    <w:rsid w:val="00D6523E"/>
    <w:rsid w:val="00D65F3D"/>
    <w:rsid w:val="00D72982"/>
    <w:rsid w:val="00D82381"/>
    <w:rsid w:val="00D861D2"/>
    <w:rsid w:val="00D91A18"/>
    <w:rsid w:val="00D939F4"/>
    <w:rsid w:val="00D94107"/>
    <w:rsid w:val="00D950F4"/>
    <w:rsid w:val="00D96603"/>
    <w:rsid w:val="00D97FC6"/>
    <w:rsid w:val="00DA1CE9"/>
    <w:rsid w:val="00DA76EB"/>
    <w:rsid w:val="00DA7FAE"/>
    <w:rsid w:val="00DB538D"/>
    <w:rsid w:val="00DB5FCC"/>
    <w:rsid w:val="00DC5B69"/>
    <w:rsid w:val="00DC5BA4"/>
    <w:rsid w:val="00DC6B41"/>
    <w:rsid w:val="00DC75AD"/>
    <w:rsid w:val="00DD05EE"/>
    <w:rsid w:val="00DD26E8"/>
    <w:rsid w:val="00DD5E1F"/>
    <w:rsid w:val="00DD7D54"/>
    <w:rsid w:val="00DE29BF"/>
    <w:rsid w:val="00DE3662"/>
    <w:rsid w:val="00DE3C5D"/>
    <w:rsid w:val="00DE3F58"/>
    <w:rsid w:val="00DE56E6"/>
    <w:rsid w:val="00DF2216"/>
    <w:rsid w:val="00DF42AF"/>
    <w:rsid w:val="00E01110"/>
    <w:rsid w:val="00E021CC"/>
    <w:rsid w:val="00E052D2"/>
    <w:rsid w:val="00E12192"/>
    <w:rsid w:val="00E154E8"/>
    <w:rsid w:val="00E15745"/>
    <w:rsid w:val="00E218AB"/>
    <w:rsid w:val="00E21C26"/>
    <w:rsid w:val="00E21C73"/>
    <w:rsid w:val="00E22954"/>
    <w:rsid w:val="00E25FD5"/>
    <w:rsid w:val="00E2640B"/>
    <w:rsid w:val="00E31176"/>
    <w:rsid w:val="00E33900"/>
    <w:rsid w:val="00E3637F"/>
    <w:rsid w:val="00E40F19"/>
    <w:rsid w:val="00E423A9"/>
    <w:rsid w:val="00E4269F"/>
    <w:rsid w:val="00E42B7D"/>
    <w:rsid w:val="00E44656"/>
    <w:rsid w:val="00E4794C"/>
    <w:rsid w:val="00E528D3"/>
    <w:rsid w:val="00E538E2"/>
    <w:rsid w:val="00E57502"/>
    <w:rsid w:val="00E632CD"/>
    <w:rsid w:val="00E66532"/>
    <w:rsid w:val="00E67D46"/>
    <w:rsid w:val="00E710AA"/>
    <w:rsid w:val="00E72FBC"/>
    <w:rsid w:val="00E77B69"/>
    <w:rsid w:val="00E77D4D"/>
    <w:rsid w:val="00E804E6"/>
    <w:rsid w:val="00E80512"/>
    <w:rsid w:val="00E81D6B"/>
    <w:rsid w:val="00E82EEA"/>
    <w:rsid w:val="00E84390"/>
    <w:rsid w:val="00E850CF"/>
    <w:rsid w:val="00E85776"/>
    <w:rsid w:val="00E863AC"/>
    <w:rsid w:val="00E873AA"/>
    <w:rsid w:val="00E92DFC"/>
    <w:rsid w:val="00E93346"/>
    <w:rsid w:val="00E96231"/>
    <w:rsid w:val="00E97792"/>
    <w:rsid w:val="00EA3178"/>
    <w:rsid w:val="00EB0ADA"/>
    <w:rsid w:val="00EB2666"/>
    <w:rsid w:val="00EB2F80"/>
    <w:rsid w:val="00EB3A63"/>
    <w:rsid w:val="00EB4D88"/>
    <w:rsid w:val="00EB6728"/>
    <w:rsid w:val="00EC3756"/>
    <w:rsid w:val="00EC5E22"/>
    <w:rsid w:val="00EC6D2E"/>
    <w:rsid w:val="00ED1939"/>
    <w:rsid w:val="00ED6C71"/>
    <w:rsid w:val="00ED6EBB"/>
    <w:rsid w:val="00ED7353"/>
    <w:rsid w:val="00ED7983"/>
    <w:rsid w:val="00EE079A"/>
    <w:rsid w:val="00EE3B19"/>
    <w:rsid w:val="00EE5CD5"/>
    <w:rsid w:val="00EE7018"/>
    <w:rsid w:val="00EF1037"/>
    <w:rsid w:val="00EF39D3"/>
    <w:rsid w:val="00F00CC6"/>
    <w:rsid w:val="00F02A94"/>
    <w:rsid w:val="00F0380F"/>
    <w:rsid w:val="00F1055D"/>
    <w:rsid w:val="00F1511C"/>
    <w:rsid w:val="00F16C00"/>
    <w:rsid w:val="00F16CDB"/>
    <w:rsid w:val="00F22037"/>
    <w:rsid w:val="00F22723"/>
    <w:rsid w:val="00F2386D"/>
    <w:rsid w:val="00F250DC"/>
    <w:rsid w:val="00F26019"/>
    <w:rsid w:val="00F3088C"/>
    <w:rsid w:val="00F30A9B"/>
    <w:rsid w:val="00F3324F"/>
    <w:rsid w:val="00F35261"/>
    <w:rsid w:val="00F419E4"/>
    <w:rsid w:val="00F41D1B"/>
    <w:rsid w:val="00F44BC4"/>
    <w:rsid w:val="00F463E6"/>
    <w:rsid w:val="00F477A4"/>
    <w:rsid w:val="00F51B82"/>
    <w:rsid w:val="00F56CE7"/>
    <w:rsid w:val="00F60524"/>
    <w:rsid w:val="00F60966"/>
    <w:rsid w:val="00F626D1"/>
    <w:rsid w:val="00F6453E"/>
    <w:rsid w:val="00F65A21"/>
    <w:rsid w:val="00F71A7E"/>
    <w:rsid w:val="00F728CD"/>
    <w:rsid w:val="00F72A4B"/>
    <w:rsid w:val="00F85D0F"/>
    <w:rsid w:val="00F864FE"/>
    <w:rsid w:val="00F878AF"/>
    <w:rsid w:val="00F90E9E"/>
    <w:rsid w:val="00F950BF"/>
    <w:rsid w:val="00F96369"/>
    <w:rsid w:val="00F979D5"/>
    <w:rsid w:val="00FA0AC6"/>
    <w:rsid w:val="00FA35A4"/>
    <w:rsid w:val="00FA5ADF"/>
    <w:rsid w:val="00FB3248"/>
    <w:rsid w:val="00FC5106"/>
    <w:rsid w:val="00FE028E"/>
    <w:rsid w:val="00FE7164"/>
    <w:rsid w:val="00FF0DAD"/>
    <w:rsid w:val="00FF29D2"/>
    <w:rsid w:val="00FF6F49"/>
    <w:rsid w:val="1B5B1ADF"/>
    <w:rsid w:val="2FFDC78B"/>
    <w:rsid w:val="3BBDC802"/>
    <w:rsid w:val="67DF2C0C"/>
    <w:rsid w:val="7EDF2093"/>
    <w:rsid w:val="A6BAA50E"/>
    <w:rsid w:val="DFFF60B7"/>
    <w:rsid w:val="EAF3765D"/>
    <w:rsid w:val="EBFF8DA8"/>
    <w:rsid w:val="FBFE96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7"/>
    <w:semiHidden/>
    <w:unhideWhenUsed/>
    <w:qFormat/>
    <w:uiPriority w:val="99"/>
    <w:pPr>
      <w:jc w:val="left"/>
    </w:pPr>
  </w:style>
  <w:style w:type="paragraph" w:styleId="3">
    <w:name w:val="Date"/>
    <w:basedOn w:val="1"/>
    <w:next w:val="1"/>
    <w:link w:val="15"/>
    <w:semiHidden/>
    <w:unhideWhenUsed/>
    <w:qFormat/>
    <w:uiPriority w:val="99"/>
    <w:pPr>
      <w:ind w:left="100" w:leftChars="2500"/>
    </w:pPr>
  </w:style>
  <w:style w:type="paragraph" w:styleId="4">
    <w:name w:val="Balloon Text"/>
    <w:basedOn w:val="1"/>
    <w:link w:val="18"/>
    <w:semiHidden/>
    <w:unhideWhenUsed/>
    <w:qFormat/>
    <w:uiPriority w:val="99"/>
    <w:rPr>
      <w:sz w:val="18"/>
      <w:szCs w:val="18"/>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2"/>
    <w:next w:val="2"/>
    <w:link w:val="19"/>
    <w:semiHidden/>
    <w:unhideWhenUsed/>
    <w:qFormat/>
    <w:uiPriority w:val="99"/>
    <w:rPr>
      <w:b/>
      <w:bCs/>
    </w:rPr>
  </w:style>
  <w:style w:type="table" w:styleId="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1">
    <w:name w:val="Hyperlink"/>
    <w:unhideWhenUsed/>
    <w:qFormat/>
    <w:uiPriority w:val="99"/>
    <w:rPr>
      <w:color w:val="0563C1"/>
      <w:u w:val="single"/>
    </w:rPr>
  </w:style>
  <w:style w:type="character" w:styleId="12">
    <w:name w:val="annotation reference"/>
    <w:semiHidden/>
    <w:unhideWhenUsed/>
    <w:qFormat/>
    <w:uiPriority w:val="99"/>
    <w:rPr>
      <w:sz w:val="21"/>
      <w:szCs w:val="21"/>
    </w:rPr>
  </w:style>
  <w:style w:type="character" w:customStyle="1" w:styleId="13">
    <w:name w:val="页眉 Char"/>
    <w:basedOn w:val="10"/>
    <w:link w:val="6"/>
    <w:qFormat/>
    <w:uiPriority w:val="99"/>
    <w:rPr>
      <w:rFonts w:ascii="Calibri" w:hAnsi="Calibri" w:eastAsia="宋体" w:cs="Times New Roman"/>
      <w:sz w:val="18"/>
      <w:szCs w:val="18"/>
    </w:rPr>
  </w:style>
  <w:style w:type="character" w:customStyle="1" w:styleId="14">
    <w:name w:val="页脚 Char"/>
    <w:basedOn w:val="10"/>
    <w:link w:val="5"/>
    <w:qFormat/>
    <w:uiPriority w:val="99"/>
    <w:rPr>
      <w:rFonts w:ascii="Calibri" w:hAnsi="Calibri" w:eastAsia="宋体" w:cs="Times New Roman"/>
      <w:sz w:val="18"/>
      <w:szCs w:val="18"/>
    </w:rPr>
  </w:style>
  <w:style w:type="character" w:customStyle="1" w:styleId="15">
    <w:name w:val="日期 Char"/>
    <w:basedOn w:val="10"/>
    <w:link w:val="3"/>
    <w:semiHidden/>
    <w:qFormat/>
    <w:uiPriority w:val="99"/>
    <w:rPr>
      <w:rFonts w:ascii="Calibri" w:hAnsi="Calibri" w:eastAsia="宋体" w:cs="Times New Roman"/>
    </w:rPr>
  </w:style>
  <w:style w:type="paragraph" w:styleId="16">
    <w:name w:val="List Paragraph"/>
    <w:basedOn w:val="1"/>
    <w:qFormat/>
    <w:uiPriority w:val="99"/>
    <w:pPr>
      <w:ind w:firstLine="420" w:firstLineChars="200"/>
    </w:pPr>
  </w:style>
  <w:style w:type="character" w:customStyle="1" w:styleId="17">
    <w:name w:val="批注文字 Char"/>
    <w:basedOn w:val="10"/>
    <w:link w:val="2"/>
    <w:semiHidden/>
    <w:qFormat/>
    <w:uiPriority w:val="99"/>
    <w:rPr>
      <w:rFonts w:ascii="Calibri" w:hAnsi="Calibri" w:eastAsia="宋体" w:cs="Times New Roman"/>
    </w:rPr>
  </w:style>
  <w:style w:type="character" w:customStyle="1" w:styleId="18">
    <w:name w:val="批注框文本 Char"/>
    <w:basedOn w:val="10"/>
    <w:link w:val="4"/>
    <w:semiHidden/>
    <w:qFormat/>
    <w:uiPriority w:val="99"/>
    <w:rPr>
      <w:rFonts w:ascii="Calibri" w:hAnsi="Calibri" w:eastAsia="宋体" w:cs="Times New Roman"/>
      <w:sz w:val="18"/>
      <w:szCs w:val="18"/>
    </w:rPr>
  </w:style>
  <w:style w:type="character" w:customStyle="1" w:styleId="19">
    <w:name w:val="批注主题 Char"/>
    <w:basedOn w:val="17"/>
    <w:link w:val="7"/>
    <w:semiHidden/>
    <w:qFormat/>
    <w:uiPriority w:val="99"/>
    <w:rPr>
      <w:rFonts w:ascii="Calibri" w:hAnsi="Calibri" w:eastAsia="宋体" w:cs="Times New Roman"/>
      <w:b/>
      <w:bCs/>
    </w:rPr>
  </w:style>
  <w:style w:type="paragraph" w:customStyle="1" w:styleId="20">
    <w:name w:val="修订1"/>
    <w:hidden/>
    <w:semiHidden/>
    <w:qFormat/>
    <w:uiPriority w:val="99"/>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3234</Words>
  <Characters>3249</Characters>
  <Lines>25</Lines>
  <Paragraphs>7</Paragraphs>
  <TotalTime>1</TotalTime>
  <ScaleCrop>false</ScaleCrop>
  <LinksUpToDate>false</LinksUpToDate>
  <CharactersWithSpaces>3335</CharactersWithSpaces>
  <Application>WPS Office_11.8.2.12313_F1E327BC-269C-435d-A152-05C5408002CA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2025-09-16T09:06:00Z</dcterms:created>
  <dc:creator>bse</dc:creator>
  <cp:lastModifiedBy>fanzj</cp:lastModifiedBy>
  <cp:lastPrinted>2022-07-22T07:41:00Z</cp:lastPrinted>
  <dcterms:modified xsi:type="dcterms:W3CDTF">2025-09-19T09:14:56Z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2052-11.8.2.12313</vt:lpwstr>
  </property>
  <property fmtid="{D5CDD505-2E9C-101B-9397-08002B2CF9AE}" pid="3" name="ICV">
    <vt:lpwstr>460333E190AD75862DAECC6871AE1766</vt:lpwstr>
  </property>
</Properties>
</file>