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Times New Roman" w:hAnsi="Times New Roman" w:eastAsia="方正大标宋简体"/>
          <w:sz w:val="44"/>
          <w:szCs w:val="44"/>
        </w:rPr>
      </w:pPr>
    </w:p>
    <w:p>
      <w:pPr>
        <w:spacing w:line="600" w:lineRule="exact"/>
        <w:jc w:val="center"/>
        <w:outlineLvl w:val="0"/>
        <w:rPr>
          <w:rFonts w:hint="eastAsia" w:ascii="Times New Roman" w:hAnsi="Times New Roman" w:eastAsia="方正大标宋简体"/>
          <w:sz w:val="44"/>
          <w:szCs w:val="44"/>
        </w:rPr>
      </w:pPr>
      <w:r>
        <w:rPr>
          <w:rFonts w:hint="eastAsia" w:ascii="Times New Roman" w:hAnsi="Times New Roman" w:eastAsia="方正大标宋简体"/>
          <w:sz w:val="44"/>
          <w:szCs w:val="44"/>
        </w:rPr>
        <w:t>关于进一步支持发行科技创新债券</w:t>
      </w:r>
    </w:p>
    <w:p>
      <w:pPr>
        <w:spacing w:line="600" w:lineRule="exact"/>
        <w:jc w:val="center"/>
        <w:outlineLvl w:val="0"/>
        <w:rPr>
          <w:rFonts w:ascii="方正大标宋简体" w:hAnsi="宋体" w:eastAsia="方正大标宋简体"/>
          <w:color w:val="000000"/>
          <w:sz w:val="44"/>
          <w:szCs w:val="44"/>
        </w:rPr>
      </w:pPr>
      <w:r>
        <w:rPr>
          <w:rFonts w:hint="eastAsia" w:ascii="Times New Roman" w:hAnsi="Times New Roman" w:eastAsia="方正大标宋简体"/>
          <w:sz w:val="44"/>
          <w:szCs w:val="44"/>
        </w:rPr>
        <w:t>服务新质生产力的通知</w:t>
      </w:r>
    </w:p>
    <w:p>
      <w:pPr>
        <w:spacing w:line="600" w:lineRule="exact"/>
        <w:ind w:firstLine="612"/>
        <w:rPr>
          <w:rFonts w:ascii="Times New Roman" w:hAnsi="Times New Roman" w:eastAsia="方正仿宋简体"/>
          <w:sz w:val="30"/>
          <w:szCs w:val="30"/>
        </w:rPr>
      </w:pP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default" w:ascii="Times New Roman" w:hAnsi="Times New Roman" w:eastAsia="仿宋" w:cs="Times New Roman"/>
          <w:sz w:val="32"/>
          <w:szCs w:val="32"/>
        </w:rPr>
      </w:pPr>
      <w:r>
        <w:rPr>
          <w:rFonts w:hint="default" w:ascii="Times New Roman" w:hAnsi="Times New Roman" w:eastAsia="仿宋" w:cs="Times New Roman"/>
          <w:sz w:val="32"/>
          <w:szCs w:val="32"/>
        </w:rPr>
        <w:t>各市场参与人：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Times New Roman" w:hAnsi="Times New Roman" w:eastAsia="仿宋" w:cs="Times New Roman"/>
          <w:sz w:val="32"/>
          <w:szCs w:val="32"/>
          <w:lang w:eastAsia="zh-CN"/>
        </w:rPr>
      </w:pPr>
      <w:r>
        <w:rPr>
          <w:rFonts w:hint="default" w:ascii="Times New Roman" w:hAnsi="Times New Roman" w:eastAsia="仿宋" w:cs="Times New Roman"/>
          <w:sz w:val="32"/>
          <w:szCs w:val="32"/>
        </w:rPr>
        <w:t>为</w:t>
      </w:r>
      <w:r>
        <w:rPr>
          <w:rFonts w:hint="eastAsia" w:ascii="Times New Roman" w:hAnsi="Times New Roman" w:eastAsia="仿宋" w:cs="Times New Roman"/>
          <w:sz w:val="32"/>
          <w:szCs w:val="32"/>
          <w:lang w:eastAsia="zh-CN"/>
        </w:rPr>
        <w:t>了</w:t>
      </w:r>
      <w:r>
        <w:rPr>
          <w:rFonts w:hint="default" w:ascii="Times New Roman" w:hAnsi="Times New Roman" w:eastAsia="仿宋" w:cs="Times New Roman"/>
          <w:sz w:val="32"/>
          <w:szCs w:val="32"/>
        </w:rPr>
        <w:t>深入贯彻党的二十届三中全会精神，落实中国人民银行、中国证监会联合发布的关于支持发行科技创新债券有关事宜的公告</w:t>
      </w:r>
      <w:r>
        <w:rPr>
          <w:rFonts w:hint="eastAsia" w:ascii="Times New Roman" w:hAnsi="Times New Roman" w:eastAsia="仿宋" w:cs="Times New Roman"/>
          <w:sz w:val="32"/>
          <w:szCs w:val="32"/>
          <w:lang w:eastAsia="zh-CN"/>
        </w:rPr>
        <w:t>（中国人民银行</w:t>
      </w:r>
      <w:r>
        <w:rPr>
          <w:rFonts w:hint="eastAsia" w:ascii="Times New Roman" w:hAnsi="Times New Roman" w:eastAsia="仿宋" w:cs="Times New Roman"/>
          <w:sz w:val="32"/>
          <w:szCs w:val="32"/>
          <w:lang w:val="en-US" w:eastAsia="zh-CN"/>
        </w:rPr>
        <w:t xml:space="preserve"> 中国证监会公告〔2025〕8号</w:t>
      </w:r>
      <w:r>
        <w:rPr>
          <w:rFonts w:hint="eastAsia" w:ascii="Times New Roman" w:hAnsi="Times New Roman" w:eastAsia="仿宋" w:cs="Times New Roman"/>
          <w:sz w:val="32"/>
          <w:szCs w:val="32"/>
          <w:lang w:eastAsia="zh-CN"/>
        </w:rPr>
        <w:t>）要求，</w:t>
      </w:r>
      <w:r>
        <w:rPr>
          <w:rFonts w:hint="default" w:ascii="Times New Roman" w:hAnsi="Times New Roman" w:eastAsia="仿宋" w:cs="Times New Roman"/>
          <w:sz w:val="32"/>
          <w:szCs w:val="32"/>
        </w:rPr>
        <w:t>加快多层次债券市场发展，</w:t>
      </w:r>
      <w:r>
        <w:rPr>
          <w:rFonts w:hint="eastAsia" w:ascii="Times New Roman" w:hAnsi="Times New Roman" w:eastAsia="仿宋" w:cs="Times New Roman"/>
          <w:sz w:val="32"/>
          <w:szCs w:val="32"/>
          <w:lang w:eastAsia="zh-CN"/>
        </w:rPr>
        <w:t>积极支持发行科技创新债券，</w:t>
      </w:r>
      <w:r>
        <w:rPr>
          <w:rFonts w:hint="default" w:ascii="Times New Roman" w:hAnsi="Times New Roman" w:eastAsia="仿宋" w:cs="Times New Roman"/>
          <w:sz w:val="32"/>
          <w:szCs w:val="32"/>
        </w:rPr>
        <w:t>服务新质生产力，更好发挥债券市场功能，</w:t>
      </w:r>
      <w:r>
        <w:rPr>
          <w:rFonts w:hint="default" w:ascii="Times New Roman" w:hAnsi="Times New Roman" w:eastAsia="仿宋" w:cs="Times New Roman"/>
          <w:sz w:val="32"/>
          <w:szCs w:val="32"/>
          <w:lang w:eastAsia="zh-CN"/>
        </w:rPr>
        <w:t>北京</w:t>
      </w:r>
      <w:r>
        <w:rPr>
          <w:rFonts w:hint="default" w:ascii="Times New Roman" w:hAnsi="Times New Roman" w:eastAsia="仿宋" w:cs="Times New Roman"/>
          <w:sz w:val="32"/>
          <w:szCs w:val="32"/>
        </w:rPr>
        <w:t>证券交易</w:t>
      </w:r>
      <w:bookmarkStart w:id="0" w:name="_GoBack"/>
      <w:bookmarkEnd w:id="0"/>
      <w:r>
        <w:rPr>
          <w:rFonts w:hint="default" w:ascii="Times New Roman" w:hAnsi="Times New Roman" w:eastAsia="仿宋" w:cs="Times New Roman"/>
          <w:sz w:val="32"/>
          <w:szCs w:val="32"/>
        </w:rPr>
        <w:t>所（以下简称本所）现将进一步支持发行科技创新债券有关事项通知如下：</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0"/>
        <w:rPr>
          <w:rFonts w:hint="default" w:ascii="Times New Roman" w:hAnsi="Times New Roman" w:eastAsia="黑体" w:cs="Times New Roman"/>
          <w:sz w:val="32"/>
          <w:szCs w:val="32"/>
        </w:rPr>
      </w:pPr>
      <w:r>
        <w:rPr>
          <w:rFonts w:hint="default" w:ascii="Times New Roman" w:hAnsi="Times New Roman" w:eastAsia="黑体" w:cs="Times New Roman"/>
          <w:sz w:val="32"/>
          <w:szCs w:val="32"/>
        </w:rPr>
        <w:t>一、进一步拓宽发行主体和募集资金使用范围，扩大科技金融服务覆盖面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 w:cs="Times New Roman"/>
          <w:sz w:val="32"/>
          <w:szCs w:val="32"/>
        </w:rPr>
      </w:pPr>
      <w:r>
        <w:rPr>
          <w:rFonts w:hint="default" w:ascii="Times New Roman" w:hAnsi="Times New Roman" w:eastAsia="楷体" w:cs="Times New Roman"/>
          <w:b w:val="0"/>
          <w:bCs/>
          <w:sz w:val="32"/>
          <w:szCs w:val="32"/>
        </w:rPr>
        <w:t>（一）新增支持金融机构发行科技创新债券。</w:t>
      </w:r>
      <w:r>
        <w:rPr>
          <w:rFonts w:hint="default" w:ascii="Times New Roman" w:hAnsi="Times New Roman" w:eastAsia="仿宋" w:cs="Times New Roman"/>
          <w:sz w:val="32"/>
          <w:szCs w:val="32"/>
        </w:rPr>
        <w:t>在继续支持科创企业类、科创升级类、科创投资类和科创孵化类发行人发行科技创新债券的基础上，新增支持商业银行、证券公司、金融资产投资公司等金融机构发行科技创新债券，发挥投融资服务专业优势，依法运用募集资金通过贷款，股权、债券、基金投资，资本中介服务等多种途径，专项支持科技创新领域业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 w:cs="Times New Roman"/>
          <w:sz w:val="32"/>
          <w:szCs w:val="32"/>
        </w:rPr>
      </w:pPr>
      <w:r>
        <w:rPr>
          <w:rFonts w:hint="default" w:ascii="Times New Roman" w:hAnsi="Times New Roman" w:eastAsia="楷体" w:cs="Times New Roman"/>
          <w:b w:val="0"/>
          <w:bCs/>
          <w:sz w:val="32"/>
          <w:szCs w:val="32"/>
        </w:rPr>
        <w:t>（二）新增支持股权投资机构募集资金用于私募股权投资基金。</w:t>
      </w:r>
      <w:r>
        <w:rPr>
          <w:rFonts w:hint="default" w:ascii="Times New Roman" w:hAnsi="Times New Roman" w:eastAsia="仿宋" w:cs="Times New Roman"/>
          <w:sz w:val="32"/>
          <w:szCs w:val="32"/>
        </w:rPr>
        <w:t>支持具有丰富投资经验、出色管理业绩、优秀管理团队的私募股权投资机构和创业投资机构发行科技创新债券，募集资金用于私募股权投资基金的设立、扩募等。</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0"/>
        <w:rPr>
          <w:rFonts w:hint="default" w:ascii="Times New Roman" w:hAnsi="Times New Roman" w:eastAsia="黑体" w:cs="Times New Roman"/>
          <w:sz w:val="32"/>
          <w:szCs w:val="32"/>
        </w:rPr>
      </w:pPr>
      <w:r>
        <w:rPr>
          <w:rFonts w:hint="default" w:ascii="Times New Roman" w:hAnsi="Times New Roman" w:eastAsia="黑体" w:cs="Times New Roman"/>
          <w:sz w:val="32"/>
          <w:szCs w:val="32"/>
        </w:rPr>
        <w:t>二、进一步简化信息披露安排，提升信息披露针对性和有效性</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楷体" w:cs="Times New Roman"/>
          <w:b w:val="0"/>
          <w:bCs/>
          <w:sz w:val="32"/>
          <w:szCs w:val="32"/>
        </w:rPr>
        <w:t>（三）简化科技创新债券信息披露安排。</w:t>
      </w:r>
      <w:r>
        <w:rPr>
          <w:rFonts w:hint="default" w:ascii="Times New Roman" w:hAnsi="Times New Roman" w:eastAsia="仿宋" w:cs="Times New Roman"/>
          <w:sz w:val="32"/>
          <w:szCs w:val="32"/>
        </w:rPr>
        <w:t>科技创新债券发行人可以按照本所业务规则的规定适用简明信息披露安排，简化申报发行材料和信息披露，发行人可与投资者约定豁免相关披露信息。资产负债率不高于同行业平均水平、具有行业领先地位的科技型企业发行人可以申请适当延长年度、半年度财务报告有效期，年度财务报告有效期最多延长至当年8月末，半年度财务报告有效期最多延长至次年4月末；最近一期不存在重大不利变化的，可以列表形式简要披露半年度财务报表主要资产负债科目变动情况及变动原因。</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 w:cs="Times New Roman"/>
          <w:b w:val="0"/>
          <w:bCs w:val="0"/>
          <w:sz w:val="32"/>
          <w:szCs w:val="32"/>
        </w:rPr>
      </w:pPr>
      <w:r>
        <w:rPr>
          <w:rFonts w:hint="default" w:ascii="Times New Roman" w:hAnsi="Times New Roman" w:eastAsia="楷体" w:cs="Times New Roman"/>
          <w:b w:val="0"/>
          <w:bCs/>
          <w:sz w:val="32"/>
          <w:szCs w:val="32"/>
        </w:rPr>
        <w:t>（四）简化申报材料签章文件。</w:t>
      </w:r>
      <w:r>
        <w:rPr>
          <w:rFonts w:hint="default" w:ascii="Times New Roman" w:hAnsi="Times New Roman" w:eastAsia="仿宋" w:cs="Times New Roman"/>
          <w:b w:val="0"/>
          <w:bCs w:val="0"/>
          <w:sz w:val="32"/>
          <w:szCs w:val="32"/>
        </w:rPr>
        <w:t>支持科技创新债券发行人董事、监事、高级管理人员在债券项目申请阶段按照规定对债券发行文件签署书面确认意见，并承诺认可各期发行文件、履行规定职责的，每期债券发行前无需另行签署书面确认意见。审计机构已对发行人前期募集说明书中引用的审计报告内容出具过声明页，确认募集说明书与审计报告不存在矛盾，并经主承销商核查本期债券发行文件引用的审计报告内容与前期一致的，每期债券发行前审计机构无需再次签署相关声明。</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0"/>
        <w:rPr>
          <w:rFonts w:hint="default" w:ascii="Times New Roman" w:hAnsi="Times New Roman" w:eastAsia="黑体" w:cs="Times New Roman"/>
          <w:sz w:val="32"/>
          <w:szCs w:val="32"/>
        </w:rPr>
      </w:pPr>
      <w:r>
        <w:rPr>
          <w:rFonts w:hint="default" w:ascii="Times New Roman" w:hAnsi="Times New Roman" w:eastAsia="黑体" w:cs="Times New Roman"/>
          <w:sz w:val="32"/>
          <w:szCs w:val="32"/>
        </w:rPr>
        <w:t>三、进一步完善配套支持机制，打造一二级联动、投融资协同的良好市场生态</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楷体" w:cs="Times New Roman"/>
          <w:b w:val="0"/>
          <w:bCs/>
          <w:sz w:val="32"/>
          <w:szCs w:val="32"/>
        </w:rPr>
        <w:t>（五）健全科技创新债券融资审核“绿色通道”机制。</w:t>
      </w:r>
      <w:r>
        <w:rPr>
          <w:rFonts w:hint="default" w:ascii="Times New Roman" w:hAnsi="Times New Roman" w:eastAsia="仿宋" w:cs="Times New Roman"/>
          <w:sz w:val="32"/>
          <w:szCs w:val="32"/>
        </w:rPr>
        <w:t>发行人申报和发行科技创新债券适用</w:t>
      </w:r>
      <w:r>
        <w:rPr>
          <w:rFonts w:hint="eastAsia" w:ascii="Times New Roman" w:hAnsi="Times New Roman" w:eastAsia="仿宋" w:cs="Times New Roman"/>
          <w:sz w:val="32"/>
          <w:szCs w:val="32"/>
          <w:lang w:eastAsia="zh-CN"/>
        </w:rPr>
        <w:t>“</w:t>
      </w:r>
      <w:r>
        <w:rPr>
          <w:rFonts w:hint="default" w:ascii="Times New Roman" w:hAnsi="Times New Roman" w:eastAsia="仿宋" w:cs="Times New Roman"/>
          <w:sz w:val="32"/>
          <w:szCs w:val="32"/>
        </w:rPr>
        <w:t>即报即审</w:t>
      </w:r>
      <w:r>
        <w:rPr>
          <w:rFonts w:hint="eastAsia" w:ascii="Times New Roman" w:hAnsi="Times New Roman" w:eastAsia="仿宋" w:cs="Times New Roman"/>
          <w:sz w:val="32"/>
          <w:szCs w:val="32"/>
          <w:lang w:eastAsia="zh-CN"/>
        </w:rPr>
        <w:t>”</w:t>
      </w:r>
      <w:r>
        <w:rPr>
          <w:rFonts w:hint="default" w:ascii="Times New Roman" w:hAnsi="Times New Roman" w:eastAsia="仿宋" w:cs="Times New Roman"/>
          <w:sz w:val="32"/>
          <w:szCs w:val="32"/>
        </w:rPr>
        <w:t>的</w:t>
      </w:r>
      <w:r>
        <w:rPr>
          <w:rFonts w:hint="eastAsia" w:ascii="Times New Roman" w:hAnsi="Times New Roman" w:eastAsia="仿宋" w:cs="Times New Roman"/>
          <w:sz w:val="32"/>
          <w:szCs w:val="32"/>
          <w:lang w:eastAsia="zh-CN"/>
        </w:rPr>
        <w:t>“</w:t>
      </w:r>
      <w:r>
        <w:rPr>
          <w:rFonts w:hint="default" w:ascii="Times New Roman" w:hAnsi="Times New Roman" w:eastAsia="仿宋" w:cs="Times New Roman"/>
          <w:sz w:val="32"/>
          <w:szCs w:val="32"/>
        </w:rPr>
        <w:t>绿色通道</w:t>
      </w:r>
      <w:r>
        <w:rPr>
          <w:rFonts w:hint="eastAsia" w:ascii="Times New Roman" w:hAnsi="Times New Roman" w:eastAsia="仿宋" w:cs="Times New Roman"/>
          <w:sz w:val="32"/>
          <w:szCs w:val="32"/>
          <w:lang w:eastAsia="zh-CN"/>
        </w:rPr>
        <w:t>”</w:t>
      </w:r>
      <w:r>
        <w:rPr>
          <w:rFonts w:hint="default" w:ascii="Times New Roman" w:hAnsi="Times New Roman" w:eastAsia="仿宋" w:cs="Times New Roman"/>
          <w:sz w:val="32"/>
          <w:szCs w:val="32"/>
        </w:rPr>
        <w:t>机制。突破关键核心技术的科技型企业可以参照适用知名成熟发行人优化审核安排，提升科创债审核注册效率，对不存在需重点关注的负面情形的，本所审核时限原则上不超过10个工作日。</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 w:cs="Times New Roman"/>
          <w:b/>
          <w:sz w:val="32"/>
          <w:szCs w:val="32"/>
        </w:rPr>
      </w:pPr>
      <w:r>
        <w:rPr>
          <w:rFonts w:hint="default" w:ascii="Times New Roman" w:hAnsi="Times New Roman" w:eastAsia="楷体" w:cs="Times New Roman"/>
          <w:b w:val="0"/>
          <w:bCs/>
          <w:sz w:val="32"/>
          <w:szCs w:val="32"/>
        </w:rPr>
        <w:t>（六）鼓励发行人创新设计债券条款。</w:t>
      </w:r>
      <w:r>
        <w:rPr>
          <w:rFonts w:hint="default" w:ascii="Times New Roman" w:hAnsi="Times New Roman" w:eastAsia="仿宋" w:cs="Times New Roman"/>
          <w:sz w:val="32"/>
          <w:szCs w:val="32"/>
        </w:rPr>
        <w:t>鼓励发行人对发行方式、期限结构、利率确定和计算方式、还本付息方式、赎回或转换选择权、增信方式等方面进行创新。支持发行人设置预期收益质押担保、知识产权质押担保、可转换为股权、票面利率与科创企业成长或募投项目收益挂钩、以募投项目收益现金流为主要偿债来源等创新条款。</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 w:cs="Times New Roman"/>
          <w:sz w:val="32"/>
          <w:szCs w:val="32"/>
        </w:rPr>
      </w:pPr>
      <w:r>
        <w:rPr>
          <w:rFonts w:hint="default" w:ascii="Times New Roman" w:hAnsi="Times New Roman" w:eastAsia="楷体" w:cs="Times New Roman"/>
          <w:b w:val="0"/>
          <w:bCs/>
          <w:sz w:val="32"/>
          <w:szCs w:val="32"/>
        </w:rPr>
        <w:t>（七）优化科技创新债券做市等交易机制安排。</w:t>
      </w:r>
      <w:r>
        <w:rPr>
          <w:rFonts w:hint="default" w:ascii="Times New Roman" w:hAnsi="Times New Roman" w:eastAsia="仿宋" w:cs="Times New Roman"/>
          <w:sz w:val="32"/>
          <w:szCs w:val="32"/>
        </w:rPr>
        <w:t>支持科技创新债券质押融资，质押折扣系数可以在债券各档位对应折扣系数取值基础上适当上浮，并适度降低科技创新债券纳入基准做市券门槛。鼓励证券公司为科技创新债券提供承销与做市报价联动服务，本所将证券公司开展科技创新债券承销、做市业务情况纳入证券公司年度评价、参与创新业务或产品试点的考虑因素。</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 w:cs="Times New Roman"/>
          <w:b/>
          <w:sz w:val="32"/>
          <w:szCs w:val="32"/>
        </w:rPr>
      </w:pPr>
      <w:r>
        <w:rPr>
          <w:rFonts w:hint="default" w:ascii="Times New Roman" w:hAnsi="Times New Roman" w:eastAsia="楷体" w:cs="Times New Roman"/>
          <w:b w:val="0"/>
          <w:bCs/>
          <w:sz w:val="32"/>
          <w:szCs w:val="32"/>
        </w:rPr>
        <w:t>（八）引导投资机构加大对科技创新债券投入。</w:t>
      </w:r>
      <w:r>
        <w:rPr>
          <w:rFonts w:hint="default" w:ascii="Times New Roman" w:hAnsi="Times New Roman" w:eastAsia="仿宋" w:cs="Times New Roman"/>
          <w:sz w:val="32"/>
          <w:szCs w:val="32"/>
        </w:rPr>
        <w:t>支持银行理财、券商资管创设投资于科技创新债券或挂钩科创相关指数的专项资管产品。推动公募基金管理公司创设科技创新债券类ETF，支持科技创新债券类ETF通过质押、做市等机制提升流动性。支持社保基金、企业年金等中长期资金加大对科技创新债券及科技创新债券相关产品的配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 w:cs="Times New Roman"/>
          <w:b/>
          <w:sz w:val="32"/>
          <w:szCs w:val="32"/>
        </w:rPr>
      </w:pPr>
      <w:r>
        <w:rPr>
          <w:rFonts w:hint="default" w:ascii="Times New Roman" w:hAnsi="Times New Roman" w:eastAsia="楷体" w:cs="Times New Roman"/>
          <w:b w:val="0"/>
          <w:bCs/>
          <w:sz w:val="32"/>
          <w:szCs w:val="32"/>
        </w:rPr>
        <w:t>（九）降低科技创新债券交易结算成本。</w:t>
      </w:r>
      <w:r>
        <w:rPr>
          <w:rFonts w:hint="default" w:ascii="Times New Roman" w:hAnsi="Times New Roman" w:eastAsia="仿宋" w:cs="Times New Roman"/>
          <w:sz w:val="32"/>
          <w:szCs w:val="32"/>
        </w:rPr>
        <w:t>本所继续免收科技创新债券发行认购经手费、上市（挂牌）初费和年费、现券交易（转让）的交易经手费</w:t>
      </w:r>
      <w:r>
        <w:rPr>
          <w:rFonts w:hint="default" w:ascii="Times New Roman" w:hAnsi="Times New Roman" w:eastAsia="仿宋" w:cs="Times New Roman"/>
          <w:sz w:val="32"/>
          <w:szCs w:val="32"/>
          <w:highlight w:val="none"/>
        </w:rPr>
        <w:t>、回售交易经手费，并配合落实科技创新债券登记费、派息兑付手续费、</w:t>
      </w:r>
      <w:r>
        <w:rPr>
          <w:rFonts w:hint="default" w:ascii="Times New Roman" w:hAnsi="Times New Roman" w:eastAsia="仿宋" w:cs="Times New Roman"/>
          <w:sz w:val="32"/>
          <w:szCs w:val="32"/>
        </w:rPr>
        <w:t>赎回回售手续费和结算费免收工作。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 w:cs="Times New Roman"/>
          <w:sz w:val="32"/>
          <w:szCs w:val="32"/>
        </w:rPr>
      </w:pPr>
      <w:r>
        <w:rPr>
          <w:rFonts w:hint="default" w:ascii="Times New Roman" w:hAnsi="Times New Roman" w:eastAsia="仿宋" w:cs="Times New Roman"/>
          <w:sz w:val="32"/>
          <w:szCs w:val="32"/>
        </w:rPr>
        <w:t>坚持科技创新导向，科技创新债券资金应当依法依规主要投向科技创新领域。本所将加强事中事后管理，督促发行人合规使用募集资金，压实中介机构对募集资金的监管职责，提升债券市场服务国家战略效能。</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 w:cs="Times New Roman"/>
          <w:sz w:val="32"/>
          <w:szCs w:val="32"/>
        </w:rPr>
      </w:pPr>
      <w:r>
        <w:rPr>
          <w:rFonts w:hint="default" w:ascii="Times New Roman" w:hAnsi="Times New Roman" w:eastAsia="仿宋" w:cs="Times New Roman"/>
          <w:sz w:val="32"/>
          <w:szCs w:val="32"/>
        </w:rPr>
        <w:t>本通知自发布之日起施行。本所相关业务规则对科技创新债券的规定与本通知不一致的，以本通知为准。</w:t>
      </w:r>
    </w:p>
    <w:p>
      <w:pPr>
        <w:keepNext w:val="0"/>
        <w:keepLines w:val="0"/>
        <w:pageBreakBefore w:val="0"/>
        <w:widowControl w:val="0"/>
        <w:kinsoku/>
        <w:wordWrap/>
        <w:overflowPunct/>
        <w:topLinePunct w:val="0"/>
        <w:autoSpaceDE/>
        <w:autoSpaceDN/>
        <w:bidi w:val="0"/>
        <w:adjustRightInd/>
        <w:snapToGrid/>
        <w:spacing w:line="600" w:lineRule="exact"/>
        <w:ind w:firstLine="612"/>
        <w:jc w:val="both"/>
        <w:textAlignment w:val="auto"/>
        <w:rPr>
          <w:rFonts w:hint="eastAsia" w:ascii="Times New Roman" w:hAnsi="Times New Roman" w:eastAsia="仿宋"/>
          <w:sz w:val="30"/>
          <w:szCs w:val="30"/>
          <w:lang w:eastAsia="zh-CN"/>
        </w:rPr>
      </w:pPr>
      <w:r>
        <w:rPr>
          <w:rFonts w:hint="default" w:ascii="Times New Roman" w:hAnsi="Times New Roman" w:eastAsia="仿宋" w:cs="Times New Roman"/>
          <w:sz w:val="32"/>
          <w:szCs w:val="32"/>
        </w:rPr>
        <w:t>特此通知</w:t>
      </w:r>
      <w:r>
        <w:rPr>
          <w:rFonts w:hint="eastAsia" w:ascii="Times New Roman" w:hAnsi="Times New Roman" w:eastAsia="仿宋" w:cs="Times New Roman"/>
          <w:sz w:val="32"/>
          <w:szCs w:val="32"/>
          <w:lang w:eastAsia="zh-CN"/>
        </w:rPr>
        <w:t>。</w:t>
      </w:r>
    </w:p>
    <w:p>
      <w:pPr>
        <w:spacing w:line="560" w:lineRule="exact"/>
        <w:ind w:firstLine="600" w:firstLineChars="200"/>
        <w:rPr>
          <w:rFonts w:ascii="Times New Roman" w:hAnsi="Times New Roman" w:eastAsia="方正仿宋简体"/>
          <w:bCs/>
          <w:sz w:val="30"/>
          <w:szCs w:val="30"/>
        </w:rPr>
      </w:pPr>
    </w:p>
    <w:p>
      <w:pPr>
        <w:spacing w:line="560" w:lineRule="exact"/>
        <w:ind w:firstLine="600" w:firstLineChars="200"/>
        <w:rPr>
          <w:rFonts w:ascii="Times New Roman" w:hAnsi="Times New Roman" w:eastAsia="方正仿宋简体"/>
          <w:bCs/>
          <w:sz w:val="30"/>
          <w:szCs w:val="30"/>
        </w:rPr>
      </w:pPr>
    </w:p>
    <w:p>
      <w:pPr>
        <w:spacing w:line="560" w:lineRule="exact"/>
        <w:ind w:firstLine="600" w:firstLineChars="200"/>
        <w:rPr>
          <w:rFonts w:ascii="Times New Roman" w:hAnsi="Times New Roman" w:eastAsia="方正仿宋简体"/>
          <w:bCs/>
          <w:sz w:val="30"/>
          <w:szCs w:val="30"/>
        </w:rPr>
      </w:pPr>
    </w:p>
    <w:p>
      <w:pPr>
        <w:spacing w:line="200" w:lineRule="exact"/>
        <w:rPr>
          <w:rFonts w:ascii="Times New Roman" w:hAnsi="Times New Roman" w:eastAsia="方正仿宋简体"/>
          <w:sz w:val="30"/>
          <w:szCs w:val="30"/>
        </w:rPr>
      </w:pPr>
    </w:p>
    <w:p>
      <w:pPr>
        <w:spacing w:line="560" w:lineRule="exact"/>
        <w:rPr>
          <w:rFonts w:ascii="仿宋" w:hAnsi="仿宋" w:eastAsia="仿宋" w:cstheme="majorBidi"/>
          <w:bCs/>
          <w:sz w:val="32"/>
          <w:szCs w:val="32"/>
        </w:rPr>
      </w:pPr>
      <w:r>
        <w:rPr>
          <w:rFonts w:hint="eastAsia" w:ascii="方正仿宋简体" w:hAnsi="仿宋" w:eastAsia="方正仿宋简体" w:cstheme="majorBidi"/>
          <w:bCs/>
          <w:sz w:val="30"/>
          <w:szCs w:val="30"/>
        </w:rPr>
        <w:t xml:space="preserve">                 </w:t>
      </w:r>
      <w:r>
        <w:rPr>
          <w:rFonts w:ascii="方正仿宋简体" w:hAnsi="仿宋" w:eastAsia="方正仿宋简体" w:cstheme="majorBidi"/>
          <w:bCs/>
          <w:sz w:val="30"/>
          <w:szCs w:val="30"/>
        </w:rPr>
        <w:t xml:space="preserve">                </w:t>
      </w:r>
      <w:r>
        <w:rPr>
          <w:rFonts w:hint="eastAsia" w:ascii="方正仿宋简体" w:hAnsi="仿宋" w:eastAsia="方正仿宋简体" w:cstheme="majorBidi"/>
          <w:bCs/>
          <w:sz w:val="30"/>
          <w:szCs w:val="30"/>
        </w:rPr>
        <w:t xml:space="preserve">  </w:t>
      </w:r>
      <w:r>
        <w:rPr>
          <w:rFonts w:hint="eastAsia" w:ascii="仿宋" w:hAnsi="仿宋" w:eastAsia="仿宋" w:cstheme="majorBidi"/>
          <w:bCs/>
          <w:sz w:val="32"/>
          <w:szCs w:val="32"/>
        </w:rPr>
        <w:t>北京证券交易所</w:t>
      </w:r>
    </w:p>
    <w:p>
      <w:pPr>
        <w:spacing w:line="560" w:lineRule="exact"/>
        <w:jc w:val="center"/>
        <w:outlineLvl w:val="0"/>
        <w:rPr>
          <w:rFonts w:ascii="Times New Roman" w:hAnsi="Times New Roman" w:eastAsia="仿宋"/>
          <w:sz w:val="28"/>
          <w:szCs w:val="28"/>
        </w:rPr>
      </w:pPr>
      <w:r>
        <w:rPr>
          <w:rFonts w:ascii="仿宋" w:hAnsi="仿宋" w:eastAsia="仿宋"/>
          <w:sz w:val="32"/>
          <w:szCs w:val="32"/>
        </w:rPr>
        <w:t xml:space="preserve">                   </w:t>
      </w:r>
      <w:r>
        <w:rPr>
          <w:rFonts w:hint="eastAsia" w:ascii="仿宋" w:hAnsi="仿宋" w:eastAsia="仿宋"/>
          <w:sz w:val="32"/>
          <w:szCs w:val="32"/>
        </w:rPr>
        <w:t xml:space="preserve">  </w:t>
      </w:r>
      <w:r>
        <w:rPr>
          <w:rFonts w:ascii="Times New Roman" w:hAnsi="Times New Roman" w:eastAsia="仿宋"/>
          <w:sz w:val="32"/>
          <w:szCs w:val="32"/>
        </w:rPr>
        <w:t xml:space="preserve"> </w:t>
      </w:r>
      <w:r>
        <w:rPr>
          <w:rFonts w:hint="eastAsia" w:ascii="Times New Roman" w:hAnsi="Times New Roman" w:eastAsia="仿宋"/>
          <w:sz w:val="32"/>
          <w:szCs w:val="32"/>
          <w:lang w:val="en-US" w:eastAsia="zh-CN"/>
        </w:rPr>
        <w:t xml:space="preserve"> </w:t>
      </w:r>
      <w:r>
        <w:rPr>
          <w:rFonts w:ascii="Times New Roman" w:hAnsi="Times New Roman" w:eastAsia="仿宋"/>
          <w:sz w:val="32"/>
          <w:szCs w:val="32"/>
        </w:rPr>
        <w:t xml:space="preserve">  </w:t>
      </w:r>
      <w:r>
        <w:rPr>
          <w:rFonts w:hint="default" w:ascii="Times New Roman" w:hAnsi="Times New Roman" w:eastAsia="仿宋" w:cs="Times New Roman"/>
          <w:sz w:val="32"/>
          <w:szCs w:val="32"/>
          <w:lang w:val="en-US" w:eastAsia="zh-CN"/>
        </w:rPr>
        <w:t>2025</w:t>
      </w:r>
      <w:r>
        <w:rPr>
          <w:rFonts w:hint="default" w:ascii="Times New Roman" w:hAnsi="Times New Roman" w:eastAsia="仿宋" w:cs="Times New Roman"/>
          <w:sz w:val="32"/>
          <w:szCs w:val="32"/>
        </w:rPr>
        <w:t>年</w:t>
      </w:r>
      <w:r>
        <w:rPr>
          <w:rFonts w:hint="default" w:ascii="Times New Roman" w:hAnsi="Times New Roman" w:eastAsia="仿宋" w:cs="Times New Roman"/>
          <w:sz w:val="32"/>
          <w:szCs w:val="32"/>
          <w:lang w:val="en-US" w:eastAsia="zh-CN"/>
        </w:rPr>
        <w:t>5</w:t>
      </w:r>
      <w:r>
        <w:rPr>
          <w:rFonts w:hint="default" w:ascii="Times New Roman" w:hAnsi="Times New Roman" w:eastAsia="仿宋" w:cs="Times New Roman"/>
          <w:sz w:val="32"/>
          <w:szCs w:val="32"/>
        </w:rPr>
        <w:t>月</w:t>
      </w:r>
      <w:r>
        <w:rPr>
          <w:rFonts w:hint="default" w:ascii="Times New Roman" w:hAnsi="Times New Roman" w:eastAsia="仿宋" w:cs="Times New Roman"/>
          <w:sz w:val="32"/>
          <w:szCs w:val="32"/>
          <w:lang w:val="en-US" w:eastAsia="zh-CN"/>
        </w:rPr>
        <w:t>7</w:t>
      </w:r>
      <w:r>
        <w:rPr>
          <w:rFonts w:hint="default" w:ascii="Times New Roman" w:hAnsi="Times New Roman" w:eastAsia="仿宋" w:cs="Times New Roman"/>
          <w:sz w:val="32"/>
          <w:szCs w:val="32"/>
        </w:rPr>
        <w:t>日</w:t>
      </w:r>
    </w:p>
    <w:sectPr>
      <w:footerReference r:id="rId3" w:type="default"/>
      <w:footerReference r:id="rId4" w:type="even"/>
      <w:pgSz w:w="11906" w:h="16838"/>
      <w:pgMar w:top="2098" w:right="1531" w:bottom="1985"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方正仿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9509888"/>
      <w:docPartObj>
        <w:docPartGallery w:val="autotext"/>
      </w:docPartObj>
    </w:sdtPr>
    <w:sdtEndPr>
      <w:rPr>
        <w:rFonts w:asciiTheme="minorEastAsia" w:hAnsiTheme="minorEastAsia" w:eastAsiaTheme="minorEastAsia"/>
        <w:sz w:val="28"/>
        <w:szCs w:val="28"/>
      </w:rPr>
    </w:sdtEndPr>
    <w:sdtContent>
      <w:p>
        <w:pPr>
          <w:pStyle w:val="5"/>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1 -</w:t>
        </w:r>
        <w:r>
          <w:rPr>
            <w:rFonts w:asciiTheme="minorEastAsia" w:hAnsiTheme="minorEastAsia" w:eastAsiaTheme="minorEastAsia"/>
            <w:sz w:val="28"/>
            <w:szCs w:val="28"/>
          </w:rPr>
          <w:fldChar w:fldCharType="end"/>
        </w:r>
      </w:p>
    </w:sdtContent>
  </w:sdt>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239689"/>
      <w:docPartObj>
        <w:docPartGallery w:val="autotext"/>
      </w:docPartObj>
    </w:sdtPr>
    <w:sdtEndPr>
      <w:rPr>
        <w:rFonts w:asciiTheme="minorEastAsia" w:hAnsiTheme="minorEastAsia" w:eastAsiaTheme="minorEastAsia"/>
        <w:sz w:val="28"/>
        <w:szCs w:val="28"/>
      </w:rPr>
    </w:sdtEndPr>
    <w:sdtContent>
      <w:p>
        <w:pPr>
          <w:pStyle w:val="5"/>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2 -</w:t>
        </w:r>
        <w:r>
          <w:rPr>
            <w:rFonts w:asciiTheme="minorEastAsia" w:hAnsiTheme="minorEastAsia" w:eastAsiaTheme="minorEastAsia"/>
            <w:sz w:val="28"/>
            <w:szCs w:val="28"/>
          </w:rPr>
          <w:fldChar w:fldCharType="end"/>
        </w:r>
      </w:p>
    </w:sdtContent>
  </w:sdt>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1132B"/>
    <w:rsid w:val="000114CC"/>
    <w:rsid w:val="0001279E"/>
    <w:rsid w:val="00013FD4"/>
    <w:rsid w:val="000140A5"/>
    <w:rsid w:val="00020B26"/>
    <w:rsid w:val="00023393"/>
    <w:rsid w:val="00023918"/>
    <w:rsid w:val="000253C4"/>
    <w:rsid w:val="00027677"/>
    <w:rsid w:val="00030254"/>
    <w:rsid w:val="0003177A"/>
    <w:rsid w:val="00031819"/>
    <w:rsid w:val="0003452A"/>
    <w:rsid w:val="00034CB4"/>
    <w:rsid w:val="00034DC5"/>
    <w:rsid w:val="000350FA"/>
    <w:rsid w:val="00036093"/>
    <w:rsid w:val="00040339"/>
    <w:rsid w:val="000406E0"/>
    <w:rsid w:val="00040A29"/>
    <w:rsid w:val="00042AA7"/>
    <w:rsid w:val="000464E4"/>
    <w:rsid w:val="0004678F"/>
    <w:rsid w:val="000501AA"/>
    <w:rsid w:val="000515D0"/>
    <w:rsid w:val="000530B5"/>
    <w:rsid w:val="00057221"/>
    <w:rsid w:val="000614F2"/>
    <w:rsid w:val="00061835"/>
    <w:rsid w:val="00070A1C"/>
    <w:rsid w:val="00070EF4"/>
    <w:rsid w:val="00073313"/>
    <w:rsid w:val="00075DDE"/>
    <w:rsid w:val="000770D6"/>
    <w:rsid w:val="00077B36"/>
    <w:rsid w:val="00087D53"/>
    <w:rsid w:val="00090A5F"/>
    <w:rsid w:val="000914B4"/>
    <w:rsid w:val="00092880"/>
    <w:rsid w:val="00093565"/>
    <w:rsid w:val="00093666"/>
    <w:rsid w:val="000979F3"/>
    <w:rsid w:val="000B1D18"/>
    <w:rsid w:val="000B2000"/>
    <w:rsid w:val="000B3F90"/>
    <w:rsid w:val="000B4853"/>
    <w:rsid w:val="000B52DC"/>
    <w:rsid w:val="000B5EAA"/>
    <w:rsid w:val="000C446C"/>
    <w:rsid w:val="000C6818"/>
    <w:rsid w:val="000D7B7F"/>
    <w:rsid w:val="000E6E4C"/>
    <w:rsid w:val="000E72C9"/>
    <w:rsid w:val="000E72D0"/>
    <w:rsid w:val="000F0DC4"/>
    <w:rsid w:val="000F1B08"/>
    <w:rsid w:val="000F2D51"/>
    <w:rsid w:val="000F315B"/>
    <w:rsid w:val="000F593E"/>
    <w:rsid w:val="00104023"/>
    <w:rsid w:val="0010434B"/>
    <w:rsid w:val="0010613F"/>
    <w:rsid w:val="00110389"/>
    <w:rsid w:val="00111415"/>
    <w:rsid w:val="001136DB"/>
    <w:rsid w:val="00113E16"/>
    <w:rsid w:val="00116D3E"/>
    <w:rsid w:val="00117488"/>
    <w:rsid w:val="00121BFE"/>
    <w:rsid w:val="0012224F"/>
    <w:rsid w:val="00126771"/>
    <w:rsid w:val="00126F8E"/>
    <w:rsid w:val="00130AC5"/>
    <w:rsid w:val="00131C2F"/>
    <w:rsid w:val="00131FD5"/>
    <w:rsid w:val="00131FE7"/>
    <w:rsid w:val="001351B4"/>
    <w:rsid w:val="00136A16"/>
    <w:rsid w:val="001377F4"/>
    <w:rsid w:val="00137C57"/>
    <w:rsid w:val="00140260"/>
    <w:rsid w:val="001421AB"/>
    <w:rsid w:val="00142A8D"/>
    <w:rsid w:val="0014751A"/>
    <w:rsid w:val="00150C13"/>
    <w:rsid w:val="0015190D"/>
    <w:rsid w:val="001525AB"/>
    <w:rsid w:val="00154EFD"/>
    <w:rsid w:val="00155052"/>
    <w:rsid w:val="001559C9"/>
    <w:rsid w:val="0016074F"/>
    <w:rsid w:val="001608C8"/>
    <w:rsid w:val="00160BF3"/>
    <w:rsid w:val="00165E5A"/>
    <w:rsid w:val="00170F03"/>
    <w:rsid w:val="001732C7"/>
    <w:rsid w:val="001751C9"/>
    <w:rsid w:val="00177DEB"/>
    <w:rsid w:val="0018408C"/>
    <w:rsid w:val="00184F1F"/>
    <w:rsid w:val="001856EA"/>
    <w:rsid w:val="0018614E"/>
    <w:rsid w:val="00186237"/>
    <w:rsid w:val="001868F6"/>
    <w:rsid w:val="0019258E"/>
    <w:rsid w:val="001931B8"/>
    <w:rsid w:val="00194F2E"/>
    <w:rsid w:val="00196309"/>
    <w:rsid w:val="001A4206"/>
    <w:rsid w:val="001A5588"/>
    <w:rsid w:val="001B041D"/>
    <w:rsid w:val="001B0CD9"/>
    <w:rsid w:val="001B6DFE"/>
    <w:rsid w:val="001B73AB"/>
    <w:rsid w:val="001B7CCF"/>
    <w:rsid w:val="001C335C"/>
    <w:rsid w:val="001C3A53"/>
    <w:rsid w:val="001C3B47"/>
    <w:rsid w:val="001C4F64"/>
    <w:rsid w:val="001C7F38"/>
    <w:rsid w:val="001D11CB"/>
    <w:rsid w:val="001D11E3"/>
    <w:rsid w:val="001D1DB2"/>
    <w:rsid w:val="001D2CDF"/>
    <w:rsid w:val="001E0B46"/>
    <w:rsid w:val="001E0D34"/>
    <w:rsid w:val="001E6EB7"/>
    <w:rsid w:val="001E73D1"/>
    <w:rsid w:val="001F09A0"/>
    <w:rsid w:val="001F0B06"/>
    <w:rsid w:val="001F1813"/>
    <w:rsid w:val="001F22B9"/>
    <w:rsid w:val="001F2C66"/>
    <w:rsid w:val="001F5720"/>
    <w:rsid w:val="00200160"/>
    <w:rsid w:val="00201401"/>
    <w:rsid w:val="00201CDB"/>
    <w:rsid w:val="00203CC3"/>
    <w:rsid w:val="00203EFD"/>
    <w:rsid w:val="00205457"/>
    <w:rsid w:val="00207C88"/>
    <w:rsid w:val="002124CB"/>
    <w:rsid w:val="00213109"/>
    <w:rsid w:val="0021481E"/>
    <w:rsid w:val="002152AF"/>
    <w:rsid w:val="00215932"/>
    <w:rsid w:val="00215A3B"/>
    <w:rsid w:val="002205CB"/>
    <w:rsid w:val="002223D6"/>
    <w:rsid w:val="002233E0"/>
    <w:rsid w:val="00224B26"/>
    <w:rsid w:val="002271A7"/>
    <w:rsid w:val="002333E3"/>
    <w:rsid w:val="00236755"/>
    <w:rsid w:val="00236833"/>
    <w:rsid w:val="002473F6"/>
    <w:rsid w:val="0025096D"/>
    <w:rsid w:val="00251293"/>
    <w:rsid w:val="002536E0"/>
    <w:rsid w:val="00254F5B"/>
    <w:rsid w:val="00255F48"/>
    <w:rsid w:val="002566F5"/>
    <w:rsid w:val="00256738"/>
    <w:rsid w:val="0025678A"/>
    <w:rsid w:val="00256A8B"/>
    <w:rsid w:val="00260853"/>
    <w:rsid w:val="00264360"/>
    <w:rsid w:val="00267C14"/>
    <w:rsid w:val="00271211"/>
    <w:rsid w:val="002730B4"/>
    <w:rsid w:val="002735E0"/>
    <w:rsid w:val="00280A80"/>
    <w:rsid w:val="0028118C"/>
    <w:rsid w:val="00283F11"/>
    <w:rsid w:val="002942FD"/>
    <w:rsid w:val="00296704"/>
    <w:rsid w:val="00297E79"/>
    <w:rsid w:val="002A0CDE"/>
    <w:rsid w:val="002A1318"/>
    <w:rsid w:val="002A5EE4"/>
    <w:rsid w:val="002B12F6"/>
    <w:rsid w:val="002B4533"/>
    <w:rsid w:val="002B4CE7"/>
    <w:rsid w:val="002B531D"/>
    <w:rsid w:val="002B5C1B"/>
    <w:rsid w:val="002B66C4"/>
    <w:rsid w:val="002B69F3"/>
    <w:rsid w:val="002C0DC9"/>
    <w:rsid w:val="002C1F53"/>
    <w:rsid w:val="002C3192"/>
    <w:rsid w:val="002C4D50"/>
    <w:rsid w:val="002D06DE"/>
    <w:rsid w:val="002D3F1F"/>
    <w:rsid w:val="002E0200"/>
    <w:rsid w:val="002F1E6E"/>
    <w:rsid w:val="002F3353"/>
    <w:rsid w:val="002F67FE"/>
    <w:rsid w:val="0030322B"/>
    <w:rsid w:val="00306CA9"/>
    <w:rsid w:val="0031218F"/>
    <w:rsid w:val="00312E97"/>
    <w:rsid w:val="00313721"/>
    <w:rsid w:val="003138A7"/>
    <w:rsid w:val="0032130E"/>
    <w:rsid w:val="00323369"/>
    <w:rsid w:val="00323A6D"/>
    <w:rsid w:val="00326C44"/>
    <w:rsid w:val="00326E84"/>
    <w:rsid w:val="00327855"/>
    <w:rsid w:val="003325EB"/>
    <w:rsid w:val="0033366F"/>
    <w:rsid w:val="00333E25"/>
    <w:rsid w:val="00336460"/>
    <w:rsid w:val="00336C12"/>
    <w:rsid w:val="003375BE"/>
    <w:rsid w:val="00337714"/>
    <w:rsid w:val="0034018B"/>
    <w:rsid w:val="003413FE"/>
    <w:rsid w:val="00343C07"/>
    <w:rsid w:val="0034410B"/>
    <w:rsid w:val="00344237"/>
    <w:rsid w:val="00346C39"/>
    <w:rsid w:val="00350D51"/>
    <w:rsid w:val="00351852"/>
    <w:rsid w:val="003523D3"/>
    <w:rsid w:val="00353031"/>
    <w:rsid w:val="00353B57"/>
    <w:rsid w:val="00356570"/>
    <w:rsid w:val="00362652"/>
    <w:rsid w:val="00365AE1"/>
    <w:rsid w:val="00365CEC"/>
    <w:rsid w:val="00373B5F"/>
    <w:rsid w:val="003810B0"/>
    <w:rsid w:val="00383400"/>
    <w:rsid w:val="00391E10"/>
    <w:rsid w:val="003941C0"/>
    <w:rsid w:val="003A0328"/>
    <w:rsid w:val="003A0961"/>
    <w:rsid w:val="003A2E2D"/>
    <w:rsid w:val="003B0326"/>
    <w:rsid w:val="003B4EDD"/>
    <w:rsid w:val="003B5FCF"/>
    <w:rsid w:val="003B7243"/>
    <w:rsid w:val="003C0078"/>
    <w:rsid w:val="003C0372"/>
    <w:rsid w:val="003C2E72"/>
    <w:rsid w:val="003C4AFF"/>
    <w:rsid w:val="003C64F5"/>
    <w:rsid w:val="003C70C1"/>
    <w:rsid w:val="003D0861"/>
    <w:rsid w:val="003D2796"/>
    <w:rsid w:val="003D3C08"/>
    <w:rsid w:val="003D48CA"/>
    <w:rsid w:val="003D4B63"/>
    <w:rsid w:val="003D71BB"/>
    <w:rsid w:val="003D7933"/>
    <w:rsid w:val="003E215D"/>
    <w:rsid w:val="003E3337"/>
    <w:rsid w:val="003E6343"/>
    <w:rsid w:val="003E75A9"/>
    <w:rsid w:val="00405C7A"/>
    <w:rsid w:val="004073C0"/>
    <w:rsid w:val="00410467"/>
    <w:rsid w:val="004112D7"/>
    <w:rsid w:val="004155EF"/>
    <w:rsid w:val="00415930"/>
    <w:rsid w:val="00422DFD"/>
    <w:rsid w:val="004248AD"/>
    <w:rsid w:val="00425659"/>
    <w:rsid w:val="004258CD"/>
    <w:rsid w:val="00431C10"/>
    <w:rsid w:val="00432FC0"/>
    <w:rsid w:val="004412FE"/>
    <w:rsid w:val="00441CF2"/>
    <w:rsid w:val="00447E4C"/>
    <w:rsid w:val="00447EB8"/>
    <w:rsid w:val="00453ED7"/>
    <w:rsid w:val="00457E95"/>
    <w:rsid w:val="00460DF6"/>
    <w:rsid w:val="004629E8"/>
    <w:rsid w:val="00462D27"/>
    <w:rsid w:val="004636C3"/>
    <w:rsid w:val="00464262"/>
    <w:rsid w:val="004667C6"/>
    <w:rsid w:val="00466D70"/>
    <w:rsid w:val="0047156C"/>
    <w:rsid w:val="004720FD"/>
    <w:rsid w:val="00475B2E"/>
    <w:rsid w:val="00475E36"/>
    <w:rsid w:val="00480718"/>
    <w:rsid w:val="00481C27"/>
    <w:rsid w:val="004907BB"/>
    <w:rsid w:val="00492779"/>
    <w:rsid w:val="00492F1F"/>
    <w:rsid w:val="00497A41"/>
    <w:rsid w:val="004B16F2"/>
    <w:rsid w:val="004B54A2"/>
    <w:rsid w:val="004B58F2"/>
    <w:rsid w:val="004B7ECC"/>
    <w:rsid w:val="004C012F"/>
    <w:rsid w:val="004C1CFB"/>
    <w:rsid w:val="004C3960"/>
    <w:rsid w:val="004C3E8D"/>
    <w:rsid w:val="004C4091"/>
    <w:rsid w:val="004C7017"/>
    <w:rsid w:val="004D0513"/>
    <w:rsid w:val="004D4298"/>
    <w:rsid w:val="004E0EFA"/>
    <w:rsid w:val="004E2F19"/>
    <w:rsid w:val="004E6730"/>
    <w:rsid w:val="004F0718"/>
    <w:rsid w:val="004F22C0"/>
    <w:rsid w:val="004F44A2"/>
    <w:rsid w:val="0050023A"/>
    <w:rsid w:val="00502293"/>
    <w:rsid w:val="00504A9C"/>
    <w:rsid w:val="005145C1"/>
    <w:rsid w:val="00516D22"/>
    <w:rsid w:val="0052009E"/>
    <w:rsid w:val="005233D2"/>
    <w:rsid w:val="00530DC9"/>
    <w:rsid w:val="00533ACC"/>
    <w:rsid w:val="00536258"/>
    <w:rsid w:val="00541D59"/>
    <w:rsid w:val="0054351C"/>
    <w:rsid w:val="0054585A"/>
    <w:rsid w:val="0055358F"/>
    <w:rsid w:val="00556F11"/>
    <w:rsid w:val="005607CD"/>
    <w:rsid w:val="005609C4"/>
    <w:rsid w:val="00567CB8"/>
    <w:rsid w:val="00570CB3"/>
    <w:rsid w:val="00570F99"/>
    <w:rsid w:val="00572286"/>
    <w:rsid w:val="005727F7"/>
    <w:rsid w:val="00574BA1"/>
    <w:rsid w:val="00575CD8"/>
    <w:rsid w:val="00577ABC"/>
    <w:rsid w:val="00581DEA"/>
    <w:rsid w:val="00583A82"/>
    <w:rsid w:val="00586313"/>
    <w:rsid w:val="00590FC5"/>
    <w:rsid w:val="00591B1A"/>
    <w:rsid w:val="00594182"/>
    <w:rsid w:val="00594416"/>
    <w:rsid w:val="00594610"/>
    <w:rsid w:val="00594CDC"/>
    <w:rsid w:val="0059595B"/>
    <w:rsid w:val="005A16C3"/>
    <w:rsid w:val="005A4BF4"/>
    <w:rsid w:val="005B1BD5"/>
    <w:rsid w:val="005C235F"/>
    <w:rsid w:val="005C3297"/>
    <w:rsid w:val="005C3D38"/>
    <w:rsid w:val="005C4C02"/>
    <w:rsid w:val="005C7B94"/>
    <w:rsid w:val="005D0783"/>
    <w:rsid w:val="005D14A4"/>
    <w:rsid w:val="005D5157"/>
    <w:rsid w:val="005D5E84"/>
    <w:rsid w:val="005E5FC8"/>
    <w:rsid w:val="005E7889"/>
    <w:rsid w:val="005F65B0"/>
    <w:rsid w:val="006108D0"/>
    <w:rsid w:val="0061216D"/>
    <w:rsid w:val="00612EFA"/>
    <w:rsid w:val="006144BA"/>
    <w:rsid w:val="00617D4B"/>
    <w:rsid w:val="00617F1A"/>
    <w:rsid w:val="006238B2"/>
    <w:rsid w:val="0063018A"/>
    <w:rsid w:val="0063103E"/>
    <w:rsid w:val="00634293"/>
    <w:rsid w:val="006413D2"/>
    <w:rsid w:val="00642348"/>
    <w:rsid w:val="00642FB4"/>
    <w:rsid w:val="00646FD2"/>
    <w:rsid w:val="006508A5"/>
    <w:rsid w:val="006541B9"/>
    <w:rsid w:val="0065557B"/>
    <w:rsid w:val="006569F3"/>
    <w:rsid w:val="006577F3"/>
    <w:rsid w:val="00661591"/>
    <w:rsid w:val="006716AD"/>
    <w:rsid w:val="006736BE"/>
    <w:rsid w:val="00680308"/>
    <w:rsid w:val="006805CB"/>
    <w:rsid w:val="006821AC"/>
    <w:rsid w:val="00686D70"/>
    <w:rsid w:val="00690B4E"/>
    <w:rsid w:val="006953A0"/>
    <w:rsid w:val="00695889"/>
    <w:rsid w:val="006A1A60"/>
    <w:rsid w:val="006A4000"/>
    <w:rsid w:val="006A6C9A"/>
    <w:rsid w:val="006A6FE1"/>
    <w:rsid w:val="006B7D6D"/>
    <w:rsid w:val="006C0352"/>
    <w:rsid w:val="006C2998"/>
    <w:rsid w:val="006C2BCD"/>
    <w:rsid w:val="006C310F"/>
    <w:rsid w:val="006C317B"/>
    <w:rsid w:val="006C5520"/>
    <w:rsid w:val="006C7D19"/>
    <w:rsid w:val="006D1144"/>
    <w:rsid w:val="006D4341"/>
    <w:rsid w:val="006D6786"/>
    <w:rsid w:val="006D6BD1"/>
    <w:rsid w:val="006D76DE"/>
    <w:rsid w:val="006E0452"/>
    <w:rsid w:val="006E15D4"/>
    <w:rsid w:val="006E64AE"/>
    <w:rsid w:val="006F7B98"/>
    <w:rsid w:val="00704DC6"/>
    <w:rsid w:val="00710B19"/>
    <w:rsid w:val="00713C6F"/>
    <w:rsid w:val="007141B1"/>
    <w:rsid w:val="00717741"/>
    <w:rsid w:val="00720C37"/>
    <w:rsid w:val="00721DDC"/>
    <w:rsid w:val="00722126"/>
    <w:rsid w:val="00723551"/>
    <w:rsid w:val="007278F1"/>
    <w:rsid w:val="007305A6"/>
    <w:rsid w:val="0073094A"/>
    <w:rsid w:val="00731F38"/>
    <w:rsid w:val="00732954"/>
    <w:rsid w:val="00736F93"/>
    <w:rsid w:val="00737013"/>
    <w:rsid w:val="00737CCC"/>
    <w:rsid w:val="00740DD6"/>
    <w:rsid w:val="00744509"/>
    <w:rsid w:val="00745551"/>
    <w:rsid w:val="0074587C"/>
    <w:rsid w:val="00745C48"/>
    <w:rsid w:val="00750653"/>
    <w:rsid w:val="007506D8"/>
    <w:rsid w:val="00755883"/>
    <w:rsid w:val="0076142A"/>
    <w:rsid w:val="0076251E"/>
    <w:rsid w:val="00765B6D"/>
    <w:rsid w:val="007665B5"/>
    <w:rsid w:val="00767AFC"/>
    <w:rsid w:val="00774792"/>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B38C0"/>
    <w:rsid w:val="007B4891"/>
    <w:rsid w:val="007C1FE2"/>
    <w:rsid w:val="007C29AF"/>
    <w:rsid w:val="007C2D4E"/>
    <w:rsid w:val="007C3CA2"/>
    <w:rsid w:val="007C52F0"/>
    <w:rsid w:val="007D0836"/>
    <w:rsid w:val="007D0AB3"/>
    <w:rsid w:val="007D3F31"/>
    <w:rsid w:val="007D64B2"/>
    <w:rsid w:val="007D64B8"/>
    <w:rsid w:val="007E344F"/>
    <w:rsid w:val="007E3749"/>
    <w:rsid w:val="007E3DA1"/>
    <w:rsid w:val="007E57E1"/>
    <w:rsid w:val="007E6A98"/>
    <w:rsid w:val="007E767D"/>
    <w:rsid w:val="007F0069"/>
    <w:rsid w:val="007F306F"/>
    <w:rsid w:val="007F467E"/>
    <w:rsid w:val="007F46F5"/>
    <w:rsid w:val="007F7F67"/>
    <w:rsid w:val="00800A66"/>
    <w:rsid w:val="0080230B"/>
    <w:rsid w:val="008046FA"/>
    <w:rsid w:val="0080612C"/>
    <w:rsid w:val="008065A4"/>
    <w:rsid w:val="008152CC"/>
    <w:rsid w:val="00825CAE"/>
    <w:rsid w:val="00830314"/>
    <w:rsid w:val="00834D8B"/>
    <w:rsid w:val="00835998"/>
    <w:rsid w:val="00836BAD"/>
    <w:rsid w:val="00841DC6"/>
    <w:rsid w:val="00842A70"/>
    <w:rsid w:val="00843B57"/>
    <w:rsid w:val="00850265"/>
    <w:rsid w:val="008516C1"/>
    <w:rsid w:val="00852B07"/>
    <w:rsid w:val="008566B7"/>
    <w:rsid w:val="00860654"/>
    <w:rsid w:val="00864DCA"/>
    <w:rsid w:val="00864EE1"/>
    <w:rsid w:val="008654AF"/>
    <w:rsid w:val="00865B27"/>
    <w:rsid w:val="008673CB"/>
    <w:rsid w:val="00870868"/>
    <w:rsid w:val="008712CC"/>
    <w:rsid w:val="00871AEB"/>
    <w:rsid w:val="008727F2"/>
    <w:rsid w:val="00872DE7"/>
    <w:rsid w:val="00875140"/>
    <w:rsid w:val="008815F8"/>
    <w:rsid w:val="00881BF1"/>
    <w:rsid w:val="00881CDE"/>
    <w:rsid w:val="00885B5F"/>
    <w:rsid w:val="00885F71"/>
    <w:rsid w:val="00886C8F"/>
    <w:rsid w:val="00890C12"/>
    <w:rsid w:val="00893150"/>
    <w:rsid w:val="00893929"/>
    <w:rsid w:val="00896F9A"/>
    <w:rsid w:val="008973DA"/>
    <w:rsid w:val="008A0792"/>
    <w:rsid w:val="008A0BC2"/>
    <w:rsid w:val="008A48B5"/>
    <w:rsid w:val="008B2857"/>
    <w:rsid w:val="008B3A38"/>
    <w:rsid w:val="008C0B07"/>
    <w:rsid w:val="008C314A"/>
    <w:rsid w:val="008C3177"/>
    <w:rsid w:val="008C5972"/>
    <w:rsid w:val="008C643D"/>
    <w:rsid w:val="008C78D2"/>
    <w:rsid w:val="008D243A"/>
    <w:rsid w:val="008D3296"/>
    <w:rsid w:val="008D6A5A"/>
    <w:rsid w:val="008E2016"/>
    <w:rsid w:val="008F2904"/>
    <w:rsid w:val="008F6491"/>
    <w:rsid w:val="008F7A96"/>
    <w:rsid w:val="00910FAB"/>
    <w:rsid w:val="00914F96"/>
    <w:rsid w:val="009158B6"/>
    <w:rsid w:val="00917C4C"/>
    <w:rsid w:val="00920576"/>
    <w:rsid w:val="00920711"/>
    <w:rsid w:val="0092123C"/>
    <w:rsid w:val="00921986"/>
    <w:rsid w:val="009220EE"/>
    <w:rsid w:val="0092461F"/>
    <w:rsid w:val="00924664"/>
    <w:rsid w:val="00925244"/>
    <w:rsid w:val="009356C9"/>
    <w:rsid w:val="00936B1C"/>
    <w:rsid w:val="009428CB"/>
    <w:rsid w:val="00947A56"/>
    <w:rsid w:val="00950FDE"/>
    <w:rsid w:val="009526E9"/>
    <w:rsid w:val="00953670"/>
    <w:rsid w:val="00955FFB"/>
    <w:rsid w:val="009624C9"/>
    <w:rsid w:val="009747FB"/>
    <w:rsid w:val="00975561"/>
    <w:rsid w:val="00976507"/>
    <w:rsid w:val="0097736B"/>
    <w:rsid w:val="00980D21"/>
    <w:rsid w:val="00983F9F"/>
    <w:rsid w:val="009939B0"/>
    <w:rsid w:val="009964EB"/>
    <w:rsid w:val="0099784B"/>
    <w:rsid w:val="009A61C3"/>
    <w:rsid w:val="009B15F9"/>
    <w:rsid w:val="009B2D02"/>
    <w:rsid w:val="009B470E"/>
    <w:rsid w:val="009C35E2"/>
    <w:rsid w:val="009C4955"/>
    <w:rsid w:val="009C7AF2"/>
    <w:rsid w:val="009D118D"/>
    <w:rsid w:val="009D16A1"/>
    <w:rsid w:val="009D1701"/>
    <w:rsid w:val="009D6D6F"/>
    <w:rsid w:val="009E109F"/>
    <w:rsid w:val="009E2352"/>
    <w:rsid w:val="009E2EEF"/>
    <w:rsid w:val="009E3451"/>
    <w:rsid w:val="009E65FD"/>
    <w:rsid w:val="009F0843"/>
    <w:rsid w:val="009F68D1"/>
    <w:rsid w:val="00A00F12"/>
    <w:rsid w:val="00A0147F"/>
    <w:rsid w:val="00A0639E"/>
    <w:rsid w:val="00A10575"/>
    <w:rsid w:val="00A10B71"/>
    <w:rsid w:val="00A115FB"/>
    <w:rsid w:val="00A11E0C"/>
    <w:rsid w:val="00A17BBA"/>
    <w:rsid w:val="00A2109A"/>
    <w:rsid w:val="00A21B31"/>
    <w:rsid w:val="00A221DA"/>
    <w:rsid w:val="00A2464B"/>
    <w:rsid w:val="00A254DD"/>
    <w:rsid w:val="00A302D2"/>
    <w:rsid w:val="00A31158"/>
    <w:rsid w:val="00A3154C"/>
    <w:rsid w:val="00A31C6A"/>
    <w:rsid w:val="00A3678B"/>
    <w:rsid w:val="00A42557"/>
    <w:rsid w:val="00A44897"/>
    <w:rsid w:val="00A45E54"/>
    <w:rsid w:val="00A478DB"/>
    <w:rsid w:val="00A52365"/>
    <w:rsid w:val="00A53357"/>
    <w:rsid w:val="00A53DA2"/>
    <w:rsid w:val="00A5457E"/>
    <w:rsid w:val="00A54947"/>
    <w:rsid w:val="00A577CA"/>
    <w:rsid w:val="00A617CC"/>
    <w:rsid w:val="00A63BB6"/>
    <w:rsid w:val="00A7779F"/>
    <w:rsid w:val="00A80D85"/>
    <w:rsid w:val="00A8169B"/>
    <w:rsid w:val="00A81700"/>
    <w:rsid w:val="00A954B5"/>
    <w:rsid w:val="00A95C10"/>
    <w:rsid w:val="00AA37F0"/>
    <w:rsid w:val="00AA510C"/>
    <w:rsid w:val="00AA6D90"/>
    <w:rsid w:val="00AB06D8"/>
    <w:rsid w:val="00AB4FB8"/>
    <w:rsid w:val="00AD040F"/>
    <w:rsid w:val="00AD197C"/>
    <w:rsid w:val="00AD1C8F"/>
    <w:rsid w:val="00AD6DB9"/>
    <w:rsid w:val="00AE07B9"/>
    <w:rsid w:val="00AE2F43"/>
    <w:rsid w:val="00AE378E"/>
    <w:rsid w:val="00AE4D51"/>
    <w:rsid w:val="00AE5757"/>
    <w:rsid w:val="00AE6AF9"/>
    <w:rsid w:val="00AF4816"/>
    <w:rsid w:val="00AF5201"/>
    <w:rsid w:val="00AF7C33"/>
    <w:rsid w:val="00B008E2"/>
    <w:rsid w:val="00B02891"/>
    <w:rsid w:val="00B03141"/>
    <w:rsid w:val="00B0377F"/>
    <w:rsid w:val="00B07873"/>
    <w:rsid w:val="00B10CE4"/>
    <w:rsid w:val="00B10DF0"/>
    <w:rsid w:val="00B1163A"/>
    <w:rsid w:val="00B126C9"/>
    <w:rsid w:val="00B13A69"/>
    <w:rsid w:val="00B16815"/>
    <w:rsid w:val="00B16E12"/>
    <w:rsid w:val="00B17A5B"/>
    <w:rsid w:val="00B23487"/>
    <w:rsid w:val="00B239C0"/>
    <w:rsid w:val="00B24A64"/>
    <w:rsid w:val="00B26049"/>
    <w:rsid w:val="00B266F0"/>
    <w:rsid w:val="00B26E0E"/>
    <w:rsid w:val="00B334FB"/>
    <w:rsid w:val="00B35299"/>
    <w:rsid w:val="00B3592E"/>
    <w:rsid w:val="00B3740B"/>
    <w:rsid w:val="00B40E72"/>
    <w:rsid w:val="00B4651C"/>
    <w:rsid w:val="00B46C42"/>
    <w:rsid w:val="00B52BD4"/>
    <w:rsid w:val="00B52FAB"/>
    <w:rsid w:val="00B55678"/>
    <w:rsid w:val="00B658B2"/>
    <w:rsid w:val="00B6752B"/>
    <w:rsid w:val="00B67D2A"/>
    <w:rsid w:val="00B7401B"/>
    <w:rsid w:val="00B807A7"/>
    <w:rsid w:val="00B84629"/>
    <w:rsid w:val="00B91A8B"/>
    <w:rsid w:val="00B95A64"/>
    <w:rsid w:val="00BA2B8F"/>
    <w:rsid w:val="00BA31CF"/>
    <w:rsid w:val="00BA39DA"/>
    <w:rsid w:val="00BA41FB"/>
    <w:rsid w:val="00BB35D3"/>
    <w:rsid w:val="00BB385F"/>
    <w:rsid w:val="00BB5514"/>
    <w:rsid w:val="00BD02EF"/>
    <w:rsid w:val="00BD1ACA"/>
    <w:rsid w:val="00BD2A70"/>
    <w:rsid w:val="00BD2CAE"/>
    <w:rsid w:val="00BD5C94"/>
    <w:rsid w:val="00BD63C1"/>
    <w:rsid w:val="00BD7A96"/>
    <w:rsid w:val="00BE1A7B"/>
    <w:rsid w:val="00BE5684"/>
    <w:rsid w:val="00BF1C5A"/>
    <w:rsid w:val="00BF6168"/>
    <w:rsid w:val="00BF63A0"/>
    <w:rsid w:val="00C00AD0"/>
    <w:rsid w:val="00C026B3"/>
    <w:rsid w:val="00C0325F"/>
    <w:rsid w:val="00C07BE2"/>
    <w:rsid w:val="00C107D3"/>
    <w:rsid w:val="00C112E3"/>
    <w:rsid w:val="00C12252"/>
    <w:rsid w:val="00C13B57"/>
    <w:rsid w:val="00C155F2"/>
    <w:rsid w:val="00C2081D"/>
    <w:rsid w:val="00C23F7A"/>
    <w:rsid w:val="00C241AB"/>
    <w:rsid w:val="00C3079D"/>
    <w:rsid w:val="00C314CD"/>
    <w:rsid w:val="00C36930"/>
    <w:rsid w:val="00C36E96"/>
    <w:rsid w:val="00C4120A"/>
    <w:rsid w:val="00C473FD"/>
    <w:rsid w:val="00C47F38"/>
    <w:rsid w:val="00C51537"/>
    <w:rsid w:val="00C55A78"/>
    <w:rsid w:val="00C5671A"/>
    <w:rsid w:val="00C569E6"/>
    <w:rsid w:val="00C638EA"/>
    <w:rsid w:val="00C66427"/>
    <w:rsid w:val="00C70B25"/>
    <w:rsid w:val="00C70E2E"/>
    <w:rsid w:val="00C72022"/>
    <w:rsid w:val="00C734BA"/>
    <w:rsid w:val="00C757C6"/>
    <w:rsid w:val="00C7674C"/>
    <w:rsid w:val="00C81251"/>
    <w:rsid w:val="00C83FCB"/>
    <w:rsid w:val="00C84CC6"/>
    <w:rsid w:val="00C85723"/>
    <w:rsid w:val="00C87666"/>
    <w:rsid w:val="00C90B3D"/>
    <w:rsid w:val="00CA6562"/>
    <w:rsid w:val="00CB2104"/>
    <w:rsid w:val="00CB29C3"/>
    <w:rsid w:val="00CB2C39"/>
    <w:rsid w:val="00CB2D41"/>
    <w:rsid w:val="00CC66AC"/>
    <w:rsid w:val="00CD060D"/>
    <w:rsid w:val="00CD2057"/>
    <w:rsid w:val="00CD3B61"/>
    <w:rsid w:val="00CD49B7"/>
    <w:rsid w:val="00CE4F04"/>
    <w:rsid w:val="00CF23F7"/>
    <w:rsid w:val="00CF5143"/>
    <w:rsid w:val="00CF6FBB"/>
    <w:rsid w:val="00D0533D"/>
    <w:rsid w:val="00D0567E"/>
    <w:rsid w:val="00D062B7"/>
    <w:rsid w:val="00D0685A"/>
    <w:rsid w:val="00D10DE3"/>
    <w:rsid w:val="00D11CD9"/>
    <w:rsid w:val="00D12E51"/>
    <w:rsid w:val="00D1489C"/>
    <w:rsid w:val="00D151DF"/>
    <w:rsid w:val="00D3032B"/>
    <w:rsid w:val="00D30781"/>
    <w:rsid w:val="00D30D5C"/>
    <w:rsid w:val="00D323DB"/>
    <w:rsid w:val="00D40370"/>
    <w:rsid w:val="00D40456"/>
    <w:rsid w:val="00D42AA2"/>
    <w:rsid w:val="00D4327E"/>
    <w:rsid w:val="00D44642"/>
    <w:rsid w:val="00D45BB0"/>
    <w:rsid w:val="00D54E59"/>
    <w:rsid w:val="00D6250A"/>
    <w:rsid w:val="00D63B60"/>
    <w:rsid w:val="00D6523E"/>
    <w:rsid w:val="00D65F3D"/>
    <w:rsid w:val="00D72982"/>
    <w:rsid w:val="00D82381"/>
    <w:rsid w:val="00D861D2"/>
    <w:rsid w:val="00D91A18"/>
    <w:rsid w:val="00D939F4"/>
    <w:rsid w:val="00D94107"/>
    <w:rsid w:val="00D950F4"/>
    <w:rsid w:val="00D96603"/>
    <w:rsid w:val="00D97FC6"/>
    <w:rsid w:val="00DA1CE9"/>
    <w:rsid w:val="00DA76EB"/>
    <w:rsid w:val="00DA7FAE"/>
    <w:rsid w:val="00DB538D"/>
    <w:rsid w:val="00DB5FCC"/>
    <w:rsid w:val="00DC5B69"/>
    <w:rsid w:val="00DC5BA4"/>
    <w:rsid w:val="00DC6B41"/>
    <w:rsid w:val="00DC75AD"/>
    <w:rsid w:val="00DD05EE"/>
    <w:rsid w:val="00DD26E8"/>
    <w:rsid w:val="00DD5E1F"/>
    <w:rsid w:val="00DD7D54"/>
    <w:rsid w:val="00DE29BF"/>
    <w:rsid w:val="00DE3662"/>
    <w:rsid w:val="00DE3C5D"/>
    <w:rsid w:val="00DE3F58"/>
    <w:rsid w:val="00DE56E6"/>
    <w:rsid w:val="00DF2216"/>
    <w:rsid w:val="00DF42AF"/>
    <w:rsid w:val="00E01110"/>
    <w:rsid w:val="00E021CC"/>
    <w:rsid w:val="00E052D2"/>
    <w:rsid w:val="00E12192"/>
    <w:rsid w:val="00E154E8"/>
    <w:rsid w:val="00E15745"/>
    <w:rsid w:val="00E218AB"/>
    <w:rsid w:val="00E21C26"/>
    <w:rsid w:val="00E21C73"/>
    <w:rsid w:val="00E22954"/>
    <w:rsid w:val="00E25FD5"/>
    <w:rsid w:val="00E2640B"/>
    <w:rsid w:val="00E31176"/>
    <w:rsid w:val="00E33900"/>
    <w:rsid w:val="00E3637F"/>
    <w:rsid w:val="00E40F19"/>
    <w:rsid w:val="00E423A9"/>
    <w:rsid w:val="00E4269F"/>
    <w:rsid w:val="00E42B7D"/>
    <w:rsid w:val="00E44656"/>
    <w:rsid w:val="00E4794C"/>
    <w:rsid w:val="00E528D3"/>
    <w:rsid w:val="00E538E2"/>
    <w:rsid w:val="00E57502"/>
    <w:rsid w:val="00E632CD"/>
    <w:rsid w:val="00E66532"/>
    <w:rsid w:val="00E67D46"/>
    <w:rsid w:val="00E710AA"/>
    <w:rsid w:val="00E72FBC"/>
    <w:rsid w:val="00E77B69"/>
    <w:rsid w:val="00E77D4D"/>
    <w:rsid w:val="00E804E6"/>
    <w:rsid w:val="00E80512"/>
    <w:rsid w:val="00E81D6B"/>
    <w:rsid w:val="00E82EEA"/>
    <w:rsid w:val="00E84390"/>
    <w:rsid w:val="00E850CF"/>
    <w:rsid w:val="00E85776"/>
    <w:rsid w:val="00E863AC"/>
    <w:rsid w:val="00E873AA"/>
    <w:rsid w:val="00E92DFC"/>
    <w:rsid w:val="00E93346"/>
    <w:rsid w:val="00E96231"/>
    <w:rsid w:val="00E97792"/>
    <w:rsid w:val="00EA3178"/>
    <w:rsid w:val="00EB0ADA"/>
    <w:rsid w:val="00EB2666"/>
    <w:rsid w:val="00EB2F80"/>
    <w:rsid w:val="00EB3A63"/>
    <w:rsid w:val="00EB4D88"/>
    <w:rsid w:val="00EB6728"/>
    <w:rsid w:val="00EC3756"/>
    <w:rsid w:val="00EC5E22"/>
    <w:rsid w:val="00EC6D2E"/>
    <w:rsid w:val="00ED1939"/>
    <w:rsid w:val="00ED6C71"/>
    <w:rsid w:val="00ED6EBB"/>
    <w:rsid w:val="00ED7353"/>
    <w:rsid w:val="00ED7983"/>
    <w:rsid w:val="00EE079A"/>
    <w:rsid w:val="00EE3B19"/>
    <w:rsid w:val="00EE5CD5"/>
    <w:rsid w:val="00EE7018"/>
    <w:rsid w:val="00EF1037"/>
    <w:rsid w:val="00EF39D3"/>
    <w:rsid w:val="00F00CC6"/>
    <w:rsid w:val="00F02A94"/>
    <w:rsid w:val="00F0380F"/>
    <w:rsid w:val="00F1055D"/>
    <w:rsid w:val="00F1511C"/>
    <w:rsid w:val="00F16C00"/>
    <w:rsid w:val="00F16CDB"/>
    <w:rsid w:val="00F22037"/>
    <w:rsid w:val="00F22723"/>
    <w:rsid w:val="00F2386D"/>
    <w:rsid w:val="00F250DC"/>
    <w:rsid w:val="00F26019"/>
    <w:rsid w:val="00F3088C"/>
    <w:rsid w:val="00F30A9B"/>
    <w:rsid w:val="00F3324F"/>
    <w:rsid w:val="00F35261"/>
    <w:rsid w:val="00F419E4"/>
    <w:rsid w:val="00F41D1B"/>
    <w:rsid w:val="00F44BC4"/>
    <w:rsid w:val="00F463E6"/>
    <w:rsid w:val="00F477A4"/>
    <w:rsid w:val="00F51B82"/>
    <w:rsid w:val="00F56CE7"/>
    <w:rsid w:val="00F60524"/>
    <w:rsid w:val="00F60966"/>
    <w:rsid w:val="00F626D1"/>
    <w:rsid w:val="00F6453E"/>
    <w:rsid w:val="00F65A21"/>
    <w:rsid w:val="00F71A7E"/>
    <w:rsid w:val="00F728CD"/>
    <w:rsid w:val="00F72A4B"/>
    <w:rsid w:val="00F85D0F"/>
    <w:rsid w:val="00F864FE"/>
    <w:rsid w:val="00F878AF"/>
    <w:rsid w:val="00F90E9E"/>
    <w:rsid w:val="00F950BF"/>
    <w:rsid w:val="00F96369"/>
    <w:rsid w:val="00F979D5"/>
    <w:rsid w:val="00FA0AC6"/>
    <w:rsid w:val="00FA35A4"/>
    <w:rsid w:val="00FA5ADF"/>
    <w:rsid w:val="00FB3248"/>
    <w:rsid w:val="00FC5106"/>
    <w:rsid w:val="00FE028E"/>
    <w:rsid w:val="00FE7164"/>
    <w:rsid w:val="00FF0DAD"/>
    <w:rsid w:val="00FF29D2"/>
    <w:rsid w:val="00FF6F49"/>
    <w:rsid w:val="2EFB0C84"/>
    <w:rsid w:val="3DAFC52E"/>
    <w:rsid w:val="3FFB744E"/>
    <w:rsid w:val="5BFD908E"/>
    <w:rsid w:val="6DBF7C4A"/>
    <w:rsid w:val="73FBE43B"/>
    <w:rsid w:val="76CED0D9"/>
    <w:rsid w:val="77FE2826"/>
    <w:rsid w:val="7CCF9EBB"/>
    <w:rsid w:val="7FE34862"/>
    <w:rsid w:val="7FF2781A"/>
    <w:rsid w:val="7FFE6942"/>
    <w:rsid w:val="9BB7F9C1"/>
    <w:rsid w:val="B7FCBE80"/>
    <w:rsid w:val="DFBF7E25"/>
    <w:rsid w:val="F3EFA1C9"/>
    <w:rsid w:val="FBFE9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Date"/>
    <w:basedOn w:val="1"/>
    <w:next w:val="1"/>
    <w:link w:val="15"/>
    <w:semiHidden/>
    <w:unhideWhenUsed/>
    <w:qFormat/>
    <w:uiPriority w:val="99"/>
    <w:pPr>
      <w:ind w:left="100" w:leftChars="2500"/>
    </w:pPr>
  </w:style>
  <w:style w:type="paragraph" w:styleId="4">
    <w:name w:val="Balloon Text"/>
    <w:basedOn w:val="1"/>
    <w:link w:val="18"/>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9"/>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Hyperlink"/>
    <w:unhideWhenUsed/>
    <w:qFormat/>
    <w:uiPriority w:val="99"/>
    <w:rPr>
      <w:color w:val="0563C1"/>
      <w:u w:val="single"/>
    </w:rPr>
  </w:style>
  <w:style w:type="character" w:styleId="12">
    <w:name w:val="annotation reference"/>
    <w:semiHidden/>
    <w:unhideWhenUsed/>
    <w:qFormat/>
    <w:uiPriority w:val="99"/>
    <w:rPr>
      <w:sz w:val="21"/>
      <w:szCs w:val="21"/>
    </w:rPr>
  </w:style>
  <w:style w:type="character" w:customStyle="1" w:styleId="13">
    <w:name w:val="页眉 Char"/>
    <w:basedOn w:val="10"/>
    <w:link w:val="6"/>
    <w:qFormat/>
    <w:uiPriority w:val="99"/>
    <w:rPr>
      <w:rFonts w:ascii="Calibri" w:hAnsi="Calibri" w:eastAsia="宋体" w:cs="Times New Roman"/>
      <w:sz w:val="18"/>
      <w:szCs w:val="18"/>
    </w:rPr>
  </w:style>
  <w:style w:type="character" w:customStyle="1" w:styleId="14">
    <w:name w:val="页脚 Char"/>
    <w:basedOn w:val="10"/>
    <w:link w:val="5"/>
    <w:qFormat/>
    <w:uiPriority w:val="99"/>
    <w:rPr>
      <w:rFonts w:ascii="Calibri" w:hAnsi="Calibri" w:eastAsia="宋体" w:cs="Times New Roman"/>
      <w:sz w:val="18"/>
      <w:szCs w:val="18"/>
    </w:rPr>
  </w:style>
  <w:style w:type="character" w:customStyle="1" w:styleId="15">
    <w:name w:val="日期 Char"/>
    <w:basedOn w:val="10"/>
    <w:link w:val="3"/>
    <w:semiHidden/>
    <w:qFormat/>
    <w:uiPriority w:val="99"/>
    <w:rPr>
      <w:rFonts w:ascii="Calibri" w:hAnsi="Calibri" w:eastAsia="宋体" w:cs="Times New Roman"/>
    </w:rPr>
  </w:style>
  <w:style w:type="paragraph" w:styleId="16">
    <w:name w:val="List Paragraph"/>
    <w:basedOn w:val="1"/>
    <w:qFormat/>
    <w:uiPriority w:val="99"/>
    <w:pPr>
      <w:ind w:firstLine="420" w:firstLineChars="200"/>
    </w:pPr>
  </w:style>
  <w:style w:type="character" w:customStyle="1" w:styleId="17">
    <w:name w:val="批注文字 Char"/>
    <w:basedOn w:val="10"/>
    <w:link w:val="2"/>
    <w:semiHidden/>
    <w:qFormat/>
    <w:uiPriority w:val="99"/>
    <w:rPr>
      <w:rFonts w:ascii="Calibri" w:hAnsi="Calibri" w:eastAsia="宋体" w:cs="Times New Roman"/>
    </w:rPr>
  </w:style>
  <w:style w:type="character" w:customStyle="1" w:styleId="18">
    <w:name w:val="批注框文本 Char"/>
    <w:basedOn w:val="10"/>
    <w:link w:val="4"/>
    <w:semiHidden/>
    <w:qFormat/>
    <w:uiPriority w:val="99"/>
    <w:rPr>
      <w:rFonts w:ascii="Calibri" w:hAnsi="Calibri" w:eastAsia="宋体" w:cs="Times New Roman"/>
      <w:sz w:val="18"/>
      <w:szCs w:val="18"/>
    </w:rPr>
  </w:style>
  <w:style w:type="character" w:customStyle="1" w:styleId="19">
    <w:name w:val="批注主题 Char"/>
    <w:basedOn w:val="17"/>
    <w:link w:val="7"/>
    <w:semiHidden/>
    <w:qFormat/>
    <w:uiPriority w:val="99"/>
    <w:rPr>
      <w:rFonts w:ascii="Calibri" w:hAnsi="Calibri" w:eastAsia="宋体" w:cs="Times New Roman"/>
      <w:b/>
      <w:bCs/>
    </w:rPr>
  </w:style>
  <w:style w:type="paragraph" w:customStyle="1" w:styleId="20">
    <w:name w:val="Revision"/>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1833</Words>
  <Characters>1841</Characters>
  <Lines>4</Lines>
  <Paragraphs>1</Paragraphs>
  <TotalTime>2</TotalTime>
  <ScaleCrop>false</ScaleCrop>
  <LinksUpToDate>false</LinksUpToDate>
  <CharactersWithSpaces>1900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2022-07-24T00:39:00Z</dcterms:created>
  <dc:creator>bse</dc:creator>
  <cp:lastModifiedBy>shejx</cp:lastModifiedBy>
  <cp:lastPrinted>2022-07-23T23:41:00Z</cp:lastPrinted>
  <dcterms:modified xsi:type="dcterms:W3CDTF">2025-05-07T12:56:52Z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