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themeColor="background1"/>
  <w:body>
    <w:p>
      <w:pPr>
        <w:tabs>
          <w:tab w:val="center" w:pos="4365"/>
          <w:tab w:val="left" w:pos="7710"/>
        </w:tabs>
        <w:spacing w:line="600" w:lineRule="exact"/>
        <w:rPr>
          <w:rFonts w:ascii="Times New Roman" w:hAnsi="Times New Roman" w:eastAsia="仿宋"/>
          <w:sz w:val="32"/>
          <w:szCs w:val="32"/>
        </w:rPr>
      </w:pPr>
    </w:p>
    <w:p>
      <w:pPr>
        <w:spacing w:line="600" w:lineRule="exact"/>
        <w:jc w:val="center"/>
        <w:outlineLvl w:val="0"/>
        <w:rPr>
          <w:rFonts w:ascii="Times New Roman" w:hAnsi="Times New Roman" w:eastAsia="方正大标宋简体"/>
          <w:bCs/>
          <w:sz w:val="44"/>
          <w:szCs w:val="44"/>
        </w:rPr>
      </w:pPr>
      <w:r>
        <w:rPr>
          <w:rFonts w:hint="eastAsia" w:ascii="Times New Roman" w:hAnsi="Times New Roman" w:eastAsia="方正大标宋简体"/>
          <w:bCs/>
          <w:sz w:val="44"/>
          <w:szCs w:val="44"/>
        </w:rPr>
        <w:t>北京证券交易所上市公司业务办理指南</w:t>
      </w:r>
    </w:p>
    <w:p>
      <w:pPr>
        <w:spacing w:line="600" w:lineRule="exact"/>
        <w:jc w:val="center"/>
        <w:outlineLvl w:val="0"/>
        <w:rPr>
          <w:rFonts w:ascii="Times New Roman" w:hAnsi="Times New Roman" w:eastAsia="仿宋"/>
          <w:sz w:val="30"/>
          <w:szCs w:val="30"/>
        </w:rPr>
      </w:pPr>
      <w:r>
        <w:rPr>
          <w:rFonts w:hint="eastAsia" w:ascii="Times New Roman" w:hAnsi="Times New Roman" w:eastAsia="方正大标宋简体"/>
          <w:bCs/>
          <w:sz w:val="44"/>
          <w:szCs w:val="44"/>
        </w:rPr>
        <w:t>第1号</w:t>
      </w:r>
      <w:r>
        <w:rPr>
          <w:rFonts w:hint="eastAsia" w:ascii="Times New Roman" w:hAnsi="Times New Roman" w:eastAsia="方正大标宋简体"/>
          <w:bCs/>
          <w:kern w:val="44"/>
          <w:sz w:val="44"/>
          <w:szCs w:val="44"/>
        </w:rPr>
        <w:t>——</w:t>
      </w:r>
      <w:r>
        <w:rPr>
          <w:rFonts w:hint="eastAsia" w:ascii="Times New Roman" w:hAnsi="Times New Roman" w:eastAsia="方正大标宋简体"/>
          <w:bCs/>
          <w:sz w:val="44"/>
          <w:szCs w:val="44"/>
        </w:rPr>
        <w:t>股票停复牌</w:t>
      </w:r>
    </w:p>
    <w:p>
      <w:pPr>
        <w:spacing w:line="600" w:lineRule="exact"/>
        <w:ind w:firstLine="640" w:firstLineChars="200"/>
        <w:rPr>
          <w:rFonts w:ascii="Times New Roman" w:hAnsi="Times New Roman" w:eastAsia="黑体"/>
          <w:sz w:val="32"/>
          <w:szCs w:val="32"/>
        </w:rPr>
      </w:pPr>
    </w:p>
    <w:p>
      <w:pPr>
        <w:spacing w:line="600" w:lineRule="exact"/>
        <w:ind w:firstLine="640" w:firstLineChars="200"/>
        <w:rPr>
          <w:rFonts w:hint="eastAsia" w:ascii="Times New Roman" w:hAnsi="Times New Roman" w:eastAsia="楷体" w:cs="Times New Roman"/>
          <w:sz w:val="32"/>
          <w:szCs w:val="32"/>
          <w:highlight w:val="none"/>
          <w:lang w:val="en-US" w:eastAsia="zh-CN"/>
        </w:rPr>
      </w:pPr>
      <w:r>
        <w:rPr>
          <w:rFonts w:hint="eastAsia" w:ascii="Times New Roman" w:hAnsi="Times New Roman" w:eastAsia="楷体" w:cs="Times New Roman"/>
          <w:sz w:val="32"/>
          <w:szCs w:val="32"/>
          <w:highlight w:val="none"/>
          <w:lang w:val="en-US" w:eastAsia="zh-CN"/>
        </w:rPr>
        <w:t>（2021年11月2日发布，2022年12月30日第一次修订，2025年</w:t>
      </w:r>
      <w:r>
        <w:rPr>
          <w:rFonts w:hint="default" w:ascii="Times New Roman" w:hAnsi="Times New Roman" w:eastAsia="楷体" w:cs="Times New Roman"/>
          <w:sz w:val="32"/>
          <w:szCs w:val="32"/>
          <w:highlight w:val="none"/>
          <w:lang w:val="en" w:eastAsia="zh-CN"/>
        </w:rPr>
        <w:t>4</w:t>
      </w:r>
      <w:r>
        <w:rPr>
          <w:rFonts w:hint="eastAsia" w:ascii="Times New Roman" w:hAnsi="Times New Roman" w:eastAsia="楷体" w:cs="Times New Roman"/>
          <w:sz w:val="32"/>
          <w:szCs w:val="32"/>
          <w:highlight w:val="none"/>
          <w:lang w:val="en-US" w:eastAsia="zh-CN"/>
        </w:rPr>
        <w:t>月</w:t>
      </w:r>
      <w:r>
        <w:rPr>
          <w:rFonts w:hint="default" w:ascii="Times New Roman" w:hAnsi="Times New Roman" w:eastAsia="楷体" w:cs="Times New Roman"/>
          <w:sz w:val="32"/>
          <w:szCs w:val="32"/>
          <w:highlight w:val="none"/>
          <w:lang w:val="en" w:eastAsia="zh-CN"/>
        </w:rPr>
        <w:t>25</w:t>
      </w:r>
      <w:r>
        <w:rPr>
          <w:rFonts w:hint="eastAsia" w:ascii="Times New Roman" w:hAnsi="Times New Roman" w:eastAsia="楷体" w:cs="Times New Roman"/>
          <w:sz w:val="32"/>
          <w:szCs w:val="32"/>
          <w:highlight w:val="none"/>
          <w:lang w:val="en-US" w:eastAsia="zh-CN"/>
        </w:rPr>
        <w:t>日第二次修订）</w:t>
      </w:r>
    </w:p>
    <w:p>
      <w:pPr>
        <w:spacing w:line="600" w:lineRule="exact"/>
        <w:ind w:firstLine="640" w:firstLineChars="200"/>
        <w:rPr>
          <w:rFonts w:ascii="Times New Roman" w:hAnsi="Times New Roman" w:eastAsia="仿宋"/>
          <w:sz w:val="32"/>
          <w:szCs w:val="32"/>
        </w:rPr>
      </w:pP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为</w:t>
      </w:r>
      <w:r>
        <w:rPr>
          <w:rFonts w:hint="eastAsia" w:ascii="Times New Roman" w:hAnsi="Times New Roman" w:eastAsia="仿宋"/>
          <w:sz w:val="32"/>
          <w:szCs w:val="32"/>
        </w:rPr>
        <w:t>了</w:t>
      </w:r>
      <w:r>
        <w:rPr>
          <w:rFonts w:ascii="Times New Roman" w:hAnsi="Times New Roman" w:eastAsia="仿宋"/>
          <w:sz w:val="32"/>
          <w:szCs w:val="32"/>
        </w:rPr>
        <w:t>规范</w:t>
      </w:r>
      <w:r>
        <w:rPr>
          <w:rFonts w:hint="eastAsia" w:ascii="Times New Roman" w:hAnsi="Times New Roman" w:eastAsia="仿宋"/>
          <w:sz w:val="32"/>
          <w:szCs w:val="32"/>
        </w:rPr>
        <w:t>北京证券交易所（以下简称本所）上市公司</w:t>
      </w:r>
      <w:r>
        <w:rPr>
          <w:rFonts w:ascii="Times New Roman" w:hAnsi="Times New Roman" w:eastAsia="仿宋"/>
          <w:sz w:val="32"/>
          <w:szCs w:val="32"/>
        </w:rPr>
        <w:t>股票停复牌业务办理，</w:t>
      </w:r>
      <w:r>
        <w:rPr>
          <w:rFonts w:hint="eastAsia" w:ascii="Times New Roman" w:hAnsi="Times New Roman" w:eastAsia="仿宋"/>
          <w:sz w:val="32"/>
          <w:szCs w:val="32"/>
        </w:rPr>
        <w:t>根据《北京证券交易所股票上市规则》（以下简称《上市规则》）、</w:t>
      </w:r>
      <w:r>
        <w:rPr>
          <w:rFonts w:hint="eastAsia" w:ascii="仿宋" w:hAnsi="仿宋" w:eastAsia="仿宋"/>
          <w:sz w:val="32"/>
          <w:szCs w:val="32"/>
        </w:rPr>
        <w:t>《北京证券交易所上市公司重大资产重组业务指引》</w:t>
      </w:r>
      <w:r>
        <w:rPr>
          <w:rFonts w:hint="eastAsia" w:ascii="Times New Roman" w:hAnsi="Times New Roman" w:eastAsia="仿宋"/>
          <w:sz w:val="32"/>
          <w:szCs w:val="32"/>
        </w:rPr>
        <w:t>等有关规定，制定本指南</w:t>
      </w:r>
      <w:r>
        <w:rPr>
          <w:rFonts w:ascii="Times New Roman" w:hAnsi="Times New Roman" w:eastAsia="仿宋"/>
          <w:sz w:val="32"/>
          <w:szCs w:val="32"/>
        </w:rPr>
        <w:t>。</w:t>
      </w:r>
    </w:p>
    <w:p>
      <w:pPr>
        <w:spacing w:line="600" w:lineRule="exact"/>
        <w:ind w:firstLine="640" w:firstLineChars="200"/>
        <w:outlineLvl w:val="0"/>
        <w:rPr>
          <w:rFonts w:ascii="Times New Roman" w:hAnsi="Times New Roman" w:eastAsia="黑体"/>
          <w:sz w:val="32"/>
          <w:szCs w:val="32"/>
        </w:rPr>
      </w:pPr>
      <w:r>
        <w:rPr>
          <w:rFonts w:hint="eastAsia" w:ascii="Times New Roman" w:hAnsi="Times New Roman" w:eastAsia="黑体"/>
          <w:sz w:val="32"/>
          <w:szCs w:val="32"/>
        </w:rPr>
        <w:t>1．申请流程</w:t>
      </w:r>
    </w:p>
    <w:p>
      <w:pPr>
        <w:spacing w:line="600" w:lineRule="exact"/>
        <w:ind w:firstLine="640" w:firstLineChars="200"/>
        <w:outlineLvl w:val="1"/>
        <w:rPr>
          <w:rFonts w:ascii="Times New Roman" w:hAnsi="Times New Roman" w:eastAsia="楷体"/>
          <w:sz w:val="32"/>
          <w:szCs w:val="32"/>
        </w:rPr>
      </w:pPr>
      <w:r>
        <w:rPr>
          <w:rFonts w:hint="eastAsia" w:ascii="Times New Roman" w:hAnsi="Times New Roman" w:eastAsia="楷体"/>
          <w:sz w:val="32"/>
          <w:szCs w:val="32"/>
        </w:rPr>
        <w:t>1</w:t>
      </w:r>
      <w:r>
        <w:rPr>
          <w:rFonts w:ascii="Times New Roman" w:hAnsi="Times New Roman" w:eastAsia="楷体"/>
          <w:sz w:val="32"/>
          <w:szCs w:val="32"/>
        </w:rPr>
        <w:t>.1正常申请</w:t>
      </w:r>
    </w:p>
    <w:p>
      <w:pPr>
        <w:spacing w:line="60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1.1.1</w:t>
      </w:r>
      <w:r>
        <w:rPr>
          <w:rFonts w:ascii="Times New Roman" w:hAnsi="Times New Roman" w:eastAsia="仿宋"/>
          <w:sz w:val="32"/>
          <w:szCs w:val="32"/>
        </w:rPr>
        <w:t>上市公司申请办理股票停牌</w:t>
      </w:r>
      <w:r>
        <w:rPr>
          <w:rFonts w:hint="eastAsia" w:ascii="Times New Roman" w:hAnsi="Times New Roman" w:eastAsia="仿宋"/>
          <w:sz w:val="32"/>
          <w:szCs w:val="32"/>
        </w:rPr>
        <w:t>、复牌、变更停牌事项或延期复牌</w:t>
      </w:r>
      <w:r>
        <w:rPr>
          <w:rFonts w:ascii="Times New Roman" w:hAnsi="Times New Roman" w:eastAsia="仿宋"/>
          <w:sz w:val="32"/>
          <w:szCs w:val="32"/>
        </w:rPr>
        <w:t>业务，应当在按照《</w:t>
      </w:r>
      <w:r>
        <w:rPr>
          <w:rFonts w:hint="eastAsia" w:ascii="Times New Roman" w:hAnsi="Times New Roman" w:eastAsia="仿宋"/>
          <w:sz w:val="32"/>
          <w:szCs w:val="32"/>
        </w:rPr>
        <w:t>上市规则</w:t>
      </w:r>
      <w:r>
        <w:rPr>
          <w:rFonts w:ascii="Times New Roman" w:hAnsi="Times New Roman" w:eastAsia="仿宋"/>
          <w:sz w:val="32"/>
          <w:szCs w:val="32"/>
        </w:rPr>
        <w:t>》等有关规定履行相应程序后</w:t>
      </w:r>
      <w:r>
        <w:rPr>
          <w:rFonts w:hint="eastAsia" w:ascii="Times New Roman" w:hAnsi="Times New Roman" w:eastAsia="仿宋"/>
          <w:sz w:val="32"/>
          <w:szCs w:val="32"/>
        </w:rPr>
        <w:t>准备</w:t>
      </w:r>
      <w:r>
        <w:rPr>
          <w:rFonts w:ascii="Times New Roman" w:hAnsi="Times New Roman" w:eastAsia="仿宋"/>
          <w:sz w:val="32"/>
          <w:szCs w:val="32"/>
        </w:rPr>
        <w:t>下列文件：</w:t>
      </w:r>
    </w:p>
    <w:p>
      <w:pPr>
        <w:spacing w:line="60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w:t>
      </w:r>
      <w:r>
        <w:rPr>
          <w:rFonts w:ascii="Times New Roman" w:hAnsi="Times New Roman" w:eastAsia="仿宋"/>
          <w:sz w:val="32"/>
          <w:szCs w:val="32"/>
        </w:rPr>
        <w:t>一）加盖公司公章</w:t>
      </w:r>
      <w:r>
        <w:rPr>
          <w:rFonts w:hint="eastAsia" w:ascii="Times New Roman" w:hAnsi="Times New Roman" w:eastAsia="仿宋"/>
          <w:sz w:val="32"/>
          <w:szCs w:val="32"/>
        </w:rPr>
        <w:t>或</w:t>
      </w:r>
      <w:r>
        <w:rPr>
          <w:rFonts w:ascii="Times New Roman" w:hAnsi="Times New Roman" w:eastAsia="仿宋"/>
          <w:sz w:val="32"/>
          <w:szCs w:val="32"/>
        </w:rPr>
        <w:t>董事会章的《停牌/复牌申请表》（附表1）、《</w:t>
      </w:r>
      <w:r>
        <w:rPr>
          <w:rFonts w:hint="eastAsia" w:ascii="Times New Roman" w:hAnsi="Times New Roman" w:eastAsia="仿宋"/>
          <w:sz w:val="32"/>
          <w:szCs w:val="32"/>
        </w:rPr>
        <w:t>发行</w:t>
      </w:r>
      <w:r>
        <w:rPr>
          <w:rFonts w:ascii="Times New Roman" w:hAnsi="Times New Roman" w:eastAsia="仿宋"/>
          <w:sz w:val="32"/>
          <w:szCs w:val="32"/>
        </w:rPr>
        <w:t>股份购买资产停牌/复牌申请表》（附表2）、《变更停牌事项申请表》（附表3）</w:t>
      </w:r>
      <w:r>
        <w:rPr>
          <w:rFonts w:hint="eastAsia" w:ascii="Times New Roman" w:hAnsi="Times New Roman" w:eastAsia="仿宋"/>
          <w:sz w:val="32"/>
          <w:szCs w:val="32"/>
        </w:rPr>
        <w:t>或</w:t>
      </w:r>
      <w:r>
        <w:rPr>
          <w:rFonts w:ascii="Times New Roman" w:hAnsi="Times New Roman" w:eastAsia="仿宋"/>
          <w:sz w:val="32"/>
          <w:szCs w:val="32"/>
        </w:rPr>
        <w:t>《延期复牌申请表》（附表4）</w:t>
      </w:r>
      <w:r>
        <w:rPr>
          <w:rFonts w:hint="eastAsia" w:ascii="Times New Roman" w:hAnsi="Times New Roman" w:eastAsia="仿宋"/>
          <w:sz w:val="32"/>
          <w:szCs w:val="32"/>
        </w:rPr>
        <w:t>；</w:t>
      </w:r>
    </w:p>
    <w:p>
      <w:pPr>
        <w:spacing w:line="60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（二</w:t>
      </w:r>
      <w:r>
        <w:rPr>
          <w:rFonts w:ascii="Times New Roman" w:hAnsi="Times New Roman" w:eastAsia="仿宋"/>
          <w:sz w:val="32"/>
          <w:szCs w:val="32"/>
        </w:rPr>
        <w:t>）</w:t>
      </w:r>
      <w:r>
        <w:rPr>
          <w:rFonts w:hint="eastAsia" w:ascii="Times New Roman" w:hAnsi="Times New Roman" w:eastAsia="仿宋"/>
          <w:sz w:val="32"/>
          <w:szCs w:val="32"/>
        </w:rPr>
        <w:t>拟披露</w:t>
      </w:r>
      <w:r>
        <w:rPr>
          <w:rFonts w:ascii="Times New Roman" w:hAnsi="Times New Roman" w:eastAsia="仿宋"/>
          <w:sz w:val="32"/>
          <w:szCs w:val="32"/>
        </w:rPr>
        <w:t>的停牌公告、复牌公告、停牌事项变更公告</w:t>
      </w:r>
      <w:r>
        <w:rPr>
          <w:rFonts w:hint="eastAsia" w:ascii="Times New Roman" w:hAnsi="Times New Roman" w:eastAsia="仿宋"/>
          <w:sz w:val="32"/>
          <w:szCs w:val="32"/>
        </w:rPr>
        <w:t>或</w:t>
      </w:r>
      <w:r>
        <w:rPr>
          <w:rFonts w:ascii="Times New Roman" w:hAnsi="Times New Roman" w:eastAsia="仿宋"/>
          <w:sz w:val="32"/>
          <w:szCs w:val="32"/>
        </w:rPr>
        <w:t>延期复牌公告</w:t>
      </w:r>
      <w:r>
        <w:rPr>
          <w:rFonts w:hint="eastAsia" w:ascii="Times New Roman" w:hAnsi="Times New Roman" w:eastAsia="仿宋"/>
          <w:sz w:val="32"/>
          <w:szCs w:val="32"/>
        </w:rPr>
        <w:t>；</w:t>
      </w:r>
    </w:p>
    <w:p>
      <w:pPr>
        <w:spacing w:line="60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（三</w:t>
      </w:r>
      <w:r>
        <w:rPr>
          <w:rFonts w:ascii="Times New Roman" w:hAnsi="Times New Roman" w:eastAsia="仿宋"/>
          <w:sz w:val="32"/>
          <w:szCs w:val="32"/>
        </w:rPr>
        <w:t>）本所要求的其他文件。</w:t>
      </w:r>
    </w:p>
    <w:p>
      <w:pPr>
        <w:spacing w:line="60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1.1.2</w:t>
      </w:r>
      <w:r>
        <w:rPr>
          <w:rFonts w:ascii="Times New Roman" w:hAnsi="Times New Roman" w:eastAsia="仿宋"/>
          <w:sz w:val="32"/>
          <w:szCs w:val="32"/>
        </w:rPr>
        <w:t>上市公司</w:t>
      </w:r>
      <w:r>
        <w:rPr>
          <w:rFonts w:hint="eastAsia" w:ascii="Times New Roman" w:hAnsi="Times New Roman" w:eastAsia="仿宋"/>
          <w:sz w:val="32"/>
          <w:szCs w:val="32"/>
        </w:rPr>
        <w:t>应</w:t>
      </w:r>
      <w:r>
        <w:rPr>
          <w:rFonts w:ascii="Times New Roman" w:hAnsi="Times New Roman" w:eastAsia="仿宋"/>
          <w:sz w:val="32"/>
          <w:szCs w:val="32"/>
        </w:rPr>
        <w:t>通过</w:t>
      </w:r>
      <w:r>
        <w:rPr>
          <w:rFonts w:hint="eastAsia" w:ascii="Times New Roman" w:hAnsi="Times New Roman" w:eastAsia="仿宋"/>
          <w:sz w:val="32"/>
          <w:szCs w:val="32"/>
        </w:rPr>
        <w:t>本所上市公司业务</w:t>
      </w:r>
      <w:r>
        <w:rPr>
          <w:rFonts w:ascii="Times New Roman" w:hAnsi="Times New Roman" w:eastAsia="仿宋"/>
          <w:sz w:val="32"/>
          <w:szCs w:val="32"/>
        </w:rPr>
        <w:t>管理</w:t>
      </w:r>
      <w:r>
        <w:rPr>
          <w:rFonts w:hint="eastAsia" w:ascii="Times New Roman" w:hAnsi="Times New Roman" w:eastAsia="仿宋"/>
          <w:sz w:val="32"/>
          <w:szCs w:val="32"/>
        </w:rPr>
        <w:t>系统（以下简称业务系统）新建信息披露申请，添加停复牌公告类别，于</w:t>
      </w:r>
      <w:r>
        <w:rPr>
          <w:rFonts w:ascii="Times New Roman" w:hAnsi="Times New Roman" w:eastAsia="仿宋"/>
          <w:sz w:val="32"/>
          <w:szCs w:val="32"/>
        </w:rPr>
        <w:t>交易日的</w:t>
      </w:r>
      <w:r>
        <w:rPr>
          <w:rFonts w:hint="eastAsia" w:ascii="Times New Roman" w:hAnsi="Times New Roman" w:eastAsia="仿宋"/>
          <w:sz w:val="32"/>
          <w:szCs w:val="32"/>
        </w:rPr>
        <w:t>8：30-</w:t>
      </w:r>
      <w:r>
        <w:rPr>
          <w:rFonts w:ascii="Times New Roman" w:hAnsi="Times New Roman" w:eastAsia="仿宋"/>
          <w:sz w:val="32"/>
          <w:szCs w:val="32"/>
        </w:rPr>
        <w:t>16</w:t>
      </w:r>
      <w:r>
        <w:rPr>
          <w:rFonts w:hint="eastAsia" w:ascii="Times New Roman" w:hAnsi="Times New Roman" w:eastAsia="仿宋"/>
          <w:sz w:val="32"/>
          <w:szCs w:val="32"/>
        </w:rPr>
        <w:t>：</w:t>
      </w:r>
      <w:r>
        <w:rPr>
          <w:rFonts w:ascii="Times New Roman" w:hAnsi="Times New Roman" w:eastAsia="仿宋"/>
          <w:sz w:val="32"/>
          <w:szCs w:val="32"/>
        </w:rPr>
        <w:t>30</w:t>
      </w:r>
      <w:r>
        <w:rPr>
          <w:rFonts w:hint="eastAsia" w:ascii="Times New Roman" w:hAnsi="Times New Roman" w:eastAsia="仿宋"/>
          <w:sz w:val="32"/>
          <w:szCs w:val="32"/>
        </w:rPr>
        <w:t>上传对应的信息披露文件及申请文件，并确认停复牌事项、起止时间等业务信息参数的准确性和完整性。上市公司提交信息披露申请后，本所在非交易时段进行审查，审查通过后，上市公司应及时通过系统确认发布相关公告。</w:t>
      </w:r>
    </w:p>
    <w:p>
      <w:pPr>
        <w:spacing w:line="60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1.1.3本所按照上市公司申请实施停牌、复牌操作后，将通过业务系统向上市公司反馈停复牌操作结果，上市公司应于生效日8：45前在业务系统“信息披露办理-操作结果确认”处确认业务生效情况与业务申请内容的一致性。</w:t>
      </w:r>
    </w:p>
    <w:p>
      <w:pPr>
        <w:spacing w:line="600" w:lineRule="exact"/>
        <w:ind w:firstLine="640" w:firstLineChars="200"/>
        <w:jc w:val="left"/>
        <w:rPr>
          <w:rFonts w:ascii="Times New Roman" w:hAnsi="Times New Roman" w:eastAsia="仿宋"/>
          <w:color w:val="000000" w:themeColor="text1"/>
          <w:sz w:val="32"/>
          <w:szCs w:val="32"/>
          <w14:textFill>
            <w14:solidFill>
              <w14:schemeClr w14:val="tx1"/>
            </w14:solidFill>
          </w14:textFill>
        </w:rPr>
      </w:pPr>
      <w:r>
        <w:rPr>
          <w:rFonts w:hint="eastAsia" w:ascii="Times New Roman" w:hAnsi="Times New Roman" w:eastAsia="仿宋"/>
          <w:color w:val="000000" w:themeColor="text1"/>
          <w:sz w:val="32"/>
          <w:szCs w:val="32"/>
          <w14:textFill>
            <w14:solidFill>
              <w14:schemeClr w14:val="tx1"/>
            </w14:solidFill>
          </w14:textFill>
        </w:rPr>
        <w:t>1.1.4上市</w:t>
      </w:r>
      <w:r>
        <w:rPr>
          <w:rFonts w:ascii="Times New Roman" w:hAnsi="Times New Roman" w:eastAsia="仿宋"/>
          <w:color w:val="000000" w:themeColor="text1"/>
          <w:sz w:val="32"/>
          <w:szCs w:val="32"/>
          <w14:textFill>
            <w14:solidFill>
              <w14:schemeClr w14:val="tx1"/>
            </w14:solidFill>
          </w14:textFill>
        </w:rPr>
        <w:t>公司应当密切关注业务办理进度</w:t>
      </w:r>
      <w:r>
        <w:rPr>
          <w:rFonts w:hint="eastAsia" w:ascii="Times New Roman" w:hAnsi="Times New Roman" w:eastAsia="仿宋"/>
          <w:color w:val="000000" w:themeColor="text1"/>
          <w:sz w:val="32"/>
          <w:szCs w:val="32"/>
          <w14:textFill>
            <w14:solidFill>
              <w14:schemeClr w14:val="tx1"/>
            </w14:solidFill>
          </w14:textFill>
        </w:rPr>
        <w:t>、生效情况及</w:t>
      </w:r>
      <w:r>
        <w:rPr>
          <w:rFonts w:ascii="Times New Roman" w:hAnsi="Times New Roman" w:eastAsia="仿宋"/>
          <w:color w:val="000000" w:themeColor="text1"/>
          <w:sz w:val="32"/>
          <w:szCs w:val="32"/>
          <w14:textFill>
            <w14:solidFill>
              <w14:schemeClr w14:val="tx1"/>
            </w14:solidFill>
          </w14:textFill>
        </w:rPr>
        <w:t>信息披露</w:t>
      </w:r>
      <w:r>
        <w:rPr>
          <w:rFonts w:hint="eastAsia" w:ascii="Times New Roman" w:hAnsi="Times New Roman" w:eastAsia="仿宋"/>
          <w:color w:val="000000" w:themeColor="text1"/>
          <w:sz w:val="32"/>
          <w:szCs w:val="32"/>
          <w14:textFill>
            <w14:solidFill>
              <w14:schemeClr w14:val="tx1"/>
            </w14:solidFill>
          </w14:textFill>
        </w:rPr>
        <w:t>情况</w:t>
      </w:r>
      <w:r>
        <w:rPr>
          <w:rFonts w:ascii="Times New Roman" w:hAnsi="Times New Roman" w:eastAsia="仿宋"/>
          <w:color w:val="000000" w:themeColor="text1"/>
          <w:sz w:val="32"/>
          <w:szCs w:val="32"/>
          <w14:textFill>
            <w14:solidFill>
              <w14:schemeClr w14:val="tx1"/>
            </w14:solidFill>
          </w14:textFill>
        </w:rPr>
        <w:t>，如发现不一致的，应当及时向本所报告。</w:t>
      </w:r>
    </w:p>
    <w:p>
      <w:pPr>
        <w:spacing w:line="600" w:lineRule="exact"/>
        <w:ind w:firstLine="640" w:firstLineChars="200"/>
        <w:outlineLvl w:val="1"/>
        <w:rPr>
          <w:rFonts w:ascii="Times New Roman" w:hAnsi="Times New Roman" w:eastAsia="楷体"/>
          <w:color w:val="000000" w:themeColor="text1"/>
          <w:sz w:val="32"/>
          <w:szCs w:val="32"/>
          <w14:textFill>
            <w14:solidFill>
              <w14:schemeClr w14:val="tx1"/>
            </w14:solidFill>
          </w14:textFill>
        </w:rPr>
      </w:pPr>
      <w:r>
        <w:rPr>
          <w:rFonts w:hint="eastAsia" w:ascii="Times New Roman" w:hAnsi="Times New Roman" w:eastAsia="楷体"/>
          <w:color w:val="000000" w:themeColor="text1"/>
          <w:sz w:val="32"/>
          <w:szCs w:val="32"/>
          <w14:textFill>
            <w14:solidFill>
              <w14:schemeClr w14:val="tx1"/>
            </w14:solidFill>
          </w14:textFill>
        </w:rPr>
        <w:t>1</w:t>
      </w:r>
      <w:r>
        <w:rPr>
          <w:rFonts w:ascii="Times New Roman" w:hAnsi="Times New Roman" w:eastAsia="楷体"/>
          <w:color w:val="000000" w:themeColor="text1"/>
          <w:sz w:val="32"/>
          <w:szCs w:val="32"/>
          <w14:textFill>
            <w14:solidFill>
              <w14:schemeClr w14:val="tx1"/>
            </w14:solidFill>
          </w14:textFill>
        </w:rPr>
        <w:t>.2紧急申请</w:t>
      </w:r>
    </w:p>
    <w:p>
      <w:pPr>
        <w:spacing w:line="600" w:lineRule="exact"/>
        <w:ind w:firstLine="640" w:firstLineChars="200"/>
        <w:rPr>
          <w:rFonts w:ascii="Times New Roman" w:hAnsi="Times New Roman" w:eastAsia="仿宋"/>
          <w:color w:val="000000" w:themeColor="text1"/>
          <w:sz w:val="32"/>
          <w:szCs w:val="32"/>
          <w14:textFill>
            <w14:solidFill>
              <w14:schemeClr w14:val="tx1"/>
            </w14:solidFill>
          </w14:textFill>
        </w:rPr>
      </w:pPr>
      <w:r>
        <w:rPr>
          <w:rFonts w:hint="eastAsia" w:ascii="Times New Roman" w:hAnsi="Times New Roman" w:eastAsia="仿宋"/>
          <w:color w:val="000000" w:themeColor="text1"/>
          <w:sz w:val="32"/>
          <w:szCs w:val="32"/>
          <w14:textFill>
            <w14:solidFill>
              <w14:schemeClr w14:val="tx1"/>
            </w14:solidFill>
          </w14:textFill>
        </w:rPr>
        <w:t>1.2.1上市公司不能申请其股票于当日复牌。</w:t>
      </w:r>
      <w:r>
        <w:rPr>
          <w:rFonts w:ascii="Times New Roman" w:hAnsi="Times New Roman" w:eastAsia="仿宋"/>
          <w:color w:val="000000" w:themeColor="text1"/>
          <w:sz w:val="32"/>
          <w:szCs w:val="32"/>
          <w14:textFill>
            <w14:solidFill>
              <w14:schemeClr w14:val="tx1"/>
            </w14:solidFill>
          </w14:textFill>
        </w:rPr>
        <w:t>公司未能在T-1日（T日为停牌生效日）16</w:t>
      </w:r>
      <w:r>
        <w:rPr>
          <w:rFonts w:hint="eastAsia" w:ascii="Times New Roman" w:hAnsi="Times New Roman" w:eastAsia="仿宋"/>
          <w:sz w:val="32"/>
          <w:szCs w:val="32"/>
        </w:rPr>
        <w:t>：</w:t>
      </w:r>
      <w:r>
        <w:rPr>
          <w:rFonts w:ascii="Times New Roman" w:hAnsi="Times New Roman" w:eastAsia="仿宋"/>
          <w:color w:val="000000" w:themeColor="text1"/>
          <w:sz w:val="32"/>
          <w:szCs w:val="32"/>
          <w14:textFill>
            <w14:solidFill>
              <w14:schemeClr w14:val="tx1"/>
            </w14:solidFill>
          </w14:textFill>
        </w:rPr>
        <w:t>30</w:t>
      </w:r>
      <w:r>
        <w:rPr>
          <w:rFonts w:hint="eastAsia" w:ascii="Times New Roman" w:hAnsi="Times New Roman" w:eastAsia="仿宋"/>
          <w:color w:val="000000" w:themeColor="text1"/>
          <w:sz w:val="32"/>
          <w:szCs w:val="32"/>
          <w14:textFill>
            <w14:solidFill>
              <w14:schemeClr w14:val="tx1"/>
            </w14:solidFill>
          </w14:textFill>
        </w:rPr>
        <w:t>前</w:t>
      </w:r>
      <w:r>
        <w:rPr>
          <w:rFonts w:ascii="Times New Roman" w:hAnsi="Times New Roman" w:eastAsia="仿宋"/>
          <w:color w:val="000000" w:themeColor="text1"/>
          <w:sz w:val="32"/>
          <w:szCs w:val="32"/>
          <w14:textFill>
            <w14:solidFill>
              <w14:schemeClr w14:val="tx1"/>
            </w14:solidFill>
          </w14:textFill>
        </w:rPr>
        <w:t>向本所提出停牌申请，</w:t>
      </w:r>
      <w:r>
        <w:rPr>
          <w:rFonts w:hint="eastAsia" w:ascii="Times New Roman" w:hAnsi="Times New Roman" w:eastAsia="仿宋"/>
          <w:color w:val="000000" w:themeColor="text1"/>
          <w:sz w:val="32"/>
          <w:szCs w:val="32"/>
          <w14:textFill>
            <w14:solidFill>
              <w14:schemeClr w14:val="tx1"/>
            </w14:solidFill>
          </w14:textFill>
        </w:rPr>
        <w:t>应当做好保密工作，</w:t>
      </w:r>
      <w:r>
        <w:rPr>
          <w:rFonts w:ascii="Times New Roman" w:hAnsi="Times New Roman" w:eastAsia="仿宋"/>
          <w:color w:val="000000" w:themeColor="text1"/>
          <w:sz w:val="32"/>
          <w:szCs w:val="32"/>
          <w14:textFill>
            <w14:solidFill>
              <w14:schemeClr w14:val="tx1"/>
            </w14:solidFill>
          </w14:textFill>
        </w:rPr>
        <w:t>确需T日停牌的，应当在非交易时段向本所报告</w:t>
      </w:r>
      <w:r>
        <w:rPr>
          <w:rFonts w:hint="eastAsia" w:ascii="Times New Roman" w:hAnsi="Times New Roman" w:eastAsia="仿宋"/>
          <w:color w:val="000000" w:themeColor="text1"/>
          <w:sz w:val="32"/>
          <w:szCs w:val="32"/>
          <w14:textFill>
            <w14:solidFill>
              <w14:schemeClr w14:val="tx1"/>
            </w14:solidFill>
          </w14:textFill>
        </w:rPr>
        <w:t>，</w:t>
      </w:r>
      <w:r>
        <w:rPr>
          <w:rFonts w:ascii="Times New Roman" w:hAnsi="Times New Roman" w:eastAsia="仿宋"/>
          <w:color w:val="000000" w:themeColor="text1"/>
          <w:sz w:val="32"/>
          <w:szCs w:val="32"/>
          <w14:textFill>
            <w14:solidFill>
              <w14:schemeClr w14:val="tx1"/>
            </w14:solidFill>
          </w14:textFill>
        </w:rPr>
        <w:t>经本所同意后，上市公司</w:t>
      </w:r>
      <w:r>
        <w:rPr>
          <w:rFonts w:hint="eastAsia" w:ascii="Times New Roman" w:hAnsi="Times New Roman" w:eastAsia="仿宋"/>
          <w:color w:val="000000" w:themeColor="text1"/>
          <w:sz w:val="32"/>
          <w:szCs w:val="32"/>
          <w14:textFill>
            <w14:solidFill>
              <w14:schemeClr w14:val="tx1"/>
            </w14:solidFill>
          </w14:textFill>
        </w:rPr>
        <w:t>按照1.1.1条准备相关文件，于</w:t>
      </w:r>
      <w:r>
        <w:rPr>
          <w:rFonts w:ascii="Times New Roman" w:hAnsi="Times New Roman" w:eastAsia="仿宋"/>
          <w:color w:val="000000" w:themeColor="text1"/>
          <w:sz w:val="32"/>
          <w:szCs w:val="32"/>
          <w14:textFill>
            <w14:solidFill>
              <w14:schemeClr w14:val="tx1"/>
            </w14:solidFill>
          </w14:textFill>
        </w:rPr>
        <w:t>T日</w:t>
      </w:r>
      <w:r>
        <w:rPr>
          <w:rFonts w:hint="eastAsia" w:ascii="Times New Roman" w:hAnsi="Times New Roman" w:eastAsia="仿宋"/>
          <w:color w:val="000000" w:themeColor="text1"/>
          <w:sz w:val="32"/>
          <w:szCs w:val="32"/>
          <w14:textFill>
            <w14:solidFill>
              <w14:schemeClr w14:val="tx1"/>
            </w14:solidFill>
          </w14:textFill>
        </w:rPr>
        <w:t>7</w:t>
      </w:r>
      <w:r>
        <w:rPr>
          <w:rFonts w:hint="eastAsia" w:ascii="Times New Roman" w:hAnsi="Times New Roman" w:eastAsia="仿宋"/>
          <w:sz w:val="32"/>
          <w:szCs w:val="32"/>
        </w:rPr>
        <w:t>：</w:t>
      </w:r>
      <w:r>
        <w:rPr>
          <w:rFonts w:hint="eastAsia" w:ascii="Times New Roman" w:hAnsi="Times New Roman" w:eastAsia="仿宋"/>
          <w:color w:val="000000" w:themeColor="text1"/>
          <w:sz w:val="32"/>
          <w:szCs w:val="32"/>
          <w14:textFill>
            <w14:solidFill>
              <w14:schemeClr w14:val="tx1"/>
            </w14:solidFill>
          </w14:textFill>
        </w:rPr>
        <w:t>30-</w:t>
      </w:r>
      <w:r>
        <w:rPr>
          <w:rFonts w:ascii="Times New Roman" w:hAnsi="Times New Roman" w:eastAsia="仿宋"/>
          <w:color w:val="000000" w:themeColor="text1"/>
          <w:sz w:val="32"/>
          <w:szCs w:val="32"/>
          <w14:textFill>
            <w14:solidFill>
              <w14:schemeClr w14:val="tx1"/>
            </w14:solidFill>
          </w14:textFill>
        </w:rPr>
        <w:t>8</w:t>
      </w:r>
      <w:r>
        <w:rPr>
          <w:rFonts w:hint="eastAsia" w:ascii="Times New Roman" w:hAnsi="Times New Roman" w:eastAsia="仿宋"/>
          <w:sz w:val="32"/>
          <w:szCs w:val="32"/>
        </w:rPr>
        <w:t>：</w:t>
      </w:r>
      <w:r>
        <w:rPr>
          <w:rFonts w:ascii="Times New Roman" w:hAnsi="Times New Roman" w:eastAsia="仿宋"/>
          <w:color w:val="000000" w:themeColor="text1"/>
          <w:sz w:val="32"/>
          <w:szCs w:val="32"/>
          <w:lang w:val="en"/>
          <w14:textFill>
            <w14:solidFill>
              <w14:schemeClr w14:val="tx1"/>
            </w14:solidFill>
          </w14:textFill>
        </w:rPr>
        <w:t>30</w:t>
      </w:r>
      <w:r>
        <w:rPr>
          <w:rFonts w:hint="eastAsia" w:ascii="Times New Roman" w:hAnsi="Times New Roman" w:eastAsia="仿宋"/>
          <w:color w:val="000000" w:themeColor="text1"/>
          <w:sz w:val="32"/>
          <w:szCs w:val="32"/>
          <w:lang w:val="en"/>
          <w14:textFill>
            <w14:solidFill>
              <w14:schemeClr w14:val="tx1"/>
            </w14:solidFill>
          </w14:textFill>
        </w:rPr>
        <w:t>或</w:t>
      </w:r>
      <w:r>
        <w:rPr>
          <w:rFonts w:hint="eastAsia" w:ascii="Times New Roman" w:hAnsi="Times New Roman" w:eastAsia="仿宋"/>
          <w:color w:val="000000" w:themeColor="text1"/>
          <w:sz w:val="32"/>
          <w:szCs w:val="32"/>
          <w14:textFill>
            <w14:solidFill>
              <w14:schemeClr w14:val="tx1"/>
            </w14:solidFill>
          </w14:textFill>
        </w:rPr>
        <w:t>9</w:t>
      </w:r>
      <w:r>
        <w:rPr>
          <w:rFonts w:hint="eastAsia" w:ascii="Times New Roman" w:hAnsi="Times New Roman" w:eastAsia="仿宋"/>
          <w:sz w:val="32"/>
          <w:szCs w:val="32"/>
        </w:rPr>
        <w:t>：</w:t>
      </w:r>
      <w:r>
        <w:rPr>
          <w:rFonts w:ascii="Times New Roman" w:hAnsi="Times New Roman" w:eastAsia="仿宋"/>
          <w:color w:val="000000" w:themeColor="text1"/>
          <w:sz w:val="32"/>
          <w:szCs w:val="32"/>
          <w14:textFill>
            <w14:solidFill>
              <w14:schemeClr w14:val="tx1"/>
            </w14:solidFill>
          </w14:textFill>
        </w:rPr>
        <w:t>30-12</w:t>
      </w:r>
      <w:r>
        <w:rPr>
          <w:rFonts w:hint="eastAsia" w:ascii="Times New Roman" w:hAnsi="Times New Roman" w:eastAsia="仿宋"/>
          <w:sz w:val="32"/>
          <w:szCs w:val="32"/>
        </w:rPr>
        <w:t>：</w:t>
      </w:r>
      <w:r>
        <w:rPr>
          <w:rFonts w:ascii="Times New Roman" w:hAnsi="Times New Roman" w:eastAsia="仿宋"/>
          <w:color w:val="000000" w:themeColor="text1"/>
          <w:sz w:val="32"/>
          <w:szCs w:val="32"/>
          <w14:textFill>
            <w14:solidFill>
              <w14:schemeClr w14:val="tx1"/>
            </w14:solidFill>
          </w14:textFill>
        </w:rPr>
        <w:t>30通过</w:t>
      </w:r>
      <w:r>
        <w:rPr>
          <w:rFonts w:hint="eastAsia" w:ascii="Times New Roman" w:hAnsi="Times New Roman" w:eastAsia="仿宋"/>
          <w:color w:val="000000" w:themeColor="text1"/>
          <w:sz w:val="32"/>
          <w:szCs w:val="32"/>
          <w14:textFill>
            <w14:solidFill>
              <w14:schemeClr w14:val="tx1"/>
            </w14:solidFill>
          </w14:textFill>
        </w:rPr>
        <w:t>业务系统提交信息披露申请，本所在非交易时段进行审查，审查通过后，上市公司应及时通过系统确认发布相关公告，并于9</w:t>
      </w:r>
      <w:r>
        <w:rPr>
          <w:rFonts w:hint="eastAsia" w:ascii="Times New Roman" w:hAnsi="Times New Roman" w:eastAsia="仿宋"/>
          <w:sz w:val="32"/>
          <w:szCs w:val="32"/>
        </w:rPr>
        <w:t>：</w:t>
      </w:r>
      <w:r>
        <w:rPr>
          <w:rFonts w:hint="eastAsia" w:ascii="Times New Roman" w:hAnsi="Times New Roman" w:eastAsia="仿宋"/>
          <w:color w:val="000000" w:themeColor="text1"/>
          <w:sz w:val="32"/>
          <w:szCs w:val="32"/>
          <w14:textFill>
            <w14:solidFill>
              <w14:schemeClr w14:val="tx1"/>
            </w14:solidFill>
          </w14:textFill>
        </w:rPr>
        <w:t>05或12</w:t>
      </w:r>
      <w:r>
        <w:rPr>
          <w:rFonts w:hint="eastAsia" w:ascii="Times New Roman" w:hAnsi="Times New Roman" w:eastAsia="仿宋"/>
          <w:sz w:val="32"/>
          <w:szCs w:val="32"/>
        </w:rPr>
        <w:t>：</w:t>
      </w:r>
      <w:r>
        <w:rPr>
          <w:rFonts w:hint="eastAsia" w:ascii="Times New Roman" w:hAnsi="Times New Roman" w:eastAsia="仿宋"/>
          <w:color w:val="000000" w:themeColor="text1"/>
          <w:sz w:val="32"/>
          <w:szCs w:val="32"/>
          <w14:textFill>
            <w14:solidFill>
              <w14:schemeClr w14:val="tx1"/>
            </w14:solidFill>
          </w14:textFill>
        </w:rPr>
        <w:t>50前在业务系统“信息披露办理-操作</w:t>
      </w:r>
      <w:r>
        <w:rPr>
          <w:rFonts w:hint="eastAsia" w:ascii="Times New Roman" w:hAnsi="Times New Roman" w:eastAsia="仿宋"/>
          <w:sz w:val="32"/>
          <w:szCs w:val="32"/>
        </w:rPr>
        <w:t>结果</w:t>
      </w:r>
      <w:r>
        <w:rPr>
          <w:rFonts w:hint="eastAsia" w:ascii="Times New Roman" w:hAnsi="Times New Roman" w:eastAsia="仿宋"/>
          <w:color w:val="000000" w:themeColor="text1"/>
          <w:sz w:val="32"/>
          <w:szCs w:val="32"/>
          <w14:textFill>
            <w14:solidFill>
              <w14:schemeClr w14:val="tx1"/>
            </w14:solidFill>
          </w14:textFill>
        </w:rPr>
        <w:t>确认”处确认业务生效情况与业务申请内容的一致性，</w:t>
      </w:r>
      <w:r>
        <w:rPr>
          <w:rFonts w:ascii="Times New Roman" w:hAnsi="Times New Roman" w:eastAsia="仿宋"/>
          <w:color w:val="000000" w:themeColor="text1"/>
          <w:sz w:val="32"/>
          <w:szCs w:val="32"/>
          <w14:textFill>
            <w14:solidFill>
              <w14:schemeClr w14:val="tx1"/>
            </w14:solidFill>
          </w14:textFill>
        </w:rPr>
        <w:t>如发现不一致的，应当及时向本所报告</w:t>
      </w:r>
      <w:r>
        <w:rPr>
          <w:rFonts w:hint="eastAsia" w:ascii="Times New Roman" w:hAnsi="Times New Roman" w:eastAsia="仿宋"/>
          <w:color w:val="000000" w:themeColor="text1"/>
          <w:sz w:val="32"/>
          <w:szCs w:val="32"/>
          <w14:textFill>
            <w14:solidFill>
              <w14:schemeClr w14:val="tx1"/>
            </w14:solidFill>
          </w14:textFill>
        </w:rPr>
        <w:t>。</w:t>
      </w:r>
    </w:p>
    <w:p>
      <w:pPr>
        <w:spacing w:line="60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1.2.2</w:t>
      </w:r>
      <w:r>
        <w:rPr>
          <w:rFonts w:ascii="Times New Roman" w:hAnsi="Times New Roman" w:eastAsia="仿宋"/>
          <w:sz w:val="32"/>
          <w:szCs w:val="32"/>
        </w:rPr>
        <w:t>上市公司原则上不得申请盘中紧急停牌。确需盘中停牌的，经本所同意后，将本指南要求的申请文件和《信息披露业务流转表》发送至</w:t>
      </w:r>
      <w:r>
        <w:rPr>
          <w:rFonts w:hint="eastAsia" w:ascii="Times New Roman" w:hAnsi="Times New Roman" w:eastAsia="仿宋"/>
          <w:sz w:val="32"/>
          <w:szCs w:val="32"/>
        </w:rPr>
        <w:t>指定邮箱</w:t>
      </w:r>
      <w:r>
        <w:rPr>
          <w:rFonts w:ascii="Times New Roman" w:hAnsi="Times New Roman" w:eastAsia="仿宋"/>
          <w:sz w:val="32"/>
          <w:szCs w:val="32"/>
        </w:rPr>
        <w:t>，根据本所要求线下办理。</w:t>
      </w:r>
    </w:p>
    <w:p>
      <w:pPr>
        <w:spacing w:line="600" w:lineRule="exact"/>
        <w:ind w:firstLine="640" w:firstLineChars="200"/>
        <w:outlineLvl w:val="0"/>
        <w:rPr>
          <w:rFonts w:ascii="Times New Roman" w:hAnsi="Times New Roman" w:eastAsia="黑体"/>
          <w:sz w:val="32"/>
          <w:szCs w:val="32"/>
        </w:rPr>
      </w:pPr>
      <w:r>
        <w:rPr>
          <w:rFonts w:hint="eastAsia" w:ascii="Times New Roman" w:hAnsi="Times New Roman" w:eastAsia="黑体"/>
          <w:sz w:val="32"/>
          <w:szCs w:val="32"/>
        </w:rPr>
        <w:t>2．</w:t>
      </w:r>
      <w:r>
        <w:rPr>
          <w:rFonts w:ascii="Times New Roman" w:hAnsi="Times New Roman" w:eastAsia="黑体"/>
          <w:sz w:val="32"/>
          <w:szCs w:val="32"/>
        </w:rPr>
        <w:t>停牌</w:t>
      </w:r>
    </w:p>
    <w:p>
      <w:pPr>
        <w:spacing w:line="60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2.1</w:t>
      </w:r>
      <w:r>
        <w:rPr>
          <w:rFonts w:ascii="Times New Roman" w:hAnsi="Times New Roman" w:eastAsia="仿宋"/>
          <w:sz w:val="32"/>
          <w:szCs w:val="32"/>
        </w:rPr>
        <w:t>上市公司发生《</w:t>
      </w:r>
      <w:r>
        <w:rPr>
          <w:rFonts w:hint="eastAsia" w:ascii="Times New Roman" w:hAnsi="Times New Roman" w:eastAsia="仿宋"/>
          <w:sz w:val="32"/>
          <w:szCs w:val="32"/>
        </w:rPr>
        <w:t>上市规则</w:t>
      </w:r>
      <w:r>
        <w:rPr>
          <w:rFonts w:ascii="Times New Roman" w:hAnsi="Times New Roman" w:eastAsia="仿宋"/>
          <w:sz w:val="32"/>
          <w:szCs w:val="32"/>
        </w:rPr>
        <w:t>》及有关业务规则规定的停牌事项，需要停牌一个交易日的，应当按照本指南规定在T-1日（T日为停牌生效日）向本所提交停牌申请</w:t>
      </w:r>
      <w:r>
        <w:rPr>
          <w:rFonts w:hint="eastAsia" w:ascii="Times New Roman" w:hAnsi="Times New Roman" w:eastAsia="仿宋"/>
          <w:sz w:val="32"/>
          <w:szCs w:val="32"/>
        </w:rPr>
        <w:t>及</w:t>
      </w:r>
      <w:r>
        <w:rPr>
          <w:rFonts w:ascii="Times New Roman" w:hAnsi="Times New Roman" w:eastAsia="仿宋"/>
          <w:sz w:val="32"/>
          <w:szCs w:val="32"/>
        </w:rPr>
        <w:t>停牌</w:t>
      </w:r>
      <w:r>
        <w:rPr>
          <w:rFonts w:hint="eastAsia" w:ascii="Times New Roman" w:hAnsi="Times New Roman" w:eastAsia="仿宋"/>
          <w:sz w:val="32"/>
          <w:szCs w:val="32"/>
        </w:rPr>
        <w:t>一个</w:t>
      </w:r>
      <w:r>
        <w:rPr>
          <w:rFonts w:ascii="Times New Roman" w:hAnsi="Times New Roman" w:eastAsia="仿宋"/>
          <w:sz w:val="32"/>
          <w:szCs w:val="32"/>
        </w:rPr>
        <w:t>交易日的公告，股票停牌一个交易日后自动复牌。</w:t>
      </w:r>
    </w:p>
    <w:p>
      <w:pPr>
        <w:spacing w:line="60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2.2</w:t>
      </w:r>
      <w:r>
        <w:rPr>
          <w:rFonts w:ascii="Times New Roman" w:hAnsi="Times New Roman" w:eastAsia="仿宋"/>
          <w:sz w:val="32"/>
          <w:szCs w:val="32"/>
        </w:rPr>
        <w:t>上市公司因</w:t>
      </w:r>
      <w:r>
        <w:rPr>
          <w:rFonts w:hint="eastAsia" w:ascii="Times New Roman" w:hAnsi="Times New Roman" w:eastAsia="仿宋"/>
          <w:sz w:val="32"/>
          <w:szCs w:val="32"/>
        </w:rPr>
        <w:t>筹划</w:t>
      </w:r>
      <w:r>
        <w:rPr>
          <w:rFonts w:ascii="Times New Roman" w:hAnsi="Times New Roman" w:eastAsia="仿宋"/>
          <w:sz w:val="32"/>
          <w:szCs w:val="32"/>
        </w:rPr>
        <w:t>重大事项申请股票停牌的，应当按照本指南规定，在T-1日向本所提出申请，并在申请中明确预计复牌日期。</w:t>
      </w:r>
    </w:p>
    <w:p>
      <w:pPr>
        <w:spacing w:line="60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2.3</w:t>
      </w:r>
      <w:r>
        <w:rPr>
          <w:rFonts w:ascii="Times New Roman" w:hAnsi="Times New Roman" w:eastAsia="仿宋"/>
          <w:sz w:val="32"/>
          <w:szCs w:val="32"/>
        </w:rPr>
        <w:t>上市公司向境内其他证券交易所申请股票转板（以下简称</w:t>
      </w:r>
      <w:r>
        <w:rPr>
          <w:rFonts w:hint="eastAsia" w:ascii="Times New Roman" w:hAnsi="Times New Roman" w:eastAsia="仿宋"/>
          <w:sz w:val="32"/>
          <w:szCs w:val="32"/>
        </w:rPr>
        <w:t>申请</w:t>
      </w:r>
      <w:r>
        <w:rPr>
          <w:rFonts w:ascii="Times New Roman" w:hAnsi="Times New Roman" w:eastAsia="仿宋"/>
          <w:sz w:val="32"/>
          <w:szCs w:val="32"/>
        </w:rPr>
        <w:t>转板）</w:t>
      </w:r>
      <w:r>
        <w:rPr>
          <w:rFonts w:hint="eastAsia" w:ascii="Times New Roman" w:hAnsi="Times New Roman" w:eastAsia="仿宋"/>
          <w:sz w:val="32"/>
          <w:szCs w:val="32"/>
        </w:rPr>
        <w:t>的</w:t>
      </w:r>
      <w:r>
        <w:rPr>
          <w:rFonts w:ascii="Times New Roman" w:hAnsi="Times New Roman" w:eastAsia="仿宋"/>
          <w:sz w:val="32"/>
          <w:szCs w:val="32"/>
        </w:rPr>
        <w:t>，应当按照本指南规定，在向境内</w:t>
      </w:r>
      <w:r>
        <w:rPr>
          <w:rFonts w:hint="eastAsia" w:ascii="Times New Roman" w:hAnsi="Times New Roman" w:eastAsia="仿宋"/>
          <w:sz w:val="32"/>
          <w:szCs w:val="32"/>
        </w:rPr>
        <w:t>其他</w:t>
      </w:r>
      <w:r>
        <w:rPr>
          <w:rFonts w:ascii="Times New Roman" w:hAnsi="Times New Roman" w:eastAsia="仿宋"/>
          <w:sz w:val="32"/>
          <w:szCs w:val="32"/>
        </w:rPr>
        <w:t>证券交易所</w:t>
      </w:r>
      <w:r>
        <w:rPr>
          <w:rFonts w:hint="eastAsia" w:ascii="Times New Roman" w:hAnsi="Times New Roman" w:eastAsia="仿宋"/>
          <w:sz w:val="32"/>
          <w:szCs w:val="32"/>
        </w:rPr>
        <w:t>提交</w:t>
      </w:r>
      <w:r>
        <w:rPr>
          <w:rFonts w:ascii="Times New Roman" w:hAnsi="Times New Roman" w:eastAsia="仿宋"/>
          <w:sz w:val="32"/>
          <w:szCs w:val="32"/>
        </w:rPr>
        <w:t>申报材料的当日申请公司股票于次一交易日起停牌。</w:t>
      </w:r>
    </w:p>
    <w:p>
      <w:pPr>
        <w:spacing w:line="60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2.4</w:t>
      </w:r>
      <w:r>
        <w:rPr>
          <w:rFonts w:ascii="Times New Roman" w:hAnsi="Times New Roman" w:eastAsia="仿宋"/>
          <w:sz w:val="32"/>
          <w:szCs w:val="32"/>
        </w:rPr>
        <w:t>上市公司</w:t>
      </w:r>
      <w:r>
        <w:rPr>
          <w:rFonts w:hint="eastAsia" w:ascii="Times New Roman" w:hAnsi="Times New Roman" w:eastAsia="仿宋"/>
          <w:sz w:val="32"/>
          <w:szCs w:val="32"/>
        </w:rPr>
        <w:t>出现</w:t>
      </w:r>
      <w:r>
        <w:rPr>
          <w:rFonts w:ascii="Times New Roman" w:hAnsi="Times New Roman" w:eastAsia="仿宋"/>
          <w:sz w:val="32"/>
          <w:szCs w:val="32"/>
        </w:rPr>
        <w:t>《上市规则》第十章</w:t>
      </w:r>
      <w:r>
        <w:rPr>
          <w:rFonts w:hint="eastAsia" w:ascii="Times New Roman" w:hAnsi="Times New Roman" w:eastAsia="仿宋"/>
          <w:sz w:val="32"/>
          <w:szCs w:val="32"/>
        </w:rPr>
        <w:t>第二</w:t>
      </w:r>
      <w:r>
        <w:rPr>
          <w:rFonts w:ascii="Times New Roman" w:hAnsi="Times New Roman" w:eastAsia="仿宋"/>
          <w:sz w:val="32"/>
          <w:szCs w:val="32"/>
        </w:rPr>
        <w:t>节至第五节规定的</w:t>
      </w:r>
      <w:r>
        <w:rPr>
          <w:rFonts w:hint="eastAsia" w:ascii="Times New Roman" w:hAnsi="Times New Roman" w:eastAsia="仿宋"/>
          <w:sz w:val="32"/>
          <w:szCs w:val="32"/>
        </w:rPr>
        <w:t>停牌</w:t>
      </w:r>
      <w:r>
        <w:rPr>
          <w:rFonts w:ascii="Times New Roman" w:hAnsi="Times New Roman" w:eastAsia="仿宋"/>
          <w:sz w:val="32"/>
          <w:szCs w:val="32"/>
        </w:rPr>
        <w:t>情形时，应当按照本指南规定</w:t>
      </w:r>
      <w:r>
        <w:rPr>
          <w:rFonts w:hint="eastAsia" w:ascii="Times New Roman" w:hAnsi="Times New Roman" w:eastAsia="仿宋"/>
          <w:sz w:val="32"/>
          <w:szCs w:val="32"/>
        </w:rPr>
        <w:t>，在</w:t>
      </w:r>
      <w:r>
        <w:rPr>
          <w:rFonts w:ascii="Times New Roman" w:hAnsi="Times New Roman" w:eastAsia="仿宋"/>
          <w:sz w:val="32"/>
          <w:szCs w:val="32"/>
        </w:rPr>
        <w:t>T-1</w:t>
      </w:r>
      <w:r>
        <w:rPr>
          <w:rFonts w:hint="eastAsia" w:ascii="Times New Roman" w:hAnsi="Times New Roman" w:eastAsia="仿宋"/>
          <w:sz w:val="32"/>
          <w:szCs w:val="32"/>
        </w:rPr>
        <w:t>日</w:t>
      </w:r>
      <w:r>
        <w:rPr>
          <w:rFonts w:ascii="Times New Roman" w:hAnsi="Times New Roman" w:eastAsia="仿宋"/>
          <w:sz w:val="32"/>
          <w:szCs w:val="32"/>
        </w:rPr>
        <w:t>向本所提</w:t>
      </w:r>
      <w:r>
        <w:rPr>
          <w:rFonts w:hint="eastAsia" w:ascii="Times New Roman" w:hAnsi="Times New Roman" w:eastAsia="仿宋"/>
          <w:sz w:val="32"/>
          <w:szCs w:val="32"/>
        </w:rPr>
        <w:t>出申请；出现</w:t>
      </w:r>
      <w:r>
        <w:rPr>
          <w:rFonts w:ascii="Times New Roman" w:hAnsi="Times New Roman" w:eastAsia="仿宋"/>
          <w:sz w:val="32"/>
          <w:szCs w:val="32"/>
        </w:rPr>
        <w:t>《上市规则》第十章</w:t>
      </w:r>
      <w:r>
        <w:rPr>
          <w:rFonts w:hint="eastAsia" w:ascii="Times New Roman" w:hAnsi="Times New Roman" w:eastAsia="仿宋"/>
          <w:sz w:val="32"/>
          <w:szCs w:val="32"/>
        </w:rPr>
        <w:t>第七</w:t>
      </w:r>
      <w:r>
        <w:rPr>
          <w:rFonts w:ascii="Times New Roman" w:hAnsi="Times New Roman" w:eastAsia="仿宋"/>
          <w:sz w:val="32"/>
          <w:szCs w:val="32"/>
        </w:rPr>
        <w:t>节规定的</w:t>
      </w:r>
      <w:r>
        <w:rPr>
          <w:rFonts w:hint="eastAsia" w:ascii="Times New Roman" w:hAnsi="Times New Roman" w:eastAsia="仿宋"/>
          <w:sz w:val="32"/>
          <w:szCs w:val="32"/>
        </w:rPr>
        <w:t>停牌</w:t>
      </w:r>
      <w:r>
        <w:rPr>
          <w:rFonts w:ascii="Times New Roman" w:hAnsi="Times New Roman" w:eastAsia="仿宋"/>
          <w:sz w:val="32"/>
          <w:szCs w:val="32"/>
        </w:rPr>
        <w:t>情形时，</w:t>
      </w:r>
      <w:r>
        <w:rPr>
          <w:rFonts w:hint="eastAsia" w:ascii="Times New Roman" w:hAnsi="Times New Roman" w:eastAsia="仿宋"/>
          <w:sz w:val="32"/>
          <w:szCs w:val="32"/>
        </w:rPr>
        <w:t>在不晚于</w:t>
      </w:r>
      <w:r>
        <w:rPr>
          <w:rFonts w:ascii="Times New Roman" w:hAnsi="Times New Roman" w:eastAsia="仿宋"/>
          <w:sz w:val="32"/>
          <w:szCs w:val="32"/>
        </w:rPr>
        <w:t>T-1</w:t>
      </w:r>
      <w:r>
        <w:rPr>
          <w:rFonts w:hint="eastAsia" w:ascii="Times New Roman" w:hAnsi="Times New Roman" w:eastAsia="仿宋"/>
          <w:sz w:val="32"/>
          <w:szCs w:val="32"/>
        </w:rPr>
        <w:t>日</w:t>
      </w:r>
      <w:r>
        <w:rPr>
          <w:rFonts w:ascii="Times New Roman" w:hAnsi="Times New Roman" w:eastAsia="仿宋"/>
          <w:sz w:val="32"/>
          <w:szCs w:val="32"/>
        </w:rPr>
        <w:t>向本所提</w:t>
      </w:r>
      <w:r>
        <w:rPr>
          <w:rFonts w:hint="eastAsia" w:ascii="Times New Roman" w:hAnsi="Times New Roman" w:eastAsia="仿宋"/>
          <w:sz w:val="32"/>
          <w:szCs w:val="32"/>
        </w:rPr>
        <w:t>出申请。</w:t>
      </w:r>
    </w:p>
    <w:p>
      <w:pPr>
        <w:spacing w:line="60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2.5</w:t>
      </w:r>
      <w:r>
        <w:rPr>
          <w:rFonts w:ascii="Times New Roman" w:hAnsi="Times New Roman" w:eastAsia="仿宋"/>
          <w:sz w:val="32"/>
          <w:szCs w:val="32"/>
        </w:rPr>
        <w:t>上市公司发生中国证监会或本所规定的其他停牌情形，应当</w:t>
      </w:r>
      <w:r>
        <w:rPr>
          <w:rFonts w:hint="eastAsia" w:ascii="Times New Roman" w:hAnsi="Times New Roman" w:eastAsia="仿宋"/>
          <w:sz w:val="32"/>
          <w:szCs w:val="32"/>
        </w:rPr>
        <w:t>按照相应</w:t>
      </w:r>
      <w:r>
        <w:rPr>
          <w:rFonts w:ascii="Times New Roman" w:hAnsi="Times New Roman" w:eastAsia="仿宋"/>
          <w:sz w:val="32"/>
          <w:szCs w:val="32"/>
        </w:rPr>
        <w:t>规定及时向本所申请股票停牌。</w:t>
      </w:r>
    </w:p>
    <w:p>
      <w:pPr>
        <w:spacing w:line="600" w:lineRule="exact"/>
        <w:ind w:firstLine="640" w:firstLineChars="200"/>
        <w:outlineLvl w:val="0"/>
        <w:rPr>
          <w:rFonts w:ascii="Times New Roman" w:hAnsi="Times New Roman" w:eastAsia="黑体"/>
          <w:sz w:val="32"/>
          <w:szCs w:val="32"/>
        </w:rPr>
      </w:pPr>
      <w:r>
        <w:rPr>
          <w:rFonts w:hint="eastAsia" w:ascii="Times New Roman" w:hAnsi="Times New Roman" w:eastAsia="黑体"/>
          <w:sz w:val="32"/>
          <w:szCs w:val="32"/>
        </w:rPr>
        <w:t>3．</w:t>
      </w:r>
      <w:r>
        <w:rPr>
          <w:rFonts w:ascii="Times New Roman" w:hAnsi="Times New Roman" w:eastAsia="黑体"/>
          <w:sz w:val="32"/>
          <w:szCs w:val="32"/>
        </w:rPr>
        <w:t>变更停牌事项</w:t>
      </w:r>
    </w:p>
    <w:p>
      <w:pPr>
        <w:spacing w:line="60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3.1</w:t>
      </w:r>
      <w:r>
        <w:rPr>
          <w:rFonts w:ascii="Times New Roman" w:hAnsi="Times New Roman" w:eastAsia="仿宋"/>
          <w:sz w:val="32"/>
          <w:szCs w:val="32"/>
        </w:rPr>
        <w:t>上市公司股票停牌期间，停牌事项发生变化、新增停牌事项或减少停牌事项的，应在</w:t>
      </w:r>
      <w:r>
        <w:rPr>
          <w:rFonts w:hint="eastAsia" w:ascii="Times New Roman" w:hAnsi="Times New Roman" w:eastAsia="仿宋"/>
          <w:sz w:val="32"/>
          <w:szCs w:val="32"/>
        </w:rPr>
        <w:t>相关</w:t>
      </w:r>
      <w:r>
        <w:rPr>
          <w:rFonts w:ascii="Times New Roman" w:hAnsi="Times New Roman" w:eastAsia="仿宋"/>
          <w:sz w:val="32"/>
          <w:szCs w:val="32"/>
        </w:rPr>
        <w:t>事实发生后，在停牌期限届满前及时向本所提出申请。</w:t>
      </w:r>
    </w:p>
    <w:p>
      <w:pPr>
        <w:spacing w:line="600" w:lineRule="exact"/>
        <w:ind w:firstLine="640" w:firstLineChars="200"/>
        <w:outlineLvl w:val="0"/>
        <w:rPr>
          <w:rFonts w:ascii="Times New Roman" w:hAnsi="Times New Roman" w:eastAsia="黑体"/>
          <w:sz w:val="32"/>
          <w:szCs w:val="32"/>
        </w:rPr>
      </w:pPr>
      <w:r>
        <w:rPr>
          <w:rFonts w:hint="eastAsia" w:ascii="Times New Roman" w:hAnsi="Times New Roman" w:eastAsia="黑体"/>
          <w:sz w:val="32"/>
          <w:szCs w:val="32"/>
        </w:rPr>
        <w:t>4．</w:t>
      </w:r>
      <w:r>
        <w:rPr>
          <w:rFonts w:ascii="Times New Roman" w:hAnsi="Times New Roman" w:eastAsia="黑体"/>
          <w:sz w:val="32"/>
          <w:szCs w:val="32"/>
        </w:rPr>
        <w:t>延期复牌</w:t>
      </w:r>
    </w:p>
    <w:p>
      <w:pPr>
        <w:spacing w:line="60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4.1</w:t>
      </w:r>
      <w:r>
        <w:rPr>
          <w:rFonts w:ascii="Times New Roman" w:hAnsi="Times New Roman" w:eastAsia="仿宋"/>
          <w:sz w:val="32"/>
          <w:szCs w:val="32"/>
        </w:rPr>
        <w:t>上市公司</w:t>
      </w:r>
      <w:r>
        <w:rPr>
          <w:rFonts w:hint="eastAsia" w:ascii="Times New Roman" w:hAnsi="Times New Roman" w:eastAsia="仿宋"/>
          <w:sz w:val="32"/>
          <w:szCs w:val="32"/>
        </w:rPr>
        <w:t>无法在</w:t>
      </w:r>
      <w:r>
        <w:rPr>
          <w:rFonts w:ascii="Times New Roman" w:hAnsi="Times New Roman" w:eastAsia="仿宋"/>
          <w:sz w:val="32"/>
          <w:szCs w:val="32"/>
        </w:rPr>
        <w:t>停牌期限届满前完成相关事项筹划，</w:t>
      </w:r>
      <w:r>
        <w:rPr>
          <w:rFonts w:hint="eastAsia" w:ascii="Times New Roman" w:hAnsi="Times New Roman" w:eastAsia="仿宋"/>
          <w:sz w:val="32"/>
          <w:szCs w:val="32"/>
        </w:rPr>
        <w:t>如符合</w:t>
      </w:r>
      <w:r>
        <w:rPr>
          <w:rFonts w:ascii="Times New Roman" w:hAnsi="Times New Roman" w:eastAsia="仿宋"/>
          <w:sz w:val="32"/>
          <w:szCs w:val="32"/>
        </w:rPr>
        <w:t>《上市规则》</w:t>
      </w:r>
      <w:r>
        <w:rPr>
          <w:rFonts w:hint="eastAsia" w:ascii="Times New Roman" w:hAnsi="Times New Roman" w:eastAsia="仿宋"/>
          <w:sz w:val="32"/>
          <w:szCs w:val="32"/>
        </w:rPr>
        <w:t>中继续停牌</w:t>
      </w:r>
      <w:r>
        <w:rPr>
          <w:rFonts w:ascii="Times New Roman" w:hAnsi="Times New Roman" w:eastAsia="仿宋"/>
          <w:sz w:val="32"/>
          <w:szCs w:val="32"/>
        </w:rPr>
        <w:t>条件的，</w:t>
      </w:r>
      <w:r>
        <w:rPr>
          <w:rFonts w:hint="eastAsia" w:ascii="Times New Roman" w:hAnsi="Times New Roman" w:eastAsia="仿宋"/>
          <w:sz w:val="32"/>
          <w:szCs w:val="32"/>
        </w:rPr>
        <w:t>可以</w:t>
      </w:r>
      <w:r>
        <w:rPr>
          <w:rFonts w:ascii="Times New Roman" w:hAnsi="Times New Roman" w:eastAsia="仿宋"/>
          <w:sz w:val="32"/>
          <w:szCs w:val="32"/>
        </w:rPr>
        <w:t>在不晚于T-2日（T日为原预计复牌日期）按照本指南规定向本所申请股票延期复牌</w:t>
      </w:r>
      <w:r>
        <w:rPr>
          <w:rFonts w:hint="eastAsia" w:ascii="Times New Roman" w:hAnsi="Times New Roman" w:eastAsia="仿宋"/>
          <w:sz w:val="32"/>
          <w:szCs w:val="32"/>
        </w:rPr>
        <w:t>，</w:t>
      </w:r>
      <w:r>
        <w:rPr>
          <w:rFonts w:ascii="Times New Roman" w:hAnsi="Times New Roman" w:eastAsia="仿宋"/>
          <w:sz w:val="32"/>
          <w:szCs w:val="32"/>
        </w:rPr>
        <w:t>并提交相应的证明文件。</w:t>
      </w:r>
    </w:p>
    <w:p>
      <w:pPr>
        <w:spacing w:line="600" w:lineRule="exact"/>
        <w:ind w:firstLine="640" w:firstLineChars="200"/>
        <w:outlineLvl w:val="0"/>
        <w:rPr>
          <w:rFonts w:ascii="Times New Roman" w:hAnsi="Times New Roman" w:eastAsia="黑体"/>
          <w:sz w:val="32"/>
          <w:szCs w:val="32"/>
        </w:rPr>
      </w:pPr>
      <w:r>
        <w:rPr>
          <w:rFonts w:hint="eastAsia" w:ascii="Times New Roman" w:hAnsi="Times New Roman" w:eastAsia="黑体"/>
          <w:sz w:val="32"/>
          <w:szCs w:val="32"/>
        </w:rPr>
        <w:t>5．</w:t>
      </w:r>
      <w:r>
        <w:rPr>
          <w:rFonts w:ascii="Times New Roman" w:hAnsi="Times New Roman" w:eastAsia="黑体"/>
          <w:sz w:val="32"/>
          <w:szCs w:val="32"/>
        </w:rPr>
        <w:t>复牌</w:t>
      </w:r>
    </w:p>
    <w:p>
      <w:pPr>
        <w:spacing w:line="60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5.1</w:t>
      </w:r>
      <w:r>
        <w:rPr>
          <w:rFonts w:ascii="Times New Roman" w:hAnsi="Times New Roman" w:eastAsia="仿宋"/>
          <w:sz w:val="32"/>
          <w:szCs w:val="32"/>
        </w:rPr>
        <w:t>上市公司股票所有停牌情形消除后，应当及时按照本指南规定，在不晚于T-1日（T日为复牌生效日）向本所提出复牌申请，并提交相应的证明文件（如有）。</w:t>
      </w:r>
    </w:p>
    <w:p>
      <w:pPr>
        <w:spacing w:line="60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5.2上市</w:t>
      </w:r>
      <w:r>
        <w:rPr>
          <w:rFonts w:ascii="Times New Roman" w:hAnsi="Times New Roman" w:eastAsia="仿宋"/>
          <w:sz w:val="32"/>
          <w:szCs w:val="32"/>
        </w:rPr>
        <w:t>公司</w:t>
      </w:r>
      <w:r>
        <w:rPr>
          <w:rFonts w:hint="eastAsia" w:ascii="Times New Roman" w:hAnsi="Times New Roman" w:eastAsia="仿宋"/>
          <w:sz w:val="32"/>
          <w:szCs w:val="32"/>
        </w:rPr>
        <w:t>因</w:t>
      </w:r>
      <w:r>
        <w:rPr>
          <w:rFonts w:ascii="Times New Roman" w:hAnsi="Times New Roman" w:eastAsia="仿宋"/>
          <w:sz w:val="32"/>
          <w:szCs w:val="32"/>
        </w:rPr>
        <w:t>筹划发行股份购买资产停牌的，</w:t>
      </w:r>
      <w:r>
        <w:rPr>
          <w:rFonts w:hint="eastAsia" w:ascii="Times New Roman" w:hAnsi="Times New Roman" w:eastAsia="仿宋"/>
          <w:sz w:val="32"/>
          <w:szCs w:val="32"/>
        </w:rPr>
        <w:t>应当</w:t>
      </w:r>
      <w:r>
        <w:rPr>
          <w:rFonts w:ascii="Times New Roman" w:hAnsi="Times New Roman" w:eastAsia="仿宋"/>
          <w:sz w:val="32"/>
          <w:szCs w:val="32"/>
        </w:rPr>
        <w:t>在披露经董事会审议通过的</w:t>
      </w:r>
      <w:r>
        <w:rPr>
          <w:rFonts w:hint="eastAsia" w:ascii="Times New Roman" w:hAnsi="Times New Roman" w:eastAsia="仿宋"/>
          <w:sz w:val="32"/>
          <w:szCs w:val="32"/>
        </w:rPr>
        <w:t>重组预案或报告书、方案</w:t>
      </w:r>
      <w:r>
        <w:rPr>
          <w:rFonts w:ascii="Times New Roman" w:hAnsi="Times New Roman" w:eastAsia="仿宋"/>
          <w:sz w:val="32"/>
          <w:szCs w:val="32"/>
        </w:rPr>
        <w:t>重大调整情况</w:t>
      </w:r>
      <w:r>
        <w:rPr>
          <w:rFonts w:hint="eastAsia" w:ascii="Times New Roman" w:hAnsi="Times New Roman" w:eastAsia="仿宋"/>
          <w:sz w:val="32"/>
          <w:szCs w:val="32"/>
        </w:rPr>
        <w:t>公告</w:t>
      </w:r>
      <w:r>
        <w:rPr>
          <w:rFonts w:ascii="Times New Roman" w:hAnsi="Times New Roman" w:eastAsia="仿宋"/>
          <w:sz w:val="32"/>
          <w:szCs w:val="32"/>
        </w:rPr>
        <w:t>或终止筹划重组事项</w:t>
      </w:r>
      <w:r>
        <w:rPr>
          <w:rFonts w:hint="eastAsia" w:ascii="Times New Roman" w:hAnsi="Times New Roman" w:eastAsia="仿宋"/>
          <w:sz w:val="32"/>
          <w:szCs w:val="32"/>
        </w:rPr>
        <w:t>公告</w:t>
      </w:r>
      <w:r>
        <w:rPr>
          <w:rFonts w:ascii="Times New Roman" w:hAnsi="Times New Roman" w:eastAsia="仿宋"/>
          <w:sz w:val="32"/>
          <w:szCs w:val="32"/>
        </w:rPr>
        <w:t>后，申请股票于披露后的次两个交易日</w:t>
      </w:r>
      <w:r>
        <w:rPr>
          <w:rFonts w:hint="eastAsia" w:ascii="Times New Roman" w:hAnsi="Times New Roman" w:eastAsia="仿宋"/>
          <w:sz w:val="32"/>
          <w:szCs w:val="32"/>
        </w:rPr>
        <w:t>内</w:t>
      </w:r>
      <w:r>
        <w:rPr>
          <w:rFonts w:ascii="Times New Roman" w:hAnsi="Times New Roman" w:eastAsia="仿宋"/>
          <w:sz w:val="32"/>
          <w:szCs w:val="32"/>
        </w:rPr>
        <w:t>复牌。</w:t>
      </w:r>
    </w:p>
    <w:p>
      <w:pPr>
        <w:spacing w:line="60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5.3上市</w:t>
      </w:r>
      <w:r>
        <w:rPr>
          <w:rFonts w:ascii="Times New Roman" w:hAnsi="Times New Roman" w:eastAsia="仿宋"/>
          <w:sz w:val="32"/>
          <w:szCs w:val="32"/>
        </w:rPr>
        <w:t>公司</w:t>
      </w:r>
      <w:r>
        <w:rPr>
          <w:rFonts w:hint="eastAsia" w:ascii="Times New Roman" w:hAnsi="Times New Roman" w:eastAsia="仿宋"/>
          <w:sz w:val="32"/>
          <w:szCs w:val="32"/>
        </w:rPr>
        <w:t>因</w:t>
      </w:r>
      <w:r>
        <w:rPr>
          <w:rFonts w:ascii="Times New Roman" w:hAnsi="Times New Roman" w:eastAsia="仿宋"/>
          <w:sz w:val="32"/>
          <w:szCs w:val="32"/>
        </w:rPr>
        <w:t>筹划</w:t>
      </w:r>
      <w:r>
        <w:rPr>
          <w:rFonts w:hint="eastAsia" w:ascii="Times New Roman" w:hAnsi="Times New Roman" w:eastAsia="仿宋"/>
          <w:sz w:val="32"/>
          <w:szCs w:val="32"/>
        </w:rPr>
        <w:t>其他重大</w:t>
      </w:r>
      <w:r>
        <w:rPr>
          <w:rFonts w:ascii="Times New Roman" w:hAnsi="Times New Roman" w:eastAsia="仿宋"/>
          <w:sz w:val="32"/>
          <w:szCs w:val="32"/>
        </w:rPr>
        <w:t>事项停牌的，</w:t>
      </w:r>
      <w:r>
        <w:rPr>
          <w:rFonts w:hint="eastAsia" w:ascii="Times New Roman" w:hAnsi="Times New Roman" w:eastAsia="仿宋"/>
          <w:sz w:val="32"/>
          <w:szCs w:val="32"/>
        </w:rPr>
        <w:t>如完成</w:t>
      </w:r>
      <w:r>
        <w:rPr>
          <w:rFonts w:ascii="Times New Roman" w:hAnsi="Times New Roman" w:eastAsia="仿宋"/>
          <w:sz w:val="32"/>
          <w:szCs w:val="32"/>
        </w:rPr>
        <w:t>事项筹划或</w:t>
      </w:r>
      <w:r>
        <w:rPr>
          <w:rFonts w:hint="eastAsia" w:ascii="Times New Roman" w:hAnsi="Times New Roman" w:eastAsia="仿宋"/>
          <w:sz w:val="32"/>
          <w:szCs w:val="32"/>
        </w:rPr>
        <w:t>终止筹划</w:t>
      </w:r>
      <w:r>
        <w:rPr>
          <w:rFonts w:ascii="Times New Roman" w:hAnsi="Times New Roman" w:eastAsia="仿宋"/>
          <w:sz w:val="32"/>
          <w:szCs w:val="32"/>
        </w:rPr>
        <w:t>的，应当申请股票于上述事实发生后的次两个交易日</w:t>
      </w:r>
      <w:r>
        <w:rPr>
          <w:rFonts w:hint="eastAsia" w:ascii="Times New Roman" w:hAnsi="Times New Roman" w:eastAsia="仿宋"/>
          <w:sz w:val="32"/>
          <w:szCs w:val="32"/>
        </w:rPr>
        <w:t>内</w:t>
      </w:r>
      <w:r>
        <w:rPr>
          <w:rFonts w:ascii="Times New Roman" w:hAnsi="Times New Roman" w:eastAsia="仿宋"/>
          <w:sz w:val="32"/>
          <w:szCs w:val="32"/>
        </w:rPr>
        <w:t>复牌</w:t>
      </w:r>
      <w:r>
        <w:rPr>
          <w:rFonts w:hint="eastAsia" w:ascii="Times New Roman" w:hAnsi="Times New Roman" w:eastAsia="仿宋"/>
          <w:sz w:val="32"/>
          <w:szCs w:val="32"/>
        </w:rPr>
        <w:t>；</w:t>
      </w:r>
      <w:r>
        <w:rPr>
          <w:rFonts w:ascii="Times New Roman" w:hAnsi="Times New Roman" w:eastAsia="仿宋"/>
          <w:sz w:val="32"/>
          <w:szCs w:val="32"/>
        </w:rPr>
        <w:t>如</w:t>
      </w:r>
      <w:r>
        <w:rPr>
          <w:rFonts w:hint="eastAsia" w:ascii="Times New Roman" w:hAnsi="Times New Roman" w:eastAsia="仿宋"/>
          <w:sz w:val="32"/>
          <w:szCs w:val="32"/>
        </w:rPr>
        <w:t>停牌</w:t>
      </w:r>
      <w:r>
        <w:rPr>
          <w:rFonts w:ascii="Times New Roman" w:hAnsi="Times New Roman" w:eastAsia="仿宋"/>
          <w:sz w:val="32"/>
          <w:szCs w:val="32"/>
        </w:rPr>
        <w:t>期限届满且不符合</w:t>
      </w:r>
      <w:r>
        <w:rPr>
          <w:rFonts w:hint="eastAsia" w:ascii="Times New Roman" w:hAnsi="Times New Roman" w:eastAsia="仿宋"/>
          <w:sz w:val="32"/>
          <w:szCs w:val="32"/>
        </w:rPr>
        <w:t>继续</w:t>
      </w:r>
      <w:r>
        <w:rPr>
          <w:rFonts w:ascii="Times New Roman" w:hAnsi="Times New Roman" w:eastAsia="仿宋"/>
          <w:sz w:val="32"/>
          <w:szCs w:val="32"/>
        </w:rPr>
        <w:t>停牌条件的，应当</w:t>
      </w:r>
      <w:r>
        <w:rPr>
          <w:rFonts w:hint="eastAsia" w:ascii="Times New Roman" w:hAnsi="Times New Roman" w:eastAsia="仿宋"/>
          <w:sz w:val="32"/>
          <w:szCs w:val="32"/>
        </w:rPr>
        <w:t>在期限</w:t>
      </w:r>
      <w:r>
        <w:rPr>
          <w:rFonts w:ascii="Times New Roman" w:hAnsi="Times New Roman" w:eastAsia="仿宋"/>
          <w:sz w:val="32"/>
          <w:szCs w:val="32"/>
        </w:rPr>
        <w:t>届满前</w:t>
      </w:r>
      <w:r>
        <w:rPr>
          <w:rFonts w:hint="eastAsia" w:ascii="Times New Roman" w:hAnsi="Times New Roman" w:eastAsia="仿宋"/>
          <w:sz w:val="32"/>
          <w:szCs w:val="32"/>
        </w:rPr>
        <w:t>申请股票</w:t>
      </w:r>
      <w:r>
        <w:rPr>
          <w:rFonts w:ascii="Times New Roman" w:hAnsi="Times New Roman" w:eastAsia="仿宋"/>
          <w:sz w:val="32"/>
          <w:szCs w:val="32"/>
        </w:rPr>
        <w:t>于</w:t>
      </w:r>
      <w:r>
        <w:rPr>
          <w:rFonts w:hint="eastAsia" w:ascii="Times New Roman" w:hAnsi="Times New Roman" w:eastAsia="仿宋"/>
          <w:sz w:val="32"/>
          <w:szCs w:val="32"/>
        </w:rPr>
        <w:t>原定</w:t>
      </w:r>
      <w:r>
        <w:rPr>
          <w:rFonts w:ascii="Times New Roman" w:hAnsi="Times New Roman" w:eastAsia="仿宋"/>
          <w:sz w:val="32"/>
          <w:szCs w:val="32"/>
        </w:rPr>
        <w:t>预计</w:t>
      </w:r>
      <w:r>
        <w:rPr>
          <w:rFonts w:hint="eastAsia" w:ascii="Times New Roman" w:hAnsi="Times New Roman" w:eastAsia="仿宋"/>
          <w:sz w:val="32"/>
          <w:szCs w:val="32"/>
        </w:rPr>
        <w:t>复牌</w:t>
      </w:r>
      <w:r>
        <w:rPr>
          <w:rFonts w:ascii="Times New Roman" w:hAnsi="Times New Roman" w:eastAsia="仿宋"/>
          <w:sz w:val="32"/>
          <w:szCs w:val="32"/>
        </w:rPr>
        <w:t>日</w:t>
      </w:r>
      <w:r>
        <w:rPr>
          <w:rFonts w:hint="eastAsia" w:ascii="Times New Roman" w:hAnsi="Times New Roman" w:eastAsia="仿宋"/>
          <w:sz w:val="32"/>
          <w:szCs w:val="32"/>
        </w:rPr>
        <w:t>期</w:t>
      </w:r>
      <w:r>
        <w:rPr>
          <w:rFonts w:ascii="Times New Roman" w:hAnsi="Times New Roman" w:eastAsia="仿宋"/>
          <w:sz w:val="32"/>
          <w:szCs w:val="32"/>
        </w:rPr>
        <w:t>复牌</w:t>
      </w:r>
      <w:r>
        <w:rPr>
          <w:rFonts w:hint="eastAsia" w:ascii="Times New Roman" w:hAnsi="Times New Roman" w:eastAsia="仿宋"/>
          <w:sz w:val="32"/>
          <w:szCs w:val="32"/>
        </w:rPr>
        <w:t>。</w:t>
      </w:r>
    </w:p>
    <w:p>
      <w:pPr>
        <w:spacing w:line="60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5.4上市</w:t>
      </w:r>
      <w:r>
        <w:rPr>
          <w:rFonts w:ascii="Times New Roman" w:hAnsi="Times New Roman" w:eastAsia="仿宋"/>
          <w:sz w:val="32"/>
          <w:szCs w:val="32"/>
        </w:rPr>
        <w:t>公司因</w:t>
      </w:r>
      <w:r>
        <w:rPr>
          <w:rFonts w:hint="eastAsia" w:ascii="Times New Roman" w:hAnsi="Times New Roman" w:eastAsia="仿宋"/>
          <w:sz w:val="32"/>
          <w:szCs w:val="32"/>
        </w:rPr>
        <w:t>申请转板</w:t>
      </w:r>
      <w:r>
        <w:rPr>
          <w:rFonts w:ascii="Times New Roman" w:hAnsi="Times New Roman" w:eastAsia="仿宋"/>
          <w:sz w:val="32"/>
          <w:szCs w:val="32"/>
        </w:rPr>
        <w:t>停牌的，应当在收到境内</w:t>
      </w:r>
      <w:r>
        <w:rPr>
          <w:rFonts w:hint="eastAsia" w:ascii="Times New Roman" w:hAnsi="Times New Roman" w:eastAsia="仿宋"/>
          <w:sz w:val="32"/>
          <w:szCs w:val="32"/>
        </w:rPr>
        <w:t>其他</w:t>
      </w:r>
      <w:r>
        <w:rPr>
          <w:rFonts w:ascii="Times New Roman" w:hAnsi="Times New Roman" w:eastAsia="仿宋"/>
          <w:sz w:val="32"/>
          <w:szCs w:val="32"/>
        </w:rPr>
        <w:t>证券交易所不予受理决定、终止审核决定等文书后，申请</w:t>
      </w:r>
      <w:r>
        <w:rPr>
          <w:rFonts w:hint="eastAsia" w:ascii="Times New Roman" w:hAnsi="Times New Roman" w:eastAsia="仿宋"/>
          <w:sz w:val="32"/>
          <w:szCs w:val="32"/>
        </w:rPr>
        <w:t>股票</w:t>
      </w:r>
      <w:r>
        <w:rPr>
          <w:rFonts w:ascii="Times New Roman" w:hAnsi="Times New Roman" w:eastAsia="仿宋"/>
          <w:sz w:val="32"/>
          <w:szCs w:val="32"/>
        </w:rPr>
        <w:t>于收到上述文件的次两个交易日</w:t>
      </w:r>
      <w:r>
        <w:rPr>
          <w:rFonts w:hint="eastAsia" w:ascii="Times New Roman" w:hAnsi="Times New Roman" w:eastAsia="仿宋"/>
          <w:sz w:val="32"/>
          <w:szCs w:val="32"/>
        </w:rPr>
        <w:t>内</w:t>
      </w:r>
      <w:r>
        <w:rPr>
          <w:rFonts w:ascii="Times New Roman" w:hAnsi="Times New Roman" w:eastAsia="仿宋"/>
          <w:sz w:val="32"/>
          <w:szCs w:val="32"/>
        </w:rPr>
        <w:t>复牌。</w:t>
      </w:r>
    </w:p>
    <w:p>
      <w:pPr>
        <w:spacing w:line="60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5.5</w:t>
      </w:r>
      <w:r>
        <w:rPr>
          <w:rFonts w:ascii="Times New Roman" w:hAnsi="Times New Roman" w:eastAsia="仿宋"/>
          <w:sz w:val="32"/>
          <w:szCs w:val="32"/>
        </w:rPr>
        <w:t>上市公司在中国证监会或者本所规定的其他停牌情形消除后，应当按照</w:t>
      </w:r>
      <w:r>
        <w:rPr>
          <w:rFonts w:hint="eastAsia" w:ascii="Times New Roman" w:hAnsi="Times New Roman" w:eastAsia="仿宋"/>
          <w:sz w:val="32"/>
          <w:szCs w:val="32"/>
        </w:rPr>
        <w:t>相应</w:t>
      </w:r>
      <w:r>
        <w:rPr>
          <w:rFonts w:ascii="Times New Roman" w:hAnsi="Times New Roman" w:eastAsia="仿宋"/>
          <w:sz w:val="32"/>
          <w:szCs w:val="32"/>
        </w:rPr>
        <w:t>规定及时申请股票复牌。</w:t>
      </w:r>
    </w:p>
    <w:p>
      <w:pPr>
        <w:spacing w:line="600" w:lineRule="exact"/>
        <w:rPr>
          <w:rFonts w:ascii="Times New Roman" w:hAnsi="Times New Roman" w:eastAsia="仿宋"/>
          <w:sz w:val="32"/>
          <w:szCs w:val="32"/>
        </w:rPr>
      </w:pPr>
    </w:p>
    <w:p>
      <w:pPr>
        <w:spacing w:line="600" w:lineRule="exact"/>
        <w:rPr>
          <w:rFonts w:ascii="Times New Roman" w:hAnsi="Times New Roman" w:eastAsia="仿宋"/>
          <w:sz w:val="32"/>
          <w:szCs w:val="32"/>
        </w:rPr>
      </w:pPr>
    </w:p>
    <w:p>
      <w:pPr>
        <w:spacing w:line="600" w:lineRule="exact"/>
        <w:ind w:firstLine="640"/>
        <w:rPr>
          <w:rFonts w:hint="eastAsia" w:ascii="Times New Roman" w:hAnsi="Times New Roman" w:eastAsia="仿宋"/>
          <w:sz w:val="32"/>
          <w:szCs w:val="32"/>
          <w:lang w:val="en" w:eastAsia="zh-CN"/>
        </w:rPr>
      </w:pPr>
      <w:r>
        <w:rPr>
          <w:rFonts w:hint="eastAsia" w:ascii="Times New Roman" w:hAnsi="Times New Roman" w:eastAsia="仿宋"/>
          <w:sz w:val="32"/>
          <w:szCs w:val="32"/>
          <w:lang w:val="en-US" w:eastAsia="zh-CN"/>
        </w:rPr>
        <w:t>附表：1</w:t>
      </w:r>
      <w:r>
        <w:rPr>
          <w:rFonts w:hint="default" w:ascii="Times New Roman" w:hAnsi="Times New Roman" w:eastAsia="仿宋"/>
          <w:sz w:val="32"/>
          <w:szCs w:val="32"/>
          <w:lang w:val="en" w:eastAsia="zh-CN"/>
        </w:rPr>
        <w:t>.</w:t>
      </w:r>
      <w:r>
        <w:rPr>
          <w:rFonts w:hint="eastAsia" w:ascii="Times New Roman" w:hAnsi="Times New Roman" w:eastAsia="仿宋"/>
          <w:sz w:val="32"/>
          <w:szCs w:val="32"/>
          <w:lang w:val="en" w:eastAsia="zh-CN"/>
        </w:rPr>
        <w:t>停牌</w:t>
      </w:r>
      <w:r>
        <w:rPr>
          <w:rFonts w:hint="default" w:ascii="Times New Roman" w:hAnsi="Times New Roman" w:eastAsia="仿宋"/>
          <w:sz w:val="32"/>
          <w:szCs w:val="32"/>
          <w:lang w:val="en" w:eastAsia="zh-CN"/>
        </w:rPr>
        <w:t>/</w:t>
      </w:r>
      <w:r>
        <w:rPr>
          <w:rFonts w:hint="eastAsia" w:ascii="Times New Roman" w:hAnsi="Times New Roman" w:eastAsia="仿宋"/>
          <w:sz w:val="32"/>
          <w:szCs w:val="32"/>
          <w:lang w:val="en" w:eastAsia="zh-CN"/>
        </w:rPr>
        <w:t>复牌申请表</w:t>
      </w:r>
    </w:p>
    <w:p>
      <w:pPr>
        <w:spacing w:line="600" w:lineRule="exact"/>
        <w:rPr>
          <w:rFonts w:hint="eastAsia" w:ascii="Times New Roman" w:hAnsi="Times New Roman" w:eastAsia="仿宋"/>
          <w:sz w:val="32"/>
          <w:szCs w:val="32"/>
          <w:lang w:val="en" w:eastAsia="zh-CN"/>
        </w:rPr>
      </w:pPr>
      <w:r>
        <w:rPr>
          <w:rFonts w:hint="eastAsia" w:ascii="Times New Roman" w:hAnsi="Times New Roman" w:eastAsia="仿宋"/>
          <w:sz w:val="32"/>
          <w:szCs w:val="32"/>
          <w:lang w:val="en-US" w:eastAsia="zh-CN"/>
        </w:rPr>
        <w:t xml:space="preserve">          2</w:t>
      </w:r>
      <w:r>
        <w:rPr>
          <w:rFonts w:hint="default" w:ascii="Times New Roman" w:hAnsi="Times New Roman" w:eastAsia="仿宋"/>
          <w:sz w:val="32"/>
          <w:szCs w:val="32"/>
          <w:lang w:val="en" w:eastAsia="zh-CN"/>
        </w:rPr>
        <w:t>.</w:t>
      </w:r>
      <w:r>
        <w:rPr>
          <w:rFonts w:hint="eastAsia" w:ascii="Times New Roman" w:hAnsi="Times New Roman" w:eastAsia="仿宋"/>
          <w:sz w:val="32"/>
          <w:szCs w:val="32"/>
          <w:lang w:val="en" w:eastAsia="zh-CN"/>
        </w:rPr>
        <w:t>发行股份购买资产停牌</w:t>
      </w:r>
      <w:r>
        <w:rPr>
          <w:rFonts w:hint="default" w:ascii="Times New Roman" w:hAnsi="Times New Roman" w:eastAsia="仿宋"/>
          <w:sz w:val="32"/>
          <w:szCs w:val="32"/>
          <w:lang w:val="en" w:eastAsia="zh-CN"/>
        </w:rPr>
        <w:t>/</w:t>
      </w:r>
      <w:r>
        <w:rPr>
          <w:rFonts w:hint="eastAsia" w:ascii="Times New Roman" w:hAnsi="Times New Roman" w:eastAsia="仿宋"/>
          <w:sz w:val="32"/>
          <w:szCs w:val="32"/>
          <w:lang w:val="en" w:eastAsia="zh-CN"/>
        </w:rPr>
        <w:t>复牌申请表</w:t>
      </w:r>
    </w:p>
    <w:p>
      <w:pPr>
        <w:spacing w:line="600" w:lineRule="exact"/>
        <w:rPr>
          <w:rFonts w:hint="eastAsia" w:ascii="Times New Roman" w:hAnsi="Times New Roman" w:eastAsia="仿宋"/>
          <w:sz w:val="32"/>
          <w:szCs w:val="32"/>
          <w:lang w:val="en" w:eastAsia="zh-CN"/>
        </w:rPr>
      </w:pPr>
      <w:r>
        <w:rPr>
          <w:rFonts w:hint="eastAsia" w:ascii="Times New Roman" w:hAnsi="Times New Roman" w:eastAsia="仿宋"/>
          <w:sz w:val="32"/>
          <w:szCs w:val="32"/>
          <w:lang w:val="en-US" w:eastAsia="zh-CN"/>
        </w:rPr>
        <w:t xml:space="preserve">          3</w:t>
      </w:r>
      <w:r>
        <w:rPr>
          <w:rFonts w:hint="default" w:ascii="Times New Roman" w:hAnsi="Times New Roman" w:eastAsia="仿宋"/>
          <w:sz w:val="32"/>
          <w:szCs w:val="32"/>
          <w:lang w:val="en" w:eastAsia="zh-CN"/>
        </w:rPr>
        <w:t>.</w:t>
      </w:r>
      <w:r>
        <w:rPr>
          <w:rFonts w:hint="eastAsia" w:ascii="Times New Roman" w:hAnsi="Times New Roman" w:eastAsia="仿宋"/>
          <w:sz w:val="32"/>
          <w:szCs w:val="32"/>
          <w:lang w:val="en" w:eastAsia="zh-CN"/>
        </w:rPr>
        <w:t>变更停牌事项申请表</w:t>
      </w:r>
    </w:p>
    <w:p>
      <w:pPr>
        <w:spacing w:line="600" w:lineRule="exact"/>
        <w:rPr>
          <w:rFonts w:hint="default" w:ascii="Times New Roman" w:hAnsi="Times New Roman" w:eastAsia="仿宋"/>
          <w:sz w:val="32"/>
          <w:szCs w:val="32"/>
          <w:lang w:val="en" w:eastAsia="zh-CN"/>
        </w:rPr>
      </w:pPr>
      <w:r>
        <w:rPr>
          <w:rFonts w:hint="eastAsia" w:ascii="Times New Roman" w:hAnsi="Times New Roman" w:eastAsia="仿宋"/>
          <w:sz w:val="32"/>
          <w:szCs w:val="32"/>
          <w:lang w:val="en-US" w:eastAsia="zh-CN"/>
        </w:rPr>
        <w:t xml:space="preserve">          4</w:t>
      </w:r>
      <w:r>
        <w:rPr>
          <w:rFonts w:hint="default" w:ascii="Times New Roman" w:hAnsi="Times New Roman" w:eastAsia="仿宋"/>
          <w:sz w:val="32"/>
          <w:szCs w:val="32"/>
          <w:lang w:val="en" w:eastAsia="zh-CN"/>
        </w:rPr>
        <w:t>.</w:t>
      </w:r>
      <w:r>
        <w:rPr>
          <w:rFonts w:hint="eastAsia" w:ascii="Times New Roman" w:hAnsi="Times New Roman" w:eastAsia="仿宋"/>
          <w:sz w:val="32"/>
          <w:szCs w:val="32"/>
          <w:lang w:val="en" w:eastAsia="zh-CN"/>
        </w:rPr>
        <w:t>延期复牌申请表</w:t>
      </w:r>
      <w:bookmarkStart w:id="0" w:name="_GoBack"/>
      <w:bookmarkEnd w:id="0"/>
    </w:p>
    <w:p>
      <w:pPr>
        <w:spacing w:line="600" w:lineRule="exact"/>
        <w:rPr>
          <w:rFonts w:hint="default" w:ascii="Times New Roman" w:hAnsi="Times New Roman" w:eastAsia="仿宋"/>
          <w:sz w:val="32"/>
          <w:szCs w:val="32"/>
          <w:lang w:val="en-US" w:eastAsia="zh-CN"/>
        </w:rPr>
        <w:sectPr>
          <w:headerReference r:id="rId3" w:type="default"/>
          <w:footerReference r:id="rId4" w:type="default"/>
          <w:footerReference r:id="rId5" w:type="even"/>
          <w:pgSz w:w="11906" w:h="16838"/>
          <w:pgMar w:top="2098" w:right="1587" w:bottom="1985" w:left="1587" w:header="851" w:footer="992" w:gutter="0"/>
          <w:pgNumType w:fmt="numberInDash"/>
          <w:cols w:space="720" w:num="1"/>
          <w:docGrid w:type="lines" w:linePitch="312" w:charSpace="0"/>
        </w:sectPr>
      </w:pPr>
      <w:r>
        <w:rPr>
          <w:rFonts w:hint="eastAsia" w:ascii="Times New Roman" w:hAnsi="Times New Roman" w:eastAsia="仿宋"/>
          <w:sz w:val="32"/>
          <w:szCs w:val="32"/>
          <w:lang w:val="en-US" w:eastAsia="zh-CN"/>
        </w:rPr>
        <w:t xml:space="preserve">  </w:t>
      </w:r>
    </w:p>
    <w:p>
      <w:pPr>
        <w:rPr>
          <w:rFonts w:ascii="Times New Roman" w:hAnsi="Times New Roman" w:eastAsia="仿宋"/>
          <w:sz w:val="32"/>
          <w:szCs w:val="32"/>
        </w:rPr>
      </w:pPr>
    </w:p>
    <w:p>
      <w:pPr>
        <w:spacing w:line="600" w:lineRule="exact"/>
        <w:rPr>
          <w:rFonts w:ascii="Times New Roman" w:hAnsi="Times New Roman" w:eastAsia="黑体"/>
          <w:sz w:val="28"/>
          <w:szCs w:val="28"/>
        </w:rPr>
      </w:pPr>
      <w:r>
        <w:rPr>
          <w:rFonts w:ascii="Times New Roman" w:hAnsi="Times New Roman" w:eastAsia="仿宋"/>
          <w:sz w:val="32"/>
          <w:szCs w:val="32"/>
        </w:rPr>
        <w:br w:type="page"/>
      </w:r>
      <w:r>
        <w:rPr>
          <w:rFonts w:ascii="Times New Roman" w:hAnsi="Times New Roman" w:eastAsia="黑体"/>
          <w:sz w:val="32"/>
          <w:szCs w:val="28"/>
        </w:rPr>
        <w:t>附表1</w:t>
      </w:r>
    </w:p>
    <w:p>
      <w:pPr>
        <w:spacing w:line="600" w:lineRule="exact"/>
        <w:ind w:firstLine="220" w:firstLineChars="50"/>
        <w:jc w:val="center"/>
        <w:outlineLvl w:val="0"/>
        <w:rPr>
          <w:rFonts w:ascii="Times New Roman" w:hAnsi="Times New Roman" w:eastAsia="方正大标宋简体"/>
          <w:sz w:val="44"/>
          <w:szCs w:val="42"/>
        </w:rPr>
      </w:pPr>
      <w:r>
        <w:rPr>
          <w:rFonts w:ascii="Times New Roman" w:hAnsi="Times New Roman" w:eastAsia="方正大标宋简体"/>
          <w:sz w:val="44"/>
          <w:szCs w:val="42"/>
        </w:rPr>
        <w:t>停牌/复牌申请表</w:t>
      </w:r>
    </w:p>
    <w:tbl>
      <w:tblPr>
        <w:tblStyle w:val="8"/>
        <w:tblW w:w="97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61"/>
        <w:gridCol w:w="1317"/>
        <w:gridCol w:w="1016"/>
        <w:gridCol w:w="679"/>
        <w:gridCol w:w="686"/>
        <w:gridCol w:w="873"/>
        <w:gridCol w:w="1678"/>
        <w:gridCol w:w="171"/>
        <w:gridCol w:w="169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46" w:hRule="atLeast"/>
          <w:jc w:val="center"/>
        </w:trPr>
        <w:tc>
          <w:tcPr>
            <w:tcW w:w="9771" w:type="dxa"/>
            <w:gridSpan w:val="9"/>
          </w:tcPr>
          <w:p>
            <w:pPr>
              <w:widowControl/>
              <w:spacing w:line="320" w:lineRule="exact"/>
              <w:jc w:val="left"/>
              <w:rPr>
                <w:rFonts w:ascii="Times New Roman" w:hAnsi="Times New Roman" w:eastAsia="仿宋"/>
                <w:bCs/>
                <w:sz w:val="22"/>
                <w:shd w:val="pct10" w:color="auto" w:fill="FFFFFF"/>
              </w:rPr>
            </w:pPr>
            <w:r>
              <w:rPr>
                <w:rFonts w:ascii="Times New Roman" w:hAnsi="Times New Roman" w:eastAsia="仿宋"/>
                <w:sz w:val="22"/>
              </w:rPr>
              <w:t>业务申请类型：               □</w:t>
            </w:r>
            <w:r>
              <w:rPr>
                <w:rFonts w:ascii="Times New Roman" w:hAnsi="Times New Roman" w:eastAsia="仿宋"/>
                <w:kern w:val="0"/>
                <w:sz w:val="22"/>
                <w:szCs w:val="20"/>
              </w:rPr>
              <w:t xml:space="preserve">停牌        </w:t>
            </w:r>
            <w:r>
              <w:rPr>
                <w:rFonts w:ascii="Times New Roman" w:hAnsi="Times New Roman" w:eastAsia="仿宋"/>
                <w:sz w:val="22"/>
              </w:rPr>
              <w:t>□</w:t>
            </w:r>
            <w:r>
              <w:rPr>
                <w:rFonts w:ascii="Times New Roman" w:hAnsi="Times New Roman" w:eastAsia="仿宋"/>
                <w:kern w:val="0"/>
                <w:sz w:val="22"/>
                <w:szCs w:val="20"/>
              </w:rPr>
              <w:t xml:space="preserve">复牌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46" w:hRule="atLeast"/>
          <w:jc w:val="center"/>
        </w:trPr>
        <w:tc>
          <w:tcPr>
            <w:tcW w:w="1661" w:type="dxa"/>
          </w:tcPr>
          <w:p>
            <w:pPr>
              <w:widowControl/>
              <w:spacing w:line="320" w:lineRule="exact"/>
              <w:rPr>
                <w:rFonts w:ascii="Times New Roman" w:hAnsi="Times New Roman" w:eastAsia="仿宋"/>
                <w:sz w:val="22"/>
              </w:rPr>
            </w:pPr>
            <w:r>
              <w:rPr>
                <w:rFonts w:ascii="Times New Roman" w:hAnsi="Times New Roman" w:eastAsia="仿宋"/>
                <w:sz w:val="22"/>
              </w:rPr>
              <w:t>公司名称</w:t>
            </w:r>
          </w:p>
        </w:tc>
        <w:tc>
          <w:tcPr>
            <w:tcW w:w="2333" w:type="dxa"/>
            <w:gridSpan w:val="2"/>
          </w:tcPr>
          <w:p>
            <w:pPr>
              <w:widowControl/>
              <w:spacing w:line="320" w:lineRule="exact"/>
              <w:ind w:firstLine="400"/>
              <w:rPr>
                <w:rFonts w:ascii="Times New Roman" w:hAnsi="Times New Roman" w:eastAsia="仿宋"/>
                <w:sz w:val="22"/>
              </w:rPr>
            </w:pPr>
          </w:p>
        </w:tc>
        <w:tc>
          <w:tcPr>
            <w:tcW w:w="1365" w:type="dxa"/>
            <w:gridSpan w:val="2"/>
          </w:tcPr>
          <w:p>
            <w:pPr>
              <w:widowControl/>
              <w:spacing w:line="320" w:lineRule="exact"/>
              <w:rPr>
                <w:rFonts w:ascii="Times New Roman" w:hAnsi="Times New Roman" w:eastAsia="仿宋"/>
                <w:sz w:val="22"/>
              </w:rPr>
            </w:pPr>
            <w:r>
              <w:rPr>
                <w:rFonts w:ascii="Times New Roman" w:hAnsi="Times New Roman" w:eastAsia="仿宋"/>
                <w:sz w:val="22"/>
              </w:rPr>
              <w:t>证券简称</w:t>
            </w:r>
          </w:p>
        </w:tc>
        <w:tc>
          <w:tcPr>
            <w:tcW w:w="873" w:type="dxa"/>
          </w:tcPr>
          <w:p>
            <w:pPr>
              <w:widowControl/>
              <w:spacing w:line="320" w:lineRule="exact"/>
              <w:ind w:firstLine="400"/>
              <w:rPr>
                <w:rFonts w:ascii="Times New Roman" w:hAnsi="Times New Roman" w:eastAsia="仿宋"/>
                <w:sz w:val="22"/>
              </w:rPr>
            </w:pPr>
          </w:p>
        </w:tc>
        <w:tc>
          <w:tcPr>
            <w:tcW w:w="1678" w:type="dxa"/>
          </w:tcPr>
          <w:p>
            <w:pPr>
              <w:widowControl/>
              <w:spacing w:line="320" w:lineRule="exact"/>
              <w:rPr>
                <w:rFonts w:ascii="Times New Roman" w:hAnsi="Times New Roman" w:eastAsia="仿宋"/>
                <w:sz w:val="22"/>
              </w:rPr>
            </w:pPr>
            <w:r>
              <w:rPr>
                <w:rFonts w:ascii="Times New Roman" w:hAnsi="Times New Roman" w:eastAsia="仿宋"/>
                <w:sz w:val="22"/>
              </w:rPr>
              <w:t>证券代码</w:t>
            </w:r>
          </w:p>
        </w:tc>
        <w:tc>
          <w:tcPr>
            <w:tcW w:w="1861" w:type="dxa"/>
            <w:gridSpan w:val="2"/>
          </w:tcPr>
          <w:p>
            <w:pPr>
              <w:widowControl/>
              <w:spacing w:line="320" w:lineRule="exact"/>
              <w:ind w:firstLine="400"/>
              <w:rPr>
                <w:rFonts w:ascii="Times New Roman" w:hAnsi="Times New Roman" w:eastAsia="仿宋"/>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46" w:hRule="atLeast"/>
          <w:jc w:val="center"/>
        </w:trPr>
        <w:tc>
          <w:tcPr>
            <w:tcW w:w="9771" w:type="dxa"/>
            <w:gridSpan w:val="9"/>
          </w:tcPr>
          <w:p>
            <w:pPr>
              <w:widowControl/>
              <w:spacing w:line="320" w:lineRule="exact"/>
              <w:rPr>
                <w:rFonts w:ascii="Times New Roman" w:hAnsi="Times New Roman" w:eastAsia="仿宋"/>
                <w:sz w:val="22"/>
              </w:rPr>
            </w:pPr>
            <w:r>
              <w:rPr>
                <w:rFonts w:ascii="Times New Roman" w:hAnsi="Times New Roman" w:eastAsia="仿宋"/>
                <w:sz w:val="22"/>
              </w:rPr>
              <w:t>公司是否发行其他证券品种 □</w:t>
            </w:r>
            <w:r>
              <w:rPr>
                <w:rFonts w:ascii="Times New Roman" w:hAnsi="Times New Roman" w:eastAsia="仿宋"/>
                <w:kern w:val="0"/>
                <w:sz w:val="22"/>
                <w:szCs w:val="20"/>
              </w:rPr>
              <w:t>是（</w:t>
            </w:r>
            <w:r>
              <w:rPr>
                <w:rFonts w:ascii="Times New Roman" w:hAnsi="Times New Roman" w:eastAsia="仿宋"/>
                <w:sz w:val="22"/>
              </w:rPr>
              <w:t>□</w:t>
            </w:r>
            <w:r>
              <w:rPr>
                <w:rFonts w:ascii="Times New Roman" w:hAnsi="Times New Roman" w:eastAsia="仿宋"/>
                <w:kern w:val="0"/>
                <w:sz w:val="22"/>
                <w:szCs w:val="20"/>
              </w:rPr>
              <w:t xml:space="preserve">优先股  </w:t>
            </w:r>
            <w:r>
              <w:rPr>
                <w:rFonts w:ascii="Times New Roman" w:hAnsi="Times New Roman" w:eastAsia="仿宋"/>
                <w:sz w:val="22"/>
              </w:rPr>
              <w:t>□</w:t>
            </w:r>
            <w:r>
              <w:rPr>
                <w:rFonts w:hint="eastAsia" w:ascii="Times New Roman" w:hAnsi="Times New Roman" w:eastAsia="仿宋"/>
                <w:kern w:val="0"/>
                <w:sz w:val="22"/>
                <w:szCs w:val="20"/>
              </w:rPr>
              <w:t>可转债</w:t>
            </w:r>
            <w:r>
              <w:rPr>
                <w:rFonts w:ascii="Times New Roman" w:hAnsi="Times New Roman" w:eastAsia="仿宋"/>
                <w:kern w:val="0"/>
                <w:sz w:val="22"/>
                <w:szCs w:val="20"/>
              </w:rPr>
              <w:t xml:space="preserve">  </w:t>
            </w:r>
            <w:r>
              <w:rPr>
                <w:rFonts w:ascii="Times New Roman" w:hAnsi="Times New Roman" w:eastAsia="仿宋"/>
                <w:sz w:val="22"/>
              </w:rPr>
              <w:t>□</w:t>
            </w:r>
            <w:r>
              <w:rPr>
                <w:rFonts w:ascii="Times New Roman" w:hAnsi="Times New Roman" w:eastAsia="仿宋"/>
                <w:kern w:val="0"/>
                <w:sz w:val="22"/>
                <w:szCs w:val="20"/>
              </w:rPr>
              <w:t>其他</w:t>
            </w:r>
            <w:r>
              <w:rPr>
                <w:rFonts w:ascii="Times New Roman" w:hAnsi="Times New Roman" w:eastAsia="仿宋"/>
                <w:kern w:val="0"/>
                <w:sz w:val="22"/>
                <w:szCs w:val="20"/>
                <w:u w:val="single"/>
              </w:rPr>
              <w:t xml:space="preserve">        </w:t>
            </w:r>
            <w:r>
              <w:rPr>
                <w:rFonts w:ascii="Times New Roman" w:hAnsi="Times New Roman" w:eastAsia="仿宋"/>
                <w:kern w:val="0"/>
                <w:sz w:val="22"/>
                <w:szCs w:val="20"/>
              </w:rPr>
              <w:t xml:space="preserve">）   </w:t>
            </w:r>
            <w:r>
              <w:rPr>
                <w:rFonts w:ascii="Times New Roman" w:hAnsi="Times New Roman" w:eastAsia="仿宋"/>
                <w:sz w:val="22"/>
              </w:rPr>
              <w:t>□</w:t>
            </w:r>
            <w:r>
              <w:rPr>
                <w:rFonts w:ascii="Times New Roman" w:hAnsi="Times New Roman" w:eastAsia="仿宋"/>
                <w:kern w:val="0"/>
                <w:sz w:val="22"/>
                <w:szCs w:val="20"/>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506" w:hRule="atLeast"/>
          <w:jc w:val="center"/>
        </w:trPr>
        <w:tc>
          <w:tcPr>
            <w:tcW w:w="1661" w:type="dxa"/>
            <w:vAlign w:val="center"/>
          </w:tcPr>
          <w:p>
            <w:pPr>
              <w:widowControl/>
              <w:spacing w:line="320" w:lineRule="exact"/>
              <w:rPr>
                <w:rFonts w:ascii="Times New Roman" w:hAnsi="Times New Roman" w:eastAsia="仿宋"/>
                <w:sz w:val="22"/>
              </w:rPr>
            </w:pPr>
            <w:r>
              <w:rPr>
                <w:rFonts w:ascii="Times New Roman" w:hAnsi="Times New Roman" w:eastAsia="仿宋"/>
                <w:sz w:val="22"/>
              </w:rPr>
              <w:t>申请停牌事由</w:t>
            </w:r>
          </w:p>
        </w:tc>
        <w:tc>
          <w:tcPr>
            <w:tcW w:w="8110" w:type="dxa"/>
            <w:gridSpan w:val="8"/>
          </w:tcPr>
          <w:p>
            <w:pPr>
              <w:widowControl/>
              <w:spacing w:line="320" w:lineRule="exact"/>
              <w:jc w:val="left"/>
              <w:rPr>
                <w:rFonts w:ascii="Times New Roman" w:hAnsi="Times New Roman" w:eastAsia="仿宋"/>
                <w:sz w:val="22"/>
              </w:rPr>
            </w:pPr>
            <w:r>
              <w:rPr>
                <w:rFonts w:ascii="Times New Roman" w:hAnsi="Times New Roman" w:eastAsia="仿宋"/>
                <w:sz w:val="22"/>
              </w:rPr>
              <w:t>□1.重大事项</w:t>
            </w:r>
          </w:p>
          <w:p>
            <w:pPr>
              <w:widowControl/>
              <w:spacing w:line="320" w:lineRule="exact"/>
              <w:ind w:firstLine="220" w:firstLineChars="100"/>
              <w:jc w:val="left"/>
              <w:rPr>
                <w:rFonts w:ascii="Times New Roman" w:hAnsi="Times New Roman" w:eastAsia="仿宋"/>
                <w:sz w:val="22"/>
              </w:rPr>
            </w:pPr>
            <w:r>
              <w:rPr>
                <w:rFonts w:ascii="Times New Roman" w:hAnsi="Times New Roman" w:eastAsia="仿宋"/>
                <w:sz w:val="22"/>
              </w:rPr>
              <w:t>□</w:t>
            </w:r>
            <w:r>
              <w:rPr>
                <w:rFonts w:hint="eastAsia" w:ascii="仿宋" w:hAnsi="仿宋" w:eastAsia="仿宋" w:cs="仿宋"/>
                <w:sz w:val="22"/>
              </w:rPr>
              <w:t>(</w:t>
            </w:r>
            <w:r>
              <w:rPr>
                <w:rFonts w:ascii="Times New Roman" w:hAnsi="Times New Roman" w:eastAsia="仿宋"/>
                <w:sz w:val="22"/>
              </w:rPr>
              <w:t>1</w:t>
            </w:r>
            <w:r>
              <w:rPr>
                <w:rFonts w:hint="eastAsia" w:ascii="仿宋" w:hAnsi="仿宋" w:eastAsia="仿宋" w:cs="仿宋"/>
                <w:sz w:val="22"/>
              </w:rPr>
              <w:t>)</w:t>
            </w:r>
            <w:r>
              <w:rPr>
                <w:rFonts w:hint="eastAsia" w:ascii="Times New Roman" w:hAnsi="Times New Roman" w:eastAsia="仿宋"/>
                <w:sz w:val="22"/>
              </w:rPr>
              <w:t>筹划控制权</w:t>
            </w:r>
            <w:r>
              <w:rPr>
                <w:rFonts w:ascii="Times New Roman" w:hAnsi="Times New Roman" w:eastAsia="仿宋"/>
                <w:sz w:val="22"/>
              </w:rPr>
              <w:t>变</w:t>
            </w:r>
            <w:r>
              <w:rPr>
                <w:rFonts w:hint="eastAsia" w:ascii="Times New Roman" w:hAnsi="Times New Roman" w:eastAsia="仿宋"/>
                <w:sz w:val="22"/>
              </w:rPr>
              <w:t>更</w:t>
            </w:r>
          </w:p>
          <w:p>
            <w:pPr>
              <w:widowControl/>
              <w:spacing w:line="320" w:lineRule="exact"/>
              <w:ind w:firstLine="220" w:firstLineChars="100"/>
              <w:jc w:val="left"/>
              <w:rPr>
                <w:rFonts w:ascii="Times New Roman" w:hAnsi="Times New Roman" w:eastAsia="仿宋"/>
                <w:sz w:val="22"/>
              </w:rPr>
            </w:pPr>
            <w:r>
              <w:rPr>
                <w:rFonts w:ascii="Times New Roman" w:hAnsi="Times New Roman" w:eastAsia="仿宋"/>
                <w:sz w:val="22"/>
              </w:rPr>
              <w:t>□</w:t>
            </w:r>
            <w:r>
              <w:rPr>
                <w:rFonts w:hint="eastAsia" w:ascii="仿宋" w:hAnsi="仿宋" w:eastAsia="仿宋" w:cs="仿宋"/>
                <w:sz w:val="22"/>
              </w:rPr>
              <w:t>(</w:t>
            </w:r>
            <w:r>
              <w:rPr>
                <w:rFonts w:ascii="Times New Roman" w:hAnsi="Times New Roman" w:eastAsia="仿宋"/>
                <w:sz w:val="22"/>
              </w:rPr>
              <w:t>2</w:t>
            </w:r>
            <w:r>
              <w:rPr>
                <w:rFonts w:hint="eastAsia" w:ascii="仿宋" w:hAnsi="仿宋" w:eastAsia="仿宋" w:cs="仿宋"/>
                <w:sz w:val="22"/>
              </w:rPr>
              <w:t>)涉</w:t>
            </w:r>
            <w:r>
              <w:rPr>
                <w:rFonts w:ascii="Times New Roman" w:hAnsi="Times New Roman" w:eastAsia="仿宋"/>
                <w:sz w:val="22"/>
              </w:rPr>
              <w:t>及要约收购</w:t>
            </w:r>
          </w:p>
          <w:p>
            <w:pPr>
              <w:widowControl/>
              <w:spacing w:line="320" w:lineRule="exact"/>
              <w:ind w:firstLine="220" w:firstLineChars="100"/>
              <w:jc w:val="left"/>
              <w:rPr>
                <w:rFonts w:ascii="Times New Roman" w:hAnsi="Times New Roman" w:eastAsia="仿宋"/>
                <w:sz w:val="22"/>
              </w:rPr>
            </w:pPr>
            <w:r>
              <w:rPr>
                <w:rFonts w:ascii="Times New Roman" w:hAnsi="Times New Roman" w:eastAsia="仿宋"/>
                <w:sz w:val="22"/>
              </w:rPr>
              <w:t>□</w:t>
            </w:r>
            <w:r>
              <w:rPr>
                <w:rFonts w:hint="eastAsia" w:ascii="仿宋" w:hAnsi="仿宋" w:eastAsia="仿宋" w:cs="仿宋"/>
                <w:sz w:val="22"/>
              </w:rPr>
              <w:t>(</w:t>
            </w:r>
            <w:r>
              <w:rPr>
                <w:rFonts w:ascii="Times New Roman" w:hAnsi="Times New Roman" w:eastAsia="仿宋"/>
                <w:sz w:val="22"/>
              </w:rPr>
              <w:t>3</w:t>
            </w:r>
            <w:r>
              <w:rPr>
                <w:rFonts w:hint="eastAsia" w:ascii="仿宋" w:hAnsi="仿宋" w:eastAsia="仿宋" w:cs="仿宋"/>
                <w:sz w:val="22"/>
              </w:rPr>
              <w:t>)涉</w:t>
            </w:r>
            <w:r>
              <w:rPr>
                <w:rFonts w:ascii="Times New Roman" w:hAnsi="Times New Roman" w:eastAsia="仿宋"/>
                <w:sz w:val="22"/>
              </w:rPr>
              <w:t>及</w:t>
            </w:r>
            <w:r>
              <w:rPr>
                <w:rFonts w:hint="eastAsia" w:ascii="Times New Roman" w:hAnsi="Times New Roman" w:eastAsia="仿宋"/>
                <w:sz w:val="22"/>
              </w:rPr>
              <w:t>破产</w:t>
            </w:r>
            <w:r>
              <w:rPr>
                <w:rFonts w:ascii="Times New Roman" w:hAnsi="Times New Roman" w:eastAsia="仿宋"/>
                <w:sz w:val="22"/>
              </w:rPr>
              <w:t>重整</w:t>
            </w:r>
          </w:p>
          <w:p>
            <w:pPr>
              <w:widowControl/>
              <w:spacing w:line="320" w:lineRule="exact"/>
              <w:ind w:firstLine="220" w:firstLineChars="100"/>
              <w:jc w:val="left"/>
              <w:rPr>
                <w:rFonts w:ascii="Times New Roman" w:hAnsi="Times New Roman" w:eastAsia="仿宋"/>
                <w:sz w:val="22"/>
              </w:rPr>
            </w:pPr>
            <w:r>
              <w:rPr>
                <w:rFonts w:ascii="Times New Roman" w:hAnsi="Times New Roman" w:eastAsia="仿宋"/>
                <w:sz w:val="22"/>
              </w:rPr>
              <w:t>□</w:t>
            </w:r>
            <w:r>
              <w:rPr>
                <w:rFonts w:hint="eastAsia" w:ascii="仿宋" w:hAnsi="仿宋" w:eastAsia="仿宋" w:cs="仿宋"/>
                <w:sz w:val="22"/>
              </w:rPr>
              <w:t>(</w:t>
            </w:r>
            <w:r>
              <w:rPr>
                <w:rFonts w:ascii="Times New Roman" w:hAnsi="Times New Roman" w:eastAsia="仿宋"/>
                <w:sz w:val="22"/>
              </w:rPr>
              <w:t>4</w:t>
            </w:r>
            <w:r>
              <w:rPr>
                <w:rFonts w:hint="eastAsia" w:ascii="仿宋" w:hAnsi="仿宋" w:eastAsia="仿宋" w:cs="仿宋"/>
                <w:sz w:val="22"/>
              </w:rPr>
              <w:t>)本</w:t>
            </w:r>
            <w:r>
              <w:rPr>
                <w:rFonts w:ascii="Times New Roman" w:hAnsi="Times New Roman" w:eastAsia="仿宋"/>
                <w:sz w:val="22"/>
              </w:rPr>
              <w:t>所认定的其他重大事项，具体内容：</w:t>
            </w:r>
            <w:r>
              <w:rPr>
                <w:rFonts w:ascii="Times New Roman" w:hAnsi="Times New Roman" w:eastAsia="仿宋"/>
                <w:sz w:val="22"/>
                <w:u w:val="single"/>
              </w:rPr>
              <w:t xml:space="preserve">                </w:t>
            </w:r>
            <w:r>
              <w:rPr>
                <w:rFonts w:ascii="Times New Roman" w:hAnsi="Times New Roman" w:eastAsia="仿宋"/>
                <w:sz w:val="22"/>
              </w:rPr>
              <w:t>（必填）</w:t>
            </w:r>
          </w:p>
          <w:p>
            <w:pPr>
              <w:snapToGrid w:val="0"/>
              <w:spacing w:line="320" w:lineRule="exact"/>
              <w:ind w:left="330" w:hanging="330" w:hangingChars="150"/>
              <w:rPr>
                <w:rFonts w:ascii="Times New Roman" w:hAnsi="Times New Roman" w:eastAsia="仿宋"/>
                <w:sz w:val="22"/>
              </w:rPr>
            </w:pPr>
            <w:r>
              <w:rPr>
                <w:rFonts w:ascii="Times New Roman" w:hAnsi="Times New Roman" w:eastAsia="仿宋"/>
                <w:sz w:val="22"/>
              </w:rPr>
              <w:t>□2.</w:t>
            </w:r>
            <w:r>
              <w:rPr>
                <w:rFonts w:hint="eastAsia" w:ascii="Times New Roman" w:hAnsi="Times New Roman" w:eastAsia="仿宋"/>
                <w:sz w:val="22"/>
              </w:rPr>
              <w:t>股票</w:t>
            </w:r>
            <w:r>
              <w:rPr>
                <w:rFonts w:ascii="Times New Roman" w:hAnsi="Times New Roman" w:eastAsia="仿宋"/>
                <w:sz w:val="22"/>
              </w:rPr>
              <w:t xml:space="preserve">交易异常波动 </w:t>
            </w:r>
          </w:p>
          <w:p>
            <w:pPr>
              <w:snapToGrid w:val="0"/>
              <w:spacing w:line="320" w:lineRule="exact"/>
              <w:ind w:left="330" w:hanging="330" w:hangingChars="150"/>
              <w:rPr>
                <w:rFonts w:ascii="Times New Roman" w:hAnsi="Times New Roman" w:eastAsia="仿宋"/>
                <w:sz w:val="22"/>
              </w:rPr>
            </w:pPr>
            <w:r>
              <w:rPr>
                <w:rFonts w:ascii="Times New Roman" w:hAnsi="Times New Roman" w:eastAsia="仿宋"/>
                <w:sz w:val="22"/>
              </w:rPr>
              <w:t>□3.</w:t>
            </w:r>
            <w:r>
              <w:rPr>
                <w:rFonts w:hint="eastAsia" w:ascii="Times New Roman" w:hAnsi="Times New Roman" w:eastAsia="仿宋"/>
                <w:sz w:val="22"/>
              </w:rPr>
              <w:t>未</w:t>
            </w:r>
            <w:r>
              <w:rPr>
                <w:rFonts w:ascii="Times New Roman" w:hAnsi="Times New Roman" w:eastAsia="仿宋"/>
                <w:sz w:val="22"/>
              </w:rPr>
              <w:t>在规定期限内披露</w:t>
            </w:r>
            <w:r>
              <w:rPr>
                <w:rFonts w:hint="eastAsia" w:ascii="Times New Roman" w:hAnsi="Times New Roman" w:eastAsia="仿宋"/>
                <w:sz w:val="22"/>
                <w:lang w:eastAsia="zh-CN"/>
              </w:rPr>
              <w:t>年度报告或半年度</w:t>
            </w:r>
            <w:r>
              <w:rPr>
                <w:rFonts w:ascii="Times New Roman" w:hAnsi="Times New Roman" w:eastAsia="仿宋"/>
                <w:sz w:val="22"/>
              </w:rPr>
              <w:t>报告</w:t>
            </w:r>
          </w:p>
          <w:p>
            <w:pPr>
              <w:snapToGrid w:val="0"/>
              <w:spacing w:line="320" w:lineRule="exact"/>
              <w:ind w:left="330" w:hanging="330" w:hangingChars="150"/>
              <w:rPr>
                <w:rFonts w:ascii="Times New Roman" w:hAnsi="Times New Roman" w:eastAsia="仿宋"/>
                <w:sz w:val="22"/>
              </w:rPr>
            </w:pPr>
            <w:r>
              <w:rPr>
                <w:rFonts w:ascii="Times New Roman" w:hAnsi="Times New Roman" w:eastAsia="仿宋"/>
                <w:sz w:val="22"/>
              </w:rPr>
              <w:t>□4.向境内</w:t>
            </w:r>
            <w:r>
              <w:rPr>
                <w:rFonts w:hint="eastAsia" w:ascii="Times New Roman" w:hAnsi="Times New Roman" w:eastAsia="仿宋"/>
                <w:sz w:val="22"/>
              </w:rPr>
              <w:t>其他</w:t>
            </w:r>
            <w:r>
              <w:rPr>
                <w:rFonts w:ascii="Times New Roman" w:hAnsi="Times New Roman" w:eastAsia="仿宋"/>
                <w:sz w:val="22"/>
              </w:rPr>
              <w:t>证券交易所申请</w:t>
            </w:r>
            <w:r>
              <w:rPr>
                <w:rFonts w:hint="eastAsia" w:ascii="Times New Roman" w:hAnsi="Times New Roman" w:eastAsia="仿宋"/>
                <w:sz w:val="22"/>
              </w:rPr>
              <w:t>股票转板</w:t>
            </w:r>
          </w:p>
          <w:p>
            <w:pPr>
              <w:snapToGrid w:val="0"/>
              <w:spacing w:line="320" w:lineRule="exact"/>
              <w:ind w:left="330" w:hanging="330" w:hangingChars="150"/>
              <w:rPr>
                <w:rFonts w:ascii="Times New Roman" w:hAnsi="Times New Roman" w:eastAsia="仿宋"/>
                <w:sz w:val="22"/>
              </w:rPr>
            </w:pPr>
            <w:r>
              <w:rPr>
                <w:rFonts w:ascii="Times New Roman" w:hAnsi="Times New Roman" w:eastAsia="仿宋"/>
                <w:sz w:val="22"/>
              </w:rPr>
              <w:t>□5</w:t>
            </w:r>
            <w:r>
              <w:rPr>
                <w:rFonts w:hint="eastAsia" w:ascii="Times New Roman" w:hAnsi="Times New Roman" w:eastAsia="仿宋"/>
                <w:sz w:val="22"/>
              </w:rPr>
              <w:t>.退市</w:t>
            </w:r>
            <w:r>
              <w:rPr>
                <w:rFonts w:ascii="Times New Roman" w:hAnsi="Times New Roman" w:eastAsia="仿宋"/>
                <w:sz w:val="22"/>
              </w:rPr>
              <w:t>相关</w:t>
            </w:r>
          </w:p>
          <w:p>
            <w:pPr>
              <w:snapToGrid w:val="0"/>
              <w:spacing w:line="320" w:lineRule="exact"/>
              <w:ind w:firstLine="220" w:firstLineChars="100"/>
              <w:rPr>
                <w:rFonts w:ascii="Times New Roman" w:hAnsi="Times New Roman" w:eastAsia="仿宋"/>
                <w:sz w:val="22"/>
              </w:rPr>
            </w:pPr>
            <w:r>
              <w:rPr>
                <w:rFonts w:ascii="Times New Roman" w:hAnsi="Times New Roman" w:eastAsia="仿宋"/>
                <w:sz w:val="22"/>
              </w:rPr>
              <w:t>□</w:t>
            </w:r>
            <w:r>
              <w:rPr>
                <w:rFonts w:hint="eastAsia" w:ascii="仿宋" w:hAnsi="仿宋" w:eastAsia="仿宋" w:cs="仿宋"/>
                <w:sz w:val="22"/>
              </w:rPr>
              <w:t>(</w:t>
            </w:r>
            <w:r>
              <w:rPr>
                <w:rFonts w:ascii="Times New Roman" w:hAnsi="Times New Roman" w:eastAsia="仿宋"/>
                <w:sz w:val="22"/>
              </w:rPr>
              <w:t>1</w:t>
            </w:r>
            <w:r>
              <w:rPr>
                <w:rFonts w:hint="eastAsia" w:ascii="仿宋" w:hAnsi="仿宋" w:eastAsia="仿宋" w:cs="仿宋"/>
                <w:sz w:val="22"/>
              </w:rPr>
              <w:t>)</w:t>
            </w:r>
            <w:r>
              <w:rPr>
                <w:rFonts w:hint="eastAsia" w:ascii="Times New Roman" w:hAnsi="Times New Roman" w:eastAsia="仿宋"/>
                <w:sz w:val="22"/>
              </w:rPr>
              <w:t>主动</w:t>
            </w:r>
            <w:r>
              <w:rPr>
                <w:rFonts w:ascii="Times New Roman" w:hAnsi="Times New Roman" w:eastAsia="仿宋"/>
                <w:sz w:val="22"/>
              </w:rPr>
              <w:t>申请终止股票上市</w:t>
            </w:r>
          </w:p>
          <w:p>
            <w:pPr>
              <w:snapToGrid w:val="0"/>
              <w:spacing w:line="320" w:lineRule="exact"/>
              <w:ind w:firstLine="220" w:firstLineChars="100"/>
              <w:rPr>
                <w:rFonts w:ascii="Times New Roman" w:hAnsi="Times New Roman" w:eastAsia="仿宋"/>
                <w:sz w:val="22"/>
              </w:rPr>
            </w:pPr>
            <w:r>
              <w:rPr>
                <w:rFonts w:ascii="Times New Roman" w:hAnsi="Times New Roman" w:eastAsia="仿宋"/>
                <w:sz w:val="22"/>
              </w:rPr>
              <w:t>□</w:t>
            </w:r>
            <w:r>
              <w:rPr>
                <w:rFonts w:hint="eastAsia" w:ascii="仿宋" w:hAnsi="仿宋" w:eastAsia="仿宋" w:cs="仿宋"/>
                <w:sz w:val="22"/>
              </w:rPr>
              <w:t>(</w:t>
            </w:r>
            <w:r>
              <w:rPr>
                <w:rFonts w:ascii="Times New Roman" w:hAnsi="Times New Roman" w:eastAsia="仿宋"/>
                <w:sz w:val="22"/>
              </w:rPr>
              <w:t>2</w:t>
            </w:r>
            <w:r>
              <w:rPr>
                <w:rFonts w:hint="eastAsia" w:ascii="仿宋" w:hAnsi="仿宋" w:eastAsia="仿宋" w:cs="仿宋"/>
                <w:sz w:val="22"/>
              </w:rPr>
              <w:t>)出</w:t>
            </w:r>
            <w:r>
              <w:rPr>
                <w:rFonts w:hint="eastAsia" w:ascii="Times New Roman" w:hAnsi="Times New Roman" w:eastAsia="仿宋"/>
                <w:sz w:val="22"/>
              </w:rPr>
              <w:t>现退市</w:t>
            </w:r>
            <w:r>
              <w:rPr>
                <w:rFonts w:ascii="Times New Roman" w:hAnsi="Times New Roman" w:eastAsia="仿宋"/>
                <w:sz w:val="22"/>
              </w:rPr>
              <w:t>风险警示</w:t>
            </w:r>
            <w:r>
              <w:rPr>
                <w:rFonts w:hint="eastAsia" w:ascii="Times New Roman" w:hAnsi="Times New Roman" w:eastAsia="仿宋"/>
                <w:sz w:val="22"/>
              </w:rPr>
              <w:t xml:space="preserve">情形 </w:t>
            </w:r>
          </w:p>
          <w:p>
            <w:pPr>
              <w:snapToGrid w:val="0"/>
              <w:spacing w:line="320" w:lineRule="exact"/>
              <w:ind w:left="320" w:leftChars="100" w:hanging="110" w:hangingChars="50"/>
              <w:rPr>
                <w:rFonts w:ascii="Times New Roman" w:hAnsi="Times New Roman" w:eastAsia="仿宋"/>
                <w:sz w:val="22"/>
              </w:rPr>
            </w:pPr>
            <w:r>
              <w:rPr>
                <w:rFonts w:ascii="Times New Roman" w:hAnsi="Times New Roman" w:eastAsia="仿宋"/>
                <w:sz w:val="22"/>
              </w:rPr>
              <w:t>□</w:t>
            </w:r>
            <w:r>
              <w:rPr>
                <w:rFonts w:hint="eastAsia" w:ascii="仿宋" w:hAnsi="仿宋" w:eastAsia="仿宋" w:cs="仿宋"/>
                <w:sz w:val="22"/>
              </w:rPr>
              <w:t>(</w:t>
            </w:r>
            <w:r>
              <w:rPr>
                <w:rFonts w:ascii="Times New Roman" w:hAnsi="Times New Roman" w:eastAsia="仿宋"/>
                <w:sz w:val="22"/>
              </w:rPr>
              <w:t>3</w:t>
            </w:r>
            <w:r>
              <w:rPr>
                <w:rFonts w:hint="eastAsia" w:ascii="仿宋" w:hAnsi="仿宋" w:eastAsia="仿宋" w:cs="仿宋"/>
                <w:sz w:val="22"/>
              </w:rPr>
              <w:t>)</w:t>
            </w:r>
            <w:r>
              <w:rPr>
                <w:rFonts w:ascii="Times New Roman" w:hAnsi="Times New Roman" w:eastAsia="仿宋"/>
                <w:sz w:val="22"/>
              </w:rPr>
              <w:t>撤销</w:t>
            </w:r>
            <w:r>
              <w:rPr>
                <w:rFonts w:hint="eastAsia" w:ascii="Times New Roman" w:hAnsi="Times New Roman" w:eastAsia="仿宋"/>
                <w:sz w:val="22"/>
              </w:rPr>
              <w:t>退市</w:t>
            </w:r>
            <w:r>
              <w:rPr>
                <w:rFonts w:ascii="Times New Roman" w:hAnsi="Times New Roman" w:eastAsia="仿宋"/>
                <w:sz w:val="22"/>
              </w:rPr>
              <w:t>风险警示</w:t>
            </w:r>
            <w:r>
              <w:rPr>
                <w:rFonts w:hint="eastAsia" w:ascii="Times New Roman" w:hAnsi="Times New Roman" w:eastAsia="仿宋"/>
                <w:sz w:val="22"/>
              </w:rPr>
              <w:t>情形</w:t>
            </w:r>
          </w:p>
          <w:p>
            <w:pPr>
              <w:snapToGrid w:val="0"/>
              <w:spacing w:line="320" w:lineRule="exact"/>
              <w:ind w:left="320" w:leftChars="100" w:hanging="110" w:hangingChars="50"/>
              <w:rPr>
                <w:rFonts w:ascii="Times New Roman" w:hAnsi="Times New Roman" w:eastAsia="仿宋"/>
                <w:sz w:val="22"/>
              </w:rPr>
            </w:pPr>
            <w:r>
              <w:rPr>
                <w:rFonts w:ascii="Times New Roman" w:hAnsi="Times New Roman" w:eastAsia="仿宋"/>
                <w:sz w:val="22"/>
              </w:rPr>
              <w:t>□</w:t>
            </w:r>
            <w:r>
              <w:rPr>
                <w:rFonts w:hint="eastAsia" w:ascii="仿宋" w:hAnsi="仿宋" w:eastAsia="仿宋" w:cs="仿宋"/>
                <w:sz w:val="22"/>
              </w:rPr>
              <w:t>(</w:t>
            </w:r>
            <w:r>
              <w:rPr>
                <w:rFonts w:ascii="Times New Roman" w:hAnsi="Times New Roman" w:eastAsia="仿宋"/>
                <w:sz w:val="22"/>
              </w:rPr>
              <w:t>4</w:t>
            </w:r>
            <w:r>
              <w:rPr>
                <w:rFonts w:hint="eastAsia" w:ascii="仿宋" w:hAnsi="仿宋" w:eastAsia="仿宋" w:cs="仿宋"/>
                <w:sz w:val="22"/>
              </w:rPr>
              <w:t>)</w:t>
            </w:r>
            <w:r>
              <w:rPr>
                <w:rFonts w:hint="eastAsia" w:ascii="Times New Roman" w:hAnsi="Times New Roman" w:eastAsia="仿宋"/>
                <w:sz w:val="22"/>
              </w:rPr>
              <w:t>出现</w:t>
            </w:r>
            <w:r>
              <w:rPr>
                <w:rFonts w:ascii="Times New Roman" w:hAnsi="Times New Roman" w:eastAsia="仿宋"/>
                <w:sz w:val="22"/>
              </w:rPr>
              <w:t>《</w:t>
            </w:r>
            <w:r>
              <w:rPr>
                <w:rFonts w:hint="eastAsia" w:ascii="Times New Roman" w:hAnsi="Times New Roman" w:eastAsia="仿宋"/>
                <w:sz w:val="22"/>
              </w:rPr>
              <w:t>上市规则</w:t>
            </w:r>
            <w:r>
              <w:rPr>
                <w:rFonts w:ascii="Times New Roman" w:hAnsi="Times New Roman" w:eastAsia="仿宋"/>
                <w:sz w:val="22"/>
              </w:rPr>
              <w:t>》</w:t>
            </w:r>
            <w:r>
              <w:rPr>
                <w:rFonts w:hint="eastAsia" w:ascii="Times New Roman" w:hAnsi="Times New Roman" w:eastAsia="仿宋"/>
                <w:sz w:val="22"/>
              </w:rPr>
              <w:t>规定的</w:t>
            </w:r>
            <w:r>
              <w:rPr>
                <w:rFonts w:hint="eastAsia" w:ascii="Times New Roman" w:hAnsi="Times New Roman" w:eastAsia="仿宋"/>
                <w:sz w:val="22"/>
                <w:lang w:eastAsia="zh-CN"/>
              </w:rPr>
              <w:t>其他</w:t>
            </w:r>
            <w:r>
              <w:rPr>
                <w:rFonts w:hint="eastAsia" w:ascii="Times New Roman" w:hAnsi="Times New Roman" w:eastAsia="仿宋"/>
                <w:sz w:val="22"/>
              </w:rPr>
              <w:t>停牌情形</w:t>
            </w:r>
          </w:p>
          <w:p>
            <w:pPr>
              <w:snapToGrid w:val="0"/>
              <w:spacing w:line="320" w:lineRule="exact"/>
              <w:ind w:left="320" w:leftChars="100" w:hanging="110" w:hangingChars="50"/>
              <w:rPr>
                <w:rFonts w:ascii="Times New Roman" w:hAnsi="Times New Roman" w:eastAsia="仿宋"/>
                <w:sz w:val="22"/>
              </w:rPr>
            </w:pPr>
            <w:r>
              <w:rPr>
                <w:rFonts w:ascii="Times New Roman" w:hAnsi="Times New Roman" w:eastAsia="仿宋"/>
                <w:sz w:val="22"/>
              </w:rPr>
              <w:t>□</w:t>
            </w:r>
            <w:r>
              <w:rPr>
                <w:rFonts w:hint="eastAsia" w:ascii="仿宋" w:hAnsi="仿宋" w:eastAsia="仿宋" w:cs="仿宋"/>
                <w:sz w:val="22"/>
              </w:rPr>
              <w:t>(</w:t>
            </w:r>
            <w:r>
              <w:rPr>
                <w:rFonts w:ascii="Times New Roman" w:hAnsi="Times New Roman" w:eastAsia="仿宋"/>
                <w:sz w:val="22"/>
              </w:rPr>
              <w:t>5</w:t>
            </w:r>
            <w:r>
              <w:rPr>
                <w:rFonts w:hint="eastAsia" w:ascii="仿宋" w:hAnsi="仿宋" w:eastAsia="仿宋" w:cs="仿宋"/>
                <w:sz w:val="22"/>
              </w:rPr>
              <w:t>)出</w:t>
            </w:r>
            <w:r>
              <w:rPr>
                <w:rFonts w:hint="eastAsia" w:ascii="Times New Roman" w:hAnsi="Times New Roman" w:eastAsia="仿宋"/>
                <w:sz w:val="22"/>
              </w:rPr>
              <w:t>现强制终止</w:t>
            </w:r>
            <w:r>
              <w:rPr>
                <w:rFonts w:ascii="Times New Roman" w:hAnsi="Times New Roman" w:eastAsia="仿宋"/>
                <w:sz w:val="22"/>
              </w:rPr>
              <w:t>上市情形</w:t>
            </w:r>
          </w:p>
          <w:p>
            <w:pPr>
              <w:snapToGrid w:val="0"/>
              <w:spacing w:line="320" w:lineRule="exact"/>
              <w:rPr>
                <w:rFonts w:ascii="Times New Roman" w:hAnsi="Times New Roman" w:eastAsia="仿宋"/>
                <w:sz w:val="22"/>
              </w:rPr>
            </w:pPr>
            <w:r>
              <w:rPr>
                <w:rFonts w:ascii="Times New Roman" w:hAnsi="Times New Roman" w:eastAsia="仿宋"/>
                <w:sz w:val="22"/>
              </w:rPr>
              <w:t>□6.其他事项</w:t>
            </w:r>
          </w:p>
          <w:p>
            <w:pPr>
              <w:snapToGrid w:val="0"/>
              <w:spacing w:line="320" w:lineRule="exact"/>
              <w:ind w:firstLine="220" w:firstLineChars="100"/>
              <w:rPr>
                <w:rFonts w:ascii="Times New Roman" w:hAnsi="Times New Roman" w:eastAsia="仿宋"/>
                <w:sz w:val="22"/>
              </w:rPr>
            </w:pPr>
            <w:r>
              <w:rPr>
                <w:rFonts w:ascii="Times New Roman" w:hAnsi="Times New Roman" w:eastAsia="仿宋"/>
                <w:sz w:val="22"/>
              </w:rPr>
              <w:t>□</w:t>
            </w:r>
            <w:r>
              <w:rPr>
                <w:rFonts w:hint="eastAsia" w:ascii="仿宋" w:hAnsi="仿宋" w:eastAsia="仿宋" w:cs="仿宋"/>
                <w:sz w:val="22"/>
              </w:rPr>
              <w:t>(</w:t>
            </w:r>
            <w:r>
              <w:rPr>
                <w:rFonts w:ascii="Times New Roman" w:hAnsi="Times New Roman" w:eastAsia="仿宋"/>
                <w:sz w:val="22"/>
              </w:rPr>
              <w:t>1</w:t>
            </w:r>
            <w:r>
              <w:rPr>
                <w:rFonts w:hint="eastAsia" w:ascii="仿宋" w:hAnsi="仿宋" w:eastAsia="仿宋" w:cs="仿宋"/>
                <w:sz w:val="22"/>
              </w:rPr>
              <w:t>)</w:t>
            </w:r>
            <w:r>
              <w:rPr>
                <w:rFonts w:hint="eastAsia" w:ascii="Times New Roman" w:hAnsi="Times New Roman" w:eastAsia="仿宋"/>
                <w:sz w:val="22"/>
              </w:rPr>
              <w:t>披露权益分派实施公告后未能按期实施且未于R-1日披露延期公告</w:t>
            </w:r>
            <w:r>
              <w:rPr>
                <w:rFonts w:ascii="Times New Roman" w:hAnsi="Times New Roman" w:eastAsia="仿宋"/>
                <w:sz w:val="22"/>
              </w:rPr>
              <w:t xml:space="preserve"> </w:t>
            </w:r>
          </w:p>
          <w:p>
            <w:pPr>
              <w:snapToGrid w:val="0"/>
              <w:spacing w:line="320" w:lineRule="exact"/>
              <w:ind w:firstLine="220" w:firstLineChars="100"/>
              <w:rPr>
                <w:rFonts w:ascii="Times New Roman" w:hAnsi="Times New Roman" w:eastAsia="仿宋"/>
                <w:sz w:val="22"/>
              </w:rPr>
            </w:pPr>
            <w:r>
              <w:rPr>
                <w:rFonts w:ascii="Times New Roman" w:hAnsi="Times New Roman" w:eastAsia="仿宋"/>
                <w:sz w:val="22"/>
              </w:rPr>
              <w:t>□</w:t>
            </w:r>
            <w:r>
              <w:rPr>
                <w:rFonts w:hint="eastAsia" w:ascii="仿宋" w:hAnsi="仿宋" w:eastAsia="仿宋" w:cs="仿宋"/>
                <w:sz w:val="22"/>
              </w:rPr>
              <w:t>(</w:t>
            </w:r>
            <w:r>
              <w:rPr>
                <w:rFonts w:ascii="Times New Roman" w:hAnsi="Times New Roman" w:eastAsia="仿宋"/>
                <w:sz w:val="22"/>
              </w:rPr>
              <w:t>2</w:t>
            </w:r>
            <w:r>
              <w:rPr>
                <w:rFonts w:hint="eastAsia" w:ascii="仿宋" w:hAnsi="仿宋" w:eastAsia="仿宋" w:cs="仿宋"/>
                <w:sz w:val="22"/>
              </w:rPr>
              <w:t>)其</w:t>
            </w:r>
            <w:r>
              <w:rPr>
                <w:rFonts w:hint="eastAsia" w:ascii="Times New Roman" w:hAnsi="Times New Roman" w:eastAsia="仿宋"/>
                <w:sz w:val="22"/>
              </w:rPr>
              <w:t>他</w:t>
            </w:r>
            <w:r>
              <w:rPr>
                <w:rFonts w:ascii="Times New Roman" w:hAnsi="Times New Roman" w:eastAsia="仿宋"/>
                <w:sz w:val="22"/>
              </w:rPr>
              <w:t>合理理由，具体内容：</w:t>
            </w:r>
            <w:r>
              <w:rPr>
                <w:rFonts w:ascii="Times New Roman" w:hAnsi="Times New Roman" w:eastAsia="仿宋"/>
                <w:sz w:val="22"/>
                <w:u w:val="single"/>
              </w:rPr>
              <w:t xml:space="preserve">                                  </w:t>
            </w:r>
            <w:r>
              <w:rPr>
                <w:rFonts w:ascii="Times New Roman" w:hAnsi="Times New Roman" w:eastAsia="仿宋"/>
                <w:sz w:val="22"/>
              </w:rPr>
              <w:t>（必填）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46" w:hRule="atLeast"/>
          <w:jc w:val="center"/>
        </w:trPr>
        <w:tc>
          <w:tcPr>
            <w:tcW w:w="1661" w:type="dxa"/>
            <w:tcBorders>
              <w:bottom w:val="single" w:color="auto" w:sz="4" w:space="0"/>
            </w:tcBorders>
          </w:tcPr>
          <w:p>
            <w:pPr>
              <w:widowControl/>
              <w:spacing w:line="320" w:lineRule="exact"/>
              <w:rPr>
                <w:rFonts w:ascii="Times New Roman" w:hAnsi="Times New Roman" w:eastAsia="仿宋"/>
                <w:sz w:val="22"/>
              </w:rPr>
            </w:pPr>
            <w:r>
              <w:rPr>
                <w:rFonts w:ascii="Times New Roman" w:hAnsi="Times New Roman" w:eastAsia="仿宋"/>
                <w:sz w:val="22"/>
              </w:rPr>
              <w:t>上述所选事项是否已消除或已充分披露（申请复牌填写）</w:t>
            </w:r>
          </w:p>
        </w:tc>
        <w:tc>
          <w:tcPr>
            <w:tcW w:w="8110" w:type="dxa"/>
            <w:gridSpan w:val="8"/>
            <w:tcBorders>
              <w:bottom w:val="single" w:color="auto" w:sz="4" w:space="0"/>
            </w:tcBorders>
          </w:tcPr>
          <w:p>
            <w:pPr>
              <w:widowControl/>
              <w:spacing w:line="320" w:lineRule="exact"/>
              <w:rPr>
                <w:rFonts w:ascii="Times New Roman" w:hAnsi="Times New Roman" w:eastAsia="仿宋"/>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57" w:hRule="atLeast"/>
          <w:jc w:val="center"/>
        </w:trPr>
        <w:tc>
          <w:tcPr>
            <w:tcW w:w="1661" w:type="dxa"/>
            <w:tcBorders>
              <w:bottom w:val="single" w:color="auto" w:sz="4" w:space="0"/>
            </w:tcBorders>
          </w:tcPr>
          <w:p>
            <w:pPr>
              <w:widowControl/>
              <w:spacing w:line="320" w:lineRule="exact"/>
              <w:rPr>
                <w:rFonts w:ascii="Times New Roman" w:hAnsi="Times New Roman" w:eastAsia="仿宋"/>
                <w:sz w:val="22"/>
              </w:rPr>
            </w:pPr>
            <w:r>
              <w:rPr>
                <w:rFonts w:ascii="Times New Roman" w:hAnsi="Times New Roman" w:eastAsia="仿宋"/>
                <w:sz w:val="22"/>
              </w:rPr>
              <w:t>停牌生效日期</w:t>
            </w:r>
          </w:p>
        </w:tc>
        <w:tc>
          <w:tcPr>
            <w:tcW w:w="1317" w:type="dxa"/>
            <w:tcBorders>
              <w:bottom w:val="single" w:color="auto" w:sz="4" w:space="0"/>
            </w:tcBorders>
          </w:tcPr>
          <w:p>
            <w:pPr>
              <w:widowControl/>
              <w:spacing w:line="320" w:lineRule="exact"/>
              <w:ind w:firstLine="400"/>
              <w:jc w:val="left"/>
              <w:rPr>
                <w:rFonts w:ascii="Times New Roman" w:hAnsi="Times New Roman" w:eastAsia="仿宋"/>
                <w:sz w:val="22"/>
              </w:rPr>
            </w:pPr>
          </w:p>
        </w:tc>
        <w:tc>
          <w:tcPr>
            <w:tcW w:w="1695" w:type="dxa"/>
            <w:gridSpan w:val="2"/>
            <w:tcBorders>
              <w:bottom w:val="single" w:color="auto" w:sz="4" w:space="0"/>
            </w:tcBorders>
          </w:tcPr>
          <w:p>
            <w:pPr>
              <w:widowControl/>
              <w:spacing w:line="320" w:lineRule="exact"/>
              <w:jc w:val="left"/>
              <w:rPr>
                <w:rFonts w:ascii="Times New Roman" w:hAnsi="Times New Roman" w:eastAsia="仿宋"/>
                <w:sz w:val="22"/>
              </w:rPr>
            </w:pPr>
            <w:r>
              <w:rPr>
                <w:rFonts w:ascii="Times New Roman" w:hAnsi="Times New Roman" w:eastAsia="仿宋"/>
                <w:sz w:val="22"/>
              </w:rPr>
              <w:t>预计复牌日期</w:t>
            </w:r>
          </w:p>
          <w:p>
            <w:pPr>
              <w:widowControl/>
              <w:spacing w:line="320" w:lineRule="exact"/>
              <w:jc w:val="left"/>
              <w:rPr>
                <w:rFonts w:ascii="Times New Roman" w:hAnsi="Times New Roman" w:eastAsia="仿宋"/>
                <w:sz w:val="22"/>
              </w:rPr>
            </w:pPr>
            <w:r>
              <w:rPr>
                <w:rFonts w:hint="eastAsia" w:ascii="Times New Roman" w:hAnsi="Times New Roman" w:eastAsia="仿宋"/>
                <w:sz w:val="22"/>
              </w:rPr>
              <w:t>（如适用）</w:t>
            </w:r>
          </w:p>
        </w:tc>
        <w:tc>
          <w:tcPr>
            <w:tcW w:w="1559" w:type="dxa"/>
            <w:gridSpan w:val="2"/>
            <w:tcBorders>
              <w:bottom w:val="single" w:color="auto" w:sz="4" w:space="0"/>
            </w:tcBorders>
          </w:tcPr>
          <w:p>
            <w:pPr>
              <w:widowControl/>
              <w:spacing w:line="320" w:lineRule="exact"/>
              <w:ind w:firstLine="400"/>
              <w:jc w:val="left"/>
              <w:rPr>
                <w:rFonts w:ascii="Times New Roman" w:hAnsi="Times New Roman" w:eastAsia="仿宋"/>
                <w:sz w:val="22"/>
              </w:rPr>
            </w:pPr>
          </w:p>
        </w:tc>
        <w:tc>
          <w:tcPr>
            <w:tcW w:w="1849" w:type="dxa"/>
            <w:gridSpan w:val="2"/>
            <w:tcBorders>
              <w:bottom w:val="single" w:color="auto" w:sz="4" w:space="0"/>
            </w:tcBorders>
          </w:tcPr>
          <w:p>
            <w:pPr>
              <w:widowControl/>
              <w:spacing w:line="320" w:lineRule="exact"/>
              <w:jc w:val="left"/>
              <w:rPr>
                <w:rFonts w:ascii="Times New Roman" w:hAnsi="Times New Roman" w:eastAsia="仿宋"/>
                <w:sz w:val="22"/>
              </w:rPr>
            </w:pPr>
            <w:r>
              <w:rPr>
                <w:rFonts w:ascii="Times New Roman" w:hAnsi="Times New Roman" w:eastAsia="仿宋"/>
                <w:sz w:val="22"/>
              </w:rPr>
              <w:t>复牌生效日期（申请复牌或</w:t>
            </w:r>
          </w:p>
          <w:p>
            <w:pPr>
              <w:widowControl/>
              <w:spacing w:line="320" w:lineRule="exact"/>
              <w:jc w:val="left"/>
              <w:rPr>
                <w:rFonts w:ascii="Times New Roman" w:hAnsi="Times New Roman" w:eastAsia="仿宋"/>
                <w:sz w:val="22"/>
              </w:rPr>
            </w:pPr>
            <w:r>
              <w:rPr>
                <w:rFonts w:ascii="Times New Roman" w:hAnsi="Times New Roman" w:eastAsia="仿宋"/>
                <w:sz w:val="22"/>
              </w:rPr>
              <w:t>停牌一天填写）</w:t>
            </w:r>
          </w:p>
        </w:tc>
        <w:tc>
          <w:tcPr>
            <w:tcW w:w="1690" w:type="dxa"/>
            <w:tcBorders>
              <w:bottom w:val="single" w:color="auto" w:sz="4" w:space="0"/>
            </w:tcBorders>
          </w:tcPr>
          <w:p>
            <w:pPr>
              <w:widowControl/>
              <w:spacing w:line="320" w:lineRule="exact"/>
              <w:ind w:firstLine="400"/>
              <w:rPr>
                <w:rFonts w:ascii="Times New Roman" w:hAnsi="Times New Roman" w:eastAsia="仿宋"/>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975" w:hRule="atLeast"/>
          <w:jc w:val="center"/>
        </w:trPr>
        <w:tc>
          <w:tcPr>
            <w:tcW w:w="9771" w:type="dxa"/>
            <w:gridSpan w:val="9"/>
          </w:tcPr>
          <w:p>
            <w:pPr>
              <w:snapToGrid w:val="0"/>
              <w:spacing w:line="280" w:lineRule="exact"/>
              <w:rPr>
                <w:rFonts w:ascii="Times New Roman" w:hAnsi="Times New Roman" w:eastAsia="仿宋"/>
                <w:sz w:val="22"/>
              </w:rPr>
            </w:pPr>
          </w:p>
          <w:p>
            <w:pPr>
              <w:snapToGrid w:val="0"/>
              <w:spacing w:line="280" w:lineRule="exact"/>
              <w:rPr>
                <w:rFonts w:ascii="Times New Roman" w:hAnsi="Times New Roman" w:eastAsia="仿宋"/>
                <w:sz w:val="22"/>
              </w:rPr>
            </w:pPr>
            <w:r>
              <w:rPr>
                <w:rFonts w:ascii="Times New Roman" w:hAnsi="Times New Roman" w:eastAsia="仿宋"/>
                <w:sz w:val="22"/>
              </w:rPr>
              <w:t>申请人：XXX股份有限公司（加盖公</w:t>
            </w:r>
            <w:r>
              <w:rPr>
                <w:rFonts w:hint="eastAsia" w:ascii="Times New Roman" w:hAnsi="Times New Roman" w:eastAsia="仿宋"/>
                <w:sz w:val="22"/>
              </w:rPr>
              <w:t>章或董事会</w:t>
            </w:r>
            <w:r>
              <w:rPr>
                <w:rFonts w:ascii="Times New Roman" w:hAnsi="Times New Roman" w:eastAsia="仿宋"/>
                <w:sz w:val="22"/>
              </w:rPr>
              <w:t xml:space="preserve">章）             </w:t>
            </w:r>
          </w:p>
          <w:p>
            <w:pPr>
              <w:snapToGrid w:val="0"/>
              <w:spacing w:line="280" w:lineRule="exact"/>
              <w:rPr>
                <w:rFonts w:ascii="Times New Roman" w:hAnsi="Times New Roman" w:eastAsia="仿宋"/>
                <w:sz w:val="22"/>
              </w:rPr>
            </w:pPr>
          </w:p>
          <w:p>
            <w:pPr>
              <w:snapToGrid w:val="0"/>
              <w:spacing w:line="280" w:lineRule="exact"/>
              <w:rPr>
                <w:rFonts w:ascii="Times New Roman" w:hAnsi="Times New Roman" w:eastAsia="仿宋"/>
                <w:sz w:val="22"/>
              </w:rPr>
            </w:pPr>
          </w:p>
          <w:p>
            <w:pPr>
              <w:snapToGrid w:val="0"/>
              <w:spacing w:line="280" w:lineRule="exact"/>
              <w:rPr>
                <w:rFonts w:ascii="Times New Roman" w:hAnsi="Times New Roman" w:eastAsia="仿宋"/>
                <w:sz w:val="22"/>
              </w:rPr>
            </w:pPr>
            <w:r>
              <w:rPr>
                <w:rFonts w:hint="eastAsia" w:ascii="Times New Roman" w:hAnsi="Times New Roman" w:eastAsia="仿宋"/>
                <w:sz w:val="22"/>
              </w:rPr>
              <w:t>董事会秘书</w:t>
            </w:r>
            <w:r>
              <w:rPr>
                <w:rFonts w:ascii="Times New Roman" w:hAnsi="Times New Roman" w:eastAsia="仿宋"/>
                <w:sz w:val="22"/>
              </w:rPr>
              <w:t>签名：</w:t>
            </w:r>
            <w:r>
              <w:rPr>
                <w:rFonts w:hint="eastAsia" w:ascii="Times New Roman" w:hAnsi="Times New Roman" w:eastAsia="仿宋"/>
                <w:sz w:val="22"/>
              </w:rPr>
              <w:t xml:space="preserve">        </w:t>
            </w:r>
            <w:r>
              <w:rPr>
                <w:rFonts w:ascii="Times New Roman" w:hAnsi="Times New Roman" w:eastAsia="仿宋"/>
                <w:sz w:val="22"/>
              </w:rPr>
              <w:t xml:space="preserve">                             联系电话：         </w:t>
            </w:r>
          </w:p>
          <w:p>
            <w:pPr>
              <w:snapToGrid w:val="0"/>
              <w:spacing w:line="280" w:lineRule="exact"/>
              <w:rPr>
                <w:rFonts w:ascii="Times New Roman" w:hAnsi="Times New Roman" w:eastAsia="仿宋"/>
                <w:sz w:val="22"/>
              </w:rPr>
            </w:pPr>
            <w:r>
              <w:rPr>
                <w:rFonts w:ascii="Times New Roman" w:hAnsi="Times New Roman" w:eastAsia="仿宋"/>
                <w:sz w:val="22"/>
              </w:rPr>
              <w:t xml:space="preserve">                           </w:t>
            </w:r>
          </w:p>
          <w:p>
            <w:pPr>
              <w:snapToGrid w:val="0"/>
              <w:spacing w:line="320" w:lineRule="exact"/>
              <w:rPr>
                <w:rFonts w:ascii="Times New Roman" w:hAnsi="Times New Roman" w:eastAsia="仿宋"/>
                <w:sz w:val="22"/>
              </w:rPr>
            </w:pPr>
            <w:r>
              <w:rPr>
                <w:rFonts w:ascii="Times New Roman" w:hAnsi="Times New Roman" w:eastAsia="仿宋"/>
                <w:sz w:val="22"/>
              </w:rPr>
              <w:t xml:space="preserve">           年     月     日             </w:t>
            </w:r>
          </w:p>
        </w:tc>
      </w:tr>
    </w:tbl>
    <w:p>
      <w:pPr>
        <w:rPr>
          <w:rFonts w:ascii="Times New Roman" w:hAnsi="Times New Roman" w:eastAsia="方正仿宋简体"/>
          <w:sz w:val="28"/>
          <w:szCs w:val="28"/>
        </w:rPr>
        <w:sectPr>
          <w:type w:val="continuous"/>
          <w:pgSz w:w="11906" w:h="16838"/>
          <w:pgMar w:top="2098" w:right="1531" w:bottom="1985" w:left="1531" w:header="851" w:footer="992" w:gutter="0"/>
          <w:pgNumType w:fmt="numberInDash"/>
          <w:cols w:space="720" w:num="1"/>
          <w:docGrid w:type="lines" w:linePitch="312" w:charSpace="0"/>
        </w:sectPr>
      </w:pPr>
    </w:p>
    <w:p>
      <w:pPr>
        <w:spacing w:line="600" w:lineRule="exact"/>
        <w:rPr>
          <w:rFonts w:ascii="Times New Roman" w:hAnsi="Times New Roman" w:eastAsia="黑体"/>
          <w:sz w:val="32"/>
          <w:szCs w:val="28"/>
        </w:rPr>
      </w:pPr>
      <w:r>
        <w:rPr>
          <w:rFonts w:ascii="Times New Roman" w:hAnsi="Times New Roman" w:eastAsia="黑体"/>
          <w:sz w:val="32"/>
          <w:szCs w:val="28"/>
        </w:rPr>
        <w:t>附表2</w:t>
      </w:r>
    </w:p>
    <w:p>
      <w:pPr>
        <w:spacing w:line="600" w:lineRule="exact"/>
        <w:ind w:firstLine="220" w:firstLineChars="50"/>
        <w:jc w:val="center"/>
        <w:outlineLvl w:val="0"/>
        <w:rPr>
          <w:rFonts w:ascii="Times New Roman" w:hAnsi="Times New Roman" w:eastAsia="方正大标宋简体"/>
          <w:sz w:val="44"/>
          <w:szCs w:val="42"/>
        </w:rPr>
      </w:pPr>
      <w:r>
        <w:rPr>
          <w:rFonts w:ascii="Times New Roman" w:hAnsi="Times New Roman" w:eastAsia="方正大标宋简体"/>
          <w:sz w:val="44"/>
          <w:szCs w:val="42"/>
        </w:rPr>
        <w:t>发行股份购买资产</w:t>
      </w:r>
    </w:p>
    <w:p>
      <w:pPr>
        <w:spacing w:line="600" w:lineRule="exact"/>
        <w:ind w:firstLine="220" w:firstLineChars="50"/>
        <w:jc w:val="center"/>
        <w:outlineLvl w:val="0"/>
        <w:rPr>
          <w:rFonts w:ascii="Times New Roman" w:hAnsi="Times New Roman" w:eastAsia="方正大标宋简体"/>
          <w:sz w:val="44"/>
          <w:szCs w:val="42"/>
        </w:rPr>
      </w:pPr>
      <w:r>
        <w:rPr>
          <w:rFonts w:ascii="Times New Roman" w:hAnsi="Times New Roman" w:eastAsia="方正大标宋简体"/>
          <w:sz w:val="44"/>
          <w:szCs w:val="42"/>
        </w:rPr>
        <w:t>停牌/复牌申请表</w:t>
      </w:r>
    </w:p>
    <w:tbl>
      <w:tblPr>
        <w:tblStyle w:val="8"/>
        <w:tblW w:w="948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9"/>
        <w:gridCol w:w="1347"/>
        <w:gridCol w:w="549"/>
        <w:gridCol w:w="1110"/>
        <w:gridCol w:w="255"/>
        <w:gridCol w:w="1134"/>
        <w:gridCol w:w="170"/>
        <w:gridCol w:w="1247"/>
        <w:gridCol w:w="434"/>
        <w:gridCol w:w="142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46" w:hRule="atLeast"/>
          <w:jc w:val="center"/>
        </w:trPr>
        <w:tc>
          <w:tcPr>
            <w:tcW w:w="9482" w:type="dxa"/>
            <w:gridSpan w:val="10"/>
          </w:tcPr>
          <w:p>
            <w:pPr>
              <w:snapToGrid w:val="0"/>
              <w:spacing w:line="280" w:lineRule="exact"/>
              <w:rPr>
                <w:rFonts w:ascii="Times New Roman" w:hAnsi="Times New Roman" w:eastAsia="仿宋"/>
                <w:sz w:val="22"/>
              </w:rPr>
            </w:pPr>
            <w:r>
              <w:rPr>
                <w:rFonts w:ascii="Times New Roman" w:hAnsi="Times New Roman" w:eastAsia="仿宋"/>
                <w:sz w:val="22"/>
              </w:rPr>
              <w:t>业务申请类型：               □停牌        □复牌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46" w:hRule="atLeast"/>
          <w:jc w:val="center"/>
        </w:trPr>
        <w:tc>
          <w:tcPr>
            <w:tcW w:w="1809" w:type="dxa"/>
          </w:tcPr>
          <w:p>
            <w:pPr>
              <w:snapToGrid w:val="0"/>
              <w:spacing w:line="280" w:lineRule="exact"/>
              <w:rPr>
                <w:rFonts w:ascii="Times New Roman" w:hAnsi="Times New Roman" w:eastAsia="仿宋"/>
                <w:sz w:val="22"/>
              </w:rPr>
            </w:pPr>
            <w:r>
              <w:rPr>
                <w:rFonts w:ascii="Times New Roman" w:hAnsi="Times New Roman" w:eastAsia="仿宋"/>
                <w:sz w:val="22"/>
              </w:rPr>
              <w:t>公司名称</w:t>
            </w:r>
          </w:p>
        </w:tc>
        <w:tc>
          <w:tcPr>
            <w:tcW w:w="1896" w:type="dxa"/>
            <w:gridSpan w:val="2"/>
          </w:tcPr>
          <w:p>
            <w:pPr>
              <w:snapToGrid w:val="0"/>
              <w:spacing w:line="280" w:lineRule="exact"/>
              <w:rPr>
                <w:rFonts w:ascii="Times New Roman" w:hAnsi="Times New Roman" w:eastAsia="仿宋"/>
                <w:sz w:val="22"/>
              </w:rPr>
            </w:pPr>
          </w:p>
        </w:tc>
        <w:tc>
          <w:tcPr>
            <w:tcW w:w="1365" w:type="dxa"/>
            <w:gridSpan w:val="2"/>
          </w:tcPr>
          <w:p>
            <w:pPr>
              <w:snapToGrid w:val="0"/>
              <w:spacing w:line="280" w:lineRule="exact"/>
              <w:rPr>
                <w:rFonts w:ascii="Times New Roman" w:hAnsi="Times New Roman" w:eastAsia="仿宋"/>
                <w:sz w:val="22"/>
              </w:rPr>
            </w:pPr>
            <w:r>
              <w:rPr>
                <w:rFonts w:ascii="Times New Roman" w:hAnsi="Times New Roman" w:eastAsia="仿宋"/>
                <w:sz w:val="22"/>
              </w:rPr>
              <w:t>证券简称</w:t>
            </w:r>
          </w:p>
        </w:tc>
        <w:tc>
          <w:tcPr>
            <w:tcW w:w="1134" w:type="dxa"/>
          </w:tcPr>
          <w:p>
            <w:pPr>
              <w:snapToGrid w:val="0"/>
              <w:spacing w:line="280" w:lineRule="exact"/>
              <w:rPr>
                <w:rFonts w:ascii="Times New Roman" w:hAnsi="Times New Roman" w:eastAsia="仿宋"/>
                <w:sz w:val="22"/>
              </w:rPr>
            </w:pPr>
          </w:p>
        </w:tc>
        <w:tc>
          <w:tcPr>
            <w:tcW w:w="1417" w:type="dxa"/>
            <w:gridSpan w:val="2"/>
          </w:tcPr>
          <w:p>
            <w:pPr>
              <w:snapToGrid w:val="0"/>
              <w:spacing w:line="280" w:lineRule="exact"/>
              <w:rPr>
                <w:rFonts w:ascii="Times New Roman" w:hAnsi="Times New Roman" w:eastAsia="仿宋"/>
                <w:sz w:val="22"/>
              </w:rPr>
            </w:pPr>
            <w:r>
              <w:rPr>
                <w:rFonts w:ascii="Times New Roman" w:hAnsi="Times New Roman" w:eastAsia="仿宋"/>
                <w:sz w:val="22"/>
              </w:rPr>
              <w:t>证券代码</w:t>
            </w:r>
          </w:p>
        </w:tc>
        <w:tc>
          <w:tcPr>
            <w:tcW w:w="1861" w:type="dxa"/>
            <w:gridSpan w:val="2"/>
          </w:tcPr>
          <w:p>
            <w:pPr>
              <w:snapToGrid w:val="0"/>
              <w:spacing w:line="280" w:lineRule="exact"/>
              <w:rPr>
                <w:rFonts w:ascii="Times New Roman" w:hAnsi="Times New Roman" w:eastAsia="仿宋"/>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46" w:hRule="atLeast"/>
          <w:jc w:val="center"/>
        </w:trPr>
        <w:tc>
          <w:tcPr>
            <w:tcW w:w="9482" w:type="dxa"/>
            <w:gridSpan w:val="10"/>
          </w:tcPr>
          <w:p>
            <w:pPr>
              <w:snapToGrid w:val="0"/>
              <w:spacing w:line="280" w:lineRule="exact"/>
              <w:rPr>
                <w:rFonts w:ascii="Times New Roman" w:hAnsi="Times New Roman" w:eastAsia="仿宋"/>
                <w:sz w:val="22"/>
              </w:rPr>
            </w:pPr>
            <w:r>
              <w:rPr>
                <w:rFonts w:ascii="Times New Roman" w:hAnsi="Times New Roman" w:eastAsia="仿宋"/>
                <w:sz w:val="22"/>
              </w:rPr>
              <w:t>公司是否发行其他证券品种 □</w:t>
            </w:r>
            <w:r>
              <w:rPr>
                <w:rFonts w:ascii="Times New Roman" w:hAnsi="Times New Roman" w:eastAsia="仿宋"/>
                <w:kern w:val="0"/>
                <w:sz w:val="22"/>
                <w:szCs w:val="20"/>
              </w:rPr>
              <w:t>是（</w:t>
            </w:r>
            <w:r>
              <w:rPr>
                <w:rFonts w:ascii="Times New Roman" w:hAnsi="Times New Roman" w:eastAsia="仿宋"/>
                <w:sz w:val="22"/>
              </w:rPr>
              <w:t>□</w:t>
            </w:r>
            <w:r>
              <w:rPr>
                <w:rFonts w:ascii="Times New Roman" w:hAnsi="Times New Roman" w:eastAsia="仿宋"/>
                <w:kern w:val="0"/>
                <w:sz w:val="22"/>
                <w:szCs w:val="20"/>
              </w:rPr>
              <w:t xml:space="preserve">优先股  </w:t>
            </w:r>
            <w:r>
              <w:rPr>
                <w:rFonts w:ascii="Times New Roman" w:hAnsi="Times New Roman" w:eastAsia="仿宋"/>
                <w:sz w:val="22"/>
              </w:rPr>
              <w:t>□</w:t>
            </w:r>
            <w:r>
              <w:rPr>
                <w:rFonts w:hint="eastAsia" w:ascii="Times New Roman" w:hAnsi="Times New Roman" w:eastAsia="仿宋"/>
                <w:kern w:val="0"/>
                <w:sz w:val="22"/>
                <w:szCs w:val="20"/>
              </w:rPr>
              <w:t>可转债</w:t>
            </w:r>
            <w:r>
              <w:rPr>
                <w:rFonts w:ascii="Times New Roman" w:hAnsi="Times New Roman" w:eastAsia="仿宋"/>
                <w:kern w:val="0"/>
                <w:sz w:val="22"/>
                <w:szCs w:val="20"/>
              </w:rPr>
              <w:t xml:space="preserve">  </w:t>
            </w:r>
            <w:r>
              <w:rPr>
                <w:rFonts w:ascii="Times New Roman" w:hAnsi="Times New Roman" w:eastAsia="仿宋"/>
                <w:sz w:val="22"/>
              </w:rPr>
              <w:t>□</w:t>
            </w:r>
            <w:r>
              <w:rPr>
                <w:rFonts w:ascii="Times New Roman" w:hAnsi="Times New Roman" w:eastAsia="仿宋"/>
                <w:kern w:val="0"/>
                <w:sz w:val="22"/>
                <w:szCs w:val="20"/>
              </w:rPr>
              <w:t>其他</w:t>
            </w:r>
            <w:r>
              <w:rPr>
                <w:rFonts w:ascii="Times New Roman" w:hAnsi="Times New Roman" w:eastAsia="仿宋"/>
                <w:kern w:val="0"/>
                <w:sz w:val="22"/>
                <w:szCs w:val="20"/>
                <w:u w:val="single"/>
              </w:rPr>
              <w:t xml:space="preserve">        </w:t>
            </w:r>
            <w:r>
              <w:rPr>
                <w:rFonts w:ascii="Times New Roman" w:hAnsi="Times New Roman" w:eastAsia="仿宋"/>
                <w:kern w:val="0"/>
                <w:sz w:val="22"/>
                <w:szCs w:val="20"/>
              </w:rPr>
              <w:t xml:space="preserve">）   </w:t>
            </w:r>
            <w:r>
              <w:rPr>
                <w:rFonts w:ascii="Times New Roman" w:hAnsi="Times New Roman" w:eastAsia="仿宋"/>
                <w:sz w:val="22"/>
              </w:rPr>
              <w:t>□</w:t>
            </w:r>
            <w:r>
              <w:rPr>
                <w:rFonts w:ascii="Times New Roman" w:hAnsi="Times New Roman" w:eastAsia="仿宋"/>
                <w:kern w:val="0"/>
                <w:sz w:val="22"/>
                <w:szCs w:val="20"/>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291" w:hRule="atLeast"/>
          <w:jc w:val="center"/>
        </w:trPr>
        <w:tc>
          <w:tcPr>
            <w:tcW w:w="1809" w:type="dxa"/>
            <w:vAlign w:val="center"/>
          </w:tcPr>
          <w:p>
            <w:pPr>
              <w:snapToGrid w:val="0"/>
              <w:spacing w:line="280" w:lineRule="exact"/>
              <w:rPr>
                <w:rFonts w:ascii="Times New Roman" w:hAnsi="Times New Roman" w:eastAsia="仿宋"/>
                <w:sz w:val="22"/>
              </w:rPr>
            </w:pPr>
            <w:r>
              <w:rPr>
                <w:rFonts w:ascii="Times New Roman" w:hAnsi="Times New Roman" w:eastAsia="仿宋"/>
                <w:sz w:val="22"/>
              </w:rPr>
              <w:t>申请停牌的事由</w:t>
            </w:r>
          </w:p>
        </w:tc>
        <w:tc>
          <w:tcPr>
            <w:tcW w:w="7673" w:type="dxa"/>
            <w:gridSpan w:val="9"/>
          </w:tcPr>
          <w:p>
            <w:pPr>
              <w:snapToGrid w:val="0"/>
              <w:spacing w:line="280" w:lineRule="exact"/>
              <w:rPr>
                <w:rFonts w:ascii="Times New Roman" w:hAnsi="Times New Roman" w:eastAsia="仿宋"/>
                <w:sz w:val="22"/>
              </w:rPr>
            </w:pPr>
            <w:r>
              <w:rPr>
                <w:rFonts w:ascii="Times New Roman" w:hAnsi="Times New Roman" w:eastAsia="仿宋"/>
                <w:sz w:val="22"/>
              </w:rPr>
              <w:t>□1.</w:t>
            </w:r>
            <w:r>
              <w:rPr>
                <w:rFonts w:hint="eastAsia" w:ascii="Times New Roman" w:hAnsi="Times New Roman" w:eastAsia="仿宋"/>
                <w:sz w:val="22"/>
              </w:rPr>
              <w:t>筹划</w:t>
            </w:r>
            <w:r>
              <w:rPr>
                <w:rFonts w:ascii="Times New Roman" w:hAnsi="Times New Roman" w:eastAsia="仿宋"/>
                <w:sz w:val="22"/>
              </w:rPr>
              <w:t>发行股份购买资产</w:t>
            </w:r>
          </w:p>
          <w:p>
            <w:pPr>
              <w:snapToGrid w:val="0"/>
              <w:spacing w:line="280" w:lineRule="exact"/>
              <w:rPr>
                <w:rFonts w:ascii="Times New Roman" w:hAnsi="Times New Roman" w:eastAsia="仿宋"/>
                <w:sz w:val="22"/>
              </w:rPr>
            </w:pPr>
            <w:r>
              <w:rPr>
                <w:rFonts w:ascii="Times New Roman" w:hAnsi="Times New Roman" w:eastAsia="仿宋"/>
                <w:sz w:val="22"/>
              </w:rPr>
              <w:t>□2.</w:t>
            </w:r>
            <w:r>
              <w:rPr>
                <w:rFonts w:hint="eastAsia" w:ascii="Times New Roman" w:hAnsi="Times New Roman" w:eastAsia="仿宋"/>
                <w:sz w:val="22"/>
              </w:rPr>
              <w:t>筹划</w:t>
            </w:r>
            <w:r>
              <w:rPr>
                <w:rFonts w:ascii="Times New Roman" w:hAnsi="Times New Roman" w:eastAsia="仿宋"/>
                <w:sz w:val="22"/>
              </w:rPr>
              <w:t>发行股份购买资产</w:t>
            </w:r>
            <w:r>
              <w:rPr>
                <w:rFonts w:hint="eastAsia" w:ascii="Times New Roman" w:hAnsi="Times New Roman" w:eastAsia="仿宋"/>
                <w:sz w:val="22"/>
              </w:rPr>
              <w:t>的相关</w:t>
            </w:r>
            <w:r>
              <w:rPr>
                <w:rFonts w:ascii="Times New Roman" w:hAnsi="Times New Roman" w:eastAsia="仿宋"/>
                <w:sz w:val="22"/>
              </w:rPr>
              <w:t>信息泄露</w:t>
            </w:r>
          </w:p>
          <w:p>
            <w:pPr>
              <w:snapToGrid w:val="0"/>
              <w:spacing w:line="280" w:lineRule="exact"/>
              <w:rPr>
                <w:rFonts w:ascii="Times New Roman" w:hAnsi="Times New Roman" w:eastAsia="仿宋"/>
                <w:sz w:val="22"/>
              </w:rPr>
            </w:pPr>
            <w:r>
              <w:rPr>
                <w:rFonts w:ascii="Times New Roman" w:hAnsi="Times New Roman" w:eastAsia="仿宋"/>
                <w:sz w:val="22"/>
              </w:rPr>
              <w:t>□3.</w:t>
            </w:r>
            <w:r>
              <w:rPr>
                <w:rFonts w:hint="eastAsia" w:ascii="Times New Roman" w:hAnsi="Times New Roman" w:eastAsia="仿宋"/>
                <w:sz w:val="22"/>
              </w:rPr>
              <w:t>对</w:t>
            </w:r>
            <w:r>
              <w:rPr>
                <w:rFonts w:ascii="Times New Roman" w:hAnsi="Times New Roman" w:eastAsia="仿宋"/>
                <w:sz w:val="22"/>
              </w:rPr>
              <w:t>发行股份购买资产</w:t>
            </w:r>
            <w:r>
              <w:rPr>
                <w:rFonts w:hint="eastAsia" w:ascii="Times New Roman" w:hAnsi="Times New Roman" w:eastAsia="仿宋"/>
                <w:sz w:val="22"/>
              </w:rPr>
              <w:t>方案</w:t>
            </w:r>
            <w:r>
              <w:rPr>
                <w:rFonts w:ascii="Times New Roman" w:hAnsi="Times New Roman" w:eastAsia="仿宋"/>
                <w:sz w:val="22"/>
              </w:rPr>
              <w:t xml:space="preserve">作出重大调整 </w:t>
            </w:r>
          </w:p>
          <w:p>
            <w:pPr>
              <w:snapToGrid w:val="0"/>
              <w:spacing w:line="280" w:lineRule="exact"/>
              <w:rPr>
                <w:rFonts w:ascii="Times New Roman" w:hAnsi="Times New Roman" w:eastAsia="仿宋"/>
                <w:sz w:val="22"/>
              </w:rPr>
            </w:pPr>
            <w:r>
              <w:rPr>
                <w:rFonts w:ascii="Times New Roman" w:hAnsi="Times New Roman" w:eastAsia="仿宋"/>
                <w:sz w:val="22"/>
              </w:rPr>
              <w:t>□4.</w:t>
            </w:r>
            <w:r>
              <w:rPr>
                <w:rFonts w:hint="eastAsia" w:ascii="Times New Roman" w:hAnsi="Times New Roman" w:eastAsia="仿宋"/>
                <w:sz w:val="22"/>
              </w:rPr>
              <w:t>并购重组委召开工作会议审核发行股份购买资产方案</w:t>
            </w:r>
          </w:p>
          <w:p>
            <w:pPr>
              <w:snapToGrid w:val="0"/>
              <w:spacing w:line="280" w:lineRule="exact"/>
              <w:rPr>
                <w:rFonts w:ascii="Times New Roman" w:hAnsi="Times New Roman" w:eastAsia="仿宋"/>
                <w:sz w:val="22"/>
              </w:rPr>
            </w:pPr>
            <w:r>
              <w:rPr>
                <w:rFonts w:ascii="Times New Roman" w:hAnsi="Times New Roman" w:eastAsia="仿宋"/>
                <w:sz w:val="22"/>
              </w:rPr>
              <w:t>□5.其他合理理由（需单独说明）</w:t>
            </w:r>
            <w:r>
              <w:rPr>
                <w:rFonts w:ascii="Times New Roman" w:hAnsi="Times New Roman" w:eastAsia="仿宋"/>
                <w:sz w:val="22"/>
                <w:u w:val="single"/>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0" w:hRule="atLeast"/>
          <w:jc w:val="center"/>
        </w:trPr>
        <w:tc>
          <w:tcPr>
            <w:tcW w:w="1809" w:type="dxa"/>
            <w:tcBorders>
              <w:bottom w:val="single" w:color="auto" w:sz="4" w:space="0"/>
            </w:tcBorders>
            <w:vAlign w:val="center"/>
          </w:tcPr>
          <w:p>
            <w:pPr>
              <w:snapToGrid w:val="0"/>
              <w:spacing w:line="280" w:lineRule="exact"/>
              <w:rPr>
                <w:rFonts w:ascii="Times New Roman" w:hAnsi="Times New Roman" w:eastAsia="仿宋"/>
                <w:sz w:val="22"/>
              </w:rPr>
            </w:pPr>
            <w:r>
              <w:rPr>
                <w:rFonts w:ascii="Times New Roman" w:hAnsi="Times New Roman" w:eastAsia="仿宋"/>
                <w:sz w:val="22"/>
              </w:rPr>
              <w:t>申请复牌的事由</w:t>
            </w:r>
          </w:p>
        </w:tc>
        <w:tc>
          <w:tcPr>
            <w:tcW w:w="7673" w:type="dxa"/>
            <w:gridSpan w:val="9"/>
            <w:tcBorders>
              <w:bottom w:val="single" w:color="auto" w:sz="4" w:space="0"/>
            </w:tcBorders>
            <w:vAlign w:val="center"/>
          </w:tcPr>
          <w:p>
            <w:pPr>
              <w:snapToGrid w:val="0"/>
              <w:spacing w:line="280" w:lineRule="exact"/>
              <w:rPr>
                <w:rFonts w:ascii="Times New Roman" w:hAnsi="Times New Roman" w:eastAsia="仿宋"/>
                <w:sz w:val="22"/>
              </w:rPr>
            </w:pPr>
            <w:r>
              <w:rPr>
                <w:rFonts w:ascii="Times New Roman" w:hAnsi="Times New Roman" w:eastAsia="仿宋"/>
                <w:sz w:val="22"/>
              </w:rPr>
              <w:t>□1.公司</w:t>
            </w:r>
            <w:r>
              <w:rPr>
                <w:rFonts w:hint="eastAsia" w:ascii="Times New Roman" w:hAnsi="Times New Roman" w:eastAsia="仿宋"/>
                <w:sz w:val="22"/>
              </w:rPr>
              <w:t>披露重组</w:t>
            </w:r>
            <w:r>
              <w:rPr>
                <w:rFonts w:ascii="Times New Roman" w:hAnsi="Times New Roman" w:eastAsia="仿宋"/>
                <w:sz w:val="22"/>
              </w:rPr>
              <w:t>预案或报告书</w:t>
            </w:r>
          </w:p>
          <w:p>
            <w:pPr>
              <w:snapToGrid w:val="0"/>
              <w:spacing w:line="280" w:lineRule="exact"/>
              <w:rPr>
                <w:rFonts w:ascii="Times New Roman" w:hAnsi="Times New Roman" w:eastAsia="仿宋"/>
                <w:sz w:val="22"/>
              </w:rPr>
            </w:pPr>
            <w:r>
              <w:rPr>
                <w:rFonts w:ascii="Times New Roman" w:hAnsi="Times New Roman" w:eastAsia="仿宋"/>
                <w:sz w:val="22"/>
              </w:rPr>
              <w:t>□2.公司决议终止发行股份购买资产事项</w:t>
            </w:r>
          </w:p>
          <w:p>
            <w:pPr>
              <w:snapToGrid w:val="0"/>
              <w:spacing w:line="280" w:lineRule="exact"/>
              <w:rPr>
                <w:rFonts w:ascii="Times New Roman" w:hAnsi="Times New Roman" w:eastAsia="仿宋"/>
                <w:sz w:val="22"/>
              </w:rPr>
            </w:pPr>
            <w:r>
              <w:rPr>
                <w:rFonts w:ascii="Times New Roman" w:hAnsi="Times New Roman" w:eastAsia="仿宋"/>
                <w:sz w:val="22"/>
              </w:rPr>
              <w:t>□3.</w:t>
            </w:r>
            <w:r>
              <w:rPr>
                <w:rFonts w:hint="eastAsia" w:ascii="Times New Roman" w:hAnsi="Times New Roman" w:eastAsia="仿宋"/>
                <w:sz w:val="22"/>
              </w:rPr>
              <w:t>公司或其现任董事、高级管理人员因涉嫌违法违规被司法机关立案侦查或者被中国证监会立案调查，</w:t>
            </w:r>
            <w:r>
              <w:rPr>
                <w:rFonts w:ascii="Times New Roman" w:hAnsi="Times New Roman" w:eastAsia="仿宋"/>
                <w:sz w:val="22"/>
              </w:rPr>
              <w:t>导致</w:t>
            </w:r>
            <w:r>
              <w:rPr>
                <w:rFonts w:hint="eastAsia" w:ascii="Times New Roman" w:hAnsi="Times New Roman" w:eastAsia="仿宋"/>
                <w:sz w:val="22"/>
              </w:rPr>
              <w:t>不能继续推进相关</w:t>
            </w:r>
            <w:r>
              <w:rPr>
                <w:rFonts w:ascii="Times New Roman" w:hAnsi="Times New Roman" w:eastAsia="仿宋"/>
                <w:sz w:val="22"/>
              </w:rPr>
              <w:t>事项</w:t>
            </w:r>
          </w:p>
          <w:p>
            <w:pPr>
              <w:snapToGrid w:val="0"/>
              <w:spacing w:line="280" w:lineRule="exact"/>
              <w:rPr>
                <w:rFonts w:ascii="Times New Roman" w:hAnsi="Times New Roman" w:eastAsia="仿宋"/>
                <w:sz w:val="22"/>
              </w:rPr>
            </w:pPr>
            <w:r>
              <w:rPr>
                <w:rFonts w:ascii="Times New Roman" w:hAnsi="Times New Roman" w:eastAsia="仿宋"/>
                <w:sz w:val="22"/>
              </w:rPr>
              <w:t>□4.其他合理理由（需单独说明）</w:t>
            </w:r>
            <w:r>
              <w:rPr>
                <w:rFonts w:ascii="Times New Roman" w:hAnsi="Times New Roman" w:eastAsia="仿宋"/>
                <w:sz w:val="22"/>
                <w:u w:val="single"/>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0" w:hRule="atLeast"/>
          <w:jc w:val="center"/>
        </w:trPr>
        <w:tc>
          <w:tcPr>
            <w:tcW w:w="1809" w:type="dxa"/>
            <w:tcBorders>
              <w:bottom w:val="single" w:color="auto" w:sz="4" w:space="0"/>
            </w:tcBorders>
            <w:vAlign w:val="center"/>
          </w:tcPr>
          <w:p>
            <w:pPr>
              <w:snapToGrid w:val="0"/>
              <w:spacing w:line="280" w:lineRule="exact"/>
              <w:rPr>
                <w:rFonts w:ascii="Times New Roman" w:hAnsi="Times New Roman" w:eastAsia="仿宋"/>
                <w:sz w:val="22"/>
              </w:rPr>
            </w:pPr>
            <w:r>
              <w:rPr>
                <w:rFonts w:ascii="Times New Roman" w:hAnsi="Times New Roman" w:eastAsia="仿宋"/>
                <w:sz w:val="22"/>
              </w:rPr>
              <w:t>交易类型</w:t>
            </w:r>
          </w:p>
        </w:tc>
        <w:tc>
          <w:tcPr>
            <w:tcW w:w="7673" w:type="dxa"/>
            <w:gridSpan w:val="9"/>
            <w:tcBorders>
              <w:bottom w:val="single" w:color="auto" w:sz="4" w:space="0"/>
            </w:tcBorders>
            <w:vAlign w:val="center"/>
          </w:tcPr>
          <w:p>
            <w:pPr>
              <w:snapToGrid w:val="0"/>
              <w:spacing w:line="280" w:lineRule="exact"/>
              <w:rPr>
                <w:rFonts w:ascii="Times New Roman" w:hAnsi="Times New Roman" w:eastAsia="仿宋"/>
                <w:sz w:val="22"/>
              </w:rPr>
            </w:pPr>
            <w:r>
              <w:rPr>
                <w:rFonts w:ascii="Times New Roman" w:hAnsi="Times New Roman" w:eastAsia="仿宋"/>
                <w:sz w:val="22"/>
              </w:rPr>
              <w:t>□1.现金购买、出售资产或资产置换</w:t>
            </w:r>
          </w:p>
          <w:p>
            <w:pPr>
              <w:snapToGrid w:val="0"/>
              <w:spacing w:line="280" w:lineRule="exact"/>
              <w:rPr>
                <w:rFonts w:ascii="Times New Roman" w:hAnsi="Times New Roman" w:eastAsia="仿宋"/>
                <w:sz w:val="22"/>
              </w:rPr>
            </w:pPr>
            <w:r>
              <w:rPr>
                <w:rFonts w:ascii="Times New Roman" w:hAnsi="Times New Roman" w:eastAsia="仿宋"/>
                <w:sz w:val="22"/>
              </w:rPr>
              <w:t>□2.发行普通股、优先股、</w:t>
            </w:r>
            <w:r>
              <w:rPr>
                <w:rFonts w:hint="eastAsia" w:ascii="Times New Roman" w:hAnsi="Times New Roman" w:eastAsia="仿宋"/>
                <w:sz w:val="22"/>
              </w:rPr>
              <w:t>可转换</w:t>
            </w:r>
            <w:r>
              <w:rPr>
                <w:rFonts w:ascii="Times New Roman" w:hAnsi="Times New Roman" w:eastAsia="仿宋"/>
                <w:sz w:val="22"/>
              </w:rPr>
              <w:t>债券或其他证券购买资产</w:t>
            </w:r>
          </w:p>
          <w:p>
            <w:pPr>
              <w:snapToGrid w:val="0"/>
              <w:spacing w:line="280" w:lineRule="exact"/>
              <w:rPr>
                <w:rFonts w:ascii="Times New Roman" w:hAnsi="Times New Roman" w:eastAsia="仿宋"/>
                <w:sz w:val="22"/>
              </w:rPr>
            </w:pPr>
            <w:r>
              <w:rPr>
                <w:rFonts w:ascii="Times New Roman" w:hAnsi="Times New Roman" w:eastAsia="仿宋"/>
                <w:sz w:val="22"/>
              </w:rPr>
              <w:t>□3.其他类型（需单独说明）</w:t>
            </w:r>
            <w:r>
              <w:rPr>
                <w:rFonts w:ascii="Times New Roman" w:hAnsi="Times New Roman" w:eastAsia="仿宋"/>
                <w:sz w:val="22"/>
                <w:u w:val="single"/>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18" w:hRule="atLeast"/>
          <w:jc w:val="center"/>
        </w:trPr>
        <w:tc>
          <w:tcPr>
            <w:tcW w:w="1809" w:type="dxa"/>
            <w:tcBorders>
              <w:bottom w:val="single" w:color="auto" w:sz="4" w:space="0"/>
            </w:tcBorders>
            <w:vAlign w:val="center"/>
          </w:tcPr>
          <w:p>
            <w:pPr>
              <w:snapToGrid w:val="0"/>
              <w:spacing w:line="280" w:lineRule="exact"/>
              <w:rPr>
                <w:rFonts w:ascii="Times New Roman" w:hAnsi="Times New Roman" w:eastAsia="仿宋"/>
                <w:sz w:val="22"/>
              </w:rPr>
            </w:pPr>
            <w:r>
              <w:rPr>
                <w:rFonts w:ascii="Times New Roman" w:hAnsi="Times New Roman" w:eastAsia="仿宋"/>
                <w:sz w:val="22"/>
              </w:rPr>
              <w:t>交易对手方类型</w:t>
            </w:r>
          </w:p>
        </w:tc>
        <w:tc>
          <w:tcPr>
            <w:tcW w:w="7673" w:type="dxa"/>
            <w:gridSpan w:val="9"/>
            <w:tcBorders>
              <w:bottom w:val="single" w:color="auto" w:sz="4" w:space="0"/>
            </w:tcBorders>
            <w:vAlign w:val="center"/>
          </w:tcPr>
          <w:p>
            <w:pPr>
              <w:snapToGrid w:val="0"/>
              <w:spacing w:line="280" w:lineRule="exact"/>
              <w:rPr>
                <w:rFonts w:ascii="Times New Roman" w:hAnsi="Times New Roman" w:eastAsia="仿宋"/>
                <w:sz w:val="22"/>
              </w:rPr>
            </w:pPr>
            <w:r>
              <w:rPr>
                <w:rFonts w:ascii="Times New Roman" w:hAnsi="Times New Roman" w:eastAsia="仿宋"/>
                <w:sz w:val="22"/>
              </w:rPr>
              <w:t>□1公司控股股东、实际控制人</w:t>
            </w:r>
          </w:p>
          <w:p>
            <w:pPr>
              <w:snapToGrid w:val="0"/>
              <w:spacing w:line="280" w:lineRule="exact"/>
              <w:rPr>
                <w:rFonts w:ascii="Times New Roman" w:hAnsi="Times New Roman" w:eastAsia="仿宋"/>
                <w:sz w:val="22"/>
              </w:rPr>
            </w:pPr>
            <w:r>
              <w:rPr>
                <w:rFonts w:ascii="Times New Roman" w:hAnsi="Times New Roman" w:eastAsia="仿宋"/>
                <w:sz w:val="22"/>
              </w:rPr>
              <w:t>□2.（潜在）收购人</w:t>
            </w:r>
          </w:p>
          <w:p>
            <w:pPr>
              <w:snapToGrid w:val="0"/>
              <w:spacing w:line="280" w:lineRule="exact"/>
              <w:rPr>
                <w:rFonts w:ascii="Times New Roman" w:hAnsi="Times New Roman" w:eastAsia="仿宋"/>
                <w:sz w:val="22"/>
              </w:rPr>
            </w:pPr>
            <w:r>
              <w:rPr>
                <w:rFonts w:ascii="Times New Roman" w:hAnsi="Times New Roman" w:eastAsia="仿宋"/>
                <w:sz w:val="22"/>
              </w:rPr>
              <w:t>□3.其他关联方</w:t>
            </w:r>
          </w:p>
          <w:p>
            <w:pPr>
              <w:snapToGrid w:val="0"/>
              <w:spacing w:line="280" w:lineRule="exact"/>
              <w:rPr>
                <w:rFonts w:ascii="Times New Roman" w:hAnsi="Times New Roman" w:eastAsia="仿宋"/>
                <w:sz w:val="22"/>
              </w:rPr>
            </w:pPr>
            <w:r>
              <w:rPr>
                <w:rFonts w:ascii="Times New Roman" w:hAnsi="Times New Roman" w:eastAsia="仿宋"/>
                <w:sz w:val="22"/>
              </w:rPr>
              <w:t>□4.非关联第三方</w:t>
            </w:r>
          </w:p>
          <w:p>
            <w:pPr>
              <w:snapToGrid w:val="0"/>
              <w:spacing w:line="280" w:lineRule="exact"/>
              <w:rPr>
                <w:rFonts w:ascii="Times New Roman" w:hAnsi="Times New Roman" w:eastAsia="仿宋"/>
                <w:sz w:val="22"/>
              </w:rPr>
            </w:pPr>
            <w:r>
              <w:rPr>
                <w:rFonts w:ascii="Times New Roman" w:hAnsi="Times New Roman" w:eastAsia="仿宋"/>
                <w:sz w:val="22"/>
              </w:rPr>
              <w:t>□5.其他（需单独说明）</w:t>
            </w:r>
            <w:r>
              <w:rPr>
                <w:rFonts w:ascii="Times New Roman" w:hAnsi="Times New Roman" w:eastAsia="仿宋"/>
                <w:sz w:val="22"/>
                <w:u w:val="single"/>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96" w:hRule="atLeast"/>
          <w:jc w:val="center"/>
        </w:trPr>
        <w:tc>
          <w:tcPr>
            <w:tcW w:w="1809" w:type="dxa"/>
            <w:tcBorders>
              <w:bottom w:val="single" w:color="auto" w:sz="4" w:space="0"/>
            </w:tcBorders>
            <w:vAlign w:val="center"/>
          </w:tcPr>
          <w:p>
            <w:pPr>
              <w:snapToGrid w:val="0"/>
              <w:spacing w:line="280" w:lineRule="exact"/>
              <w:rPr>
                <w:rFonts w:ascii="Times New Roman" w:hAnsi="Times New Roman" w:eastAsia="仿宋"/>
                <w:sz w:val="22"/>
              </w:rPr>
            </w:pPr>
            <w:r>
              <w:rPr>
                <w:rFonts w:ascii="Times New Roman" w:hAnsi="Times New Roman" w:eastAsia="仿宋"/>
                <w:sz w:val="22"/>
              </w:rPr>
              <w:t>是否涉及控制权变动</w:t>
            </w:r>
          </w:p>
        </w:tc>
        <w:tc>
          <w:tcPr>
            <w:tcW w:w="7673" w:type="dxa"/>
            <w:gridSpan w:val="9"/>
            <w:tcBorders>
              <w:bottom w:val="single" w:color="auto" w:sz="4" w:space="0"/>
            </w:tcBorders>
            <w:vAlign w:val="center"/>
          </w:tcPr>
          <w:p>
            <w:pPr>
              <w:snapToGrid w:val="0"/>
              <w:spacing w:line="280" w:lineRule="exact"/>
              <w:rPr>
                <w:rFonts w:ascii="Times New Roman" w:hAnsi="Times New Roman" w:eastAsia="仿宋"/>
                <w:sz w:val="22"/>
              </w:rPr>
            </w:pPr>
            <w:r>
              <w:rPr>
                <w:rFonts w:ascii="Times New Roman" w:hAnsi="Times New Roman" w:eastAsia="仿宋"/>
                <w:sz w:val="22"/>
              </w:rPr>
              <w:t>□1.是</w:t>
            </w:r>
          </w:p>
          <w:p>
            <w:pPr>
              <w:snapToGrid w:val="0"/>
              <w:spacing w:line="280" w:lineRule="exact"/>
              <w:rPr>
                <w:rFonts w:ascii="Times New Roman" w:hAnsi="Times New Roman" w:eastAsia="仿宋"/>
                <w:sz w:val="22"/>
              </w:rPr>
            </w:pPr>
            <w:r>
              <w:rPr>
                <w:rFonts w:ascii="Times New Roman" w:hAnsi="Times New Roman" w:eastAsia="仿宋"/>
                <w:sz w:val="22"/>
              </w:rPr>
              <w:t>□2.否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96" w:hRule="atLeast"/>
          <w:jc w:val="center"/>
        </w:trPr>
        <w:tc>
          <w:tcPr>
            <w:tcW w:w="1809" w:type="dxa"/>
            <w:tcBorders>
              <w:bottom w:val="single" w:color="auto" w:sz="4" w:space="0"/>
            </w:tcBorders>
            <w:vAlign w:val="center"/>
          </w:tcPr>
          <w:p>
            <w:pPr>
              <w:snapToGrid w:val="0"/>
              <w:spacing w:line="280" w:lineRule="exact"/>
              <w:rPr>
                <w:rFonts w:ascii="Times New Roman" w:hAnsi="Times New Roman" w:eastAsia="仿宋"/>
                <w:sz w:val="22"/>
              </w:rPr>
            </w:pPr>
            <w:r>
              <w:rPr>
                <w:rFonts w:ascii="Times New Roman" w:hAnsi="Times New Roman" w:eastAsia="仿宋"/>
                <w:sz w:val="22"/>
              </w:rPr>
              <w:t>支付方式</w:t>
            </w:r>
          </w:p>
        </w:tc>
        <w:tc>
          <w:tcPr>
            <w:tcW w:w="7673" w:type="dxa"/>
            <w:gridSpan w:val="9"/>
            <w:tcBorders>
              <w:bottom w:val="single" w:color="auto" w:sz="4" w:space="0"/>
            </w:tcBorders>
            <w:vAlign w:val="center"/>
          </w:tcPr>
          <w:p>
            <w:pPr>
              <w:snapToGrid w:val="0"/>
              <w:spacing w:line="280" w:lineRule="exact"/>
              <w:rPr>
                <w:rFonts w:ascii="Times New Roman" w:hAnsi="Times New Roman" w:eastAsia="仿宋"/>
                <w:sz w:val="22"/>
              </w:rPr>
            </w:pPr>
            <w:r>
              <w:rPr>
                <w:rFonts w:ascii="Times New Roman" w:hAnsi="Times New Roman" w:eastAsia="仿宋"/>
                <w:sz w:val="22"/>
              </w:rPr>
              <w:t>□1.现金</w:t>
            </w:r>
          </w:p>
          <w:p>
            <w:pPr>
              <w:snapToGrid w:val="0"/>
              <w:spacing w:line="280" w:lineRule="exact"/>
              <w:rPr>
                <w:rFonts w:ascii="Times New Roman" w:hAnsi="Times New Roman" w:eastAsia="仿宋"/>
                <w:sz w:val="22"/>
              </w:rPr>
            </w:pPr>
            <w:r>
              <w:rPr>
                <w:rFonts w:ascii="Times New Roman" w:hAnsi="Times New Roman" w:eastAsia="仿宋"/>
                <w:sz w:val="22"/>
              </w:rPr>
              <w:t>□2.本公司发行的证券（包括但不限于普通股、优先股、</w:t>
            </w:r>
            <w:r>
              <w:rPr>
                <w:rFonts w:hint="eastAsia" w:ascii="Times New Roman" w:hAnsi="Times New Roman" w:eastAsia="仿宋"/>
                <w:sz w:val="22"/>
              </w:rPr>
              <w:t>可转换</w:t>
            </w:r>
            <w:r>
              <w:rPr>
                <w:rFonts w:ascii="Times New Roman" w:hAnsi="Times New Roman" w:eastAsia="仿宋"/>
                <w:sz w:val="22"/>
              </w:rPr>
              <w:t>债券等）</w:t>
            </w:r>
          </w:p>
          <w:p>
            <w:pPr>
              <w:snapToGrid w:val="0"/>
              <w:spacing w:line="280" w:lineRule="exact"/>
              <w:rPr>
                <w:rFonts w:ascii="Times New Roman" w:hAnsi="Times New Roman" w:eastAsia="仿宋"/>
                <w:sz w:val="22"/>
              </w:rPr>
            </w:pPr>
            <w:r>
              <w:rPr>
                <w:rFonts w:ascii="Times New Roman" w:hAnsi="Times New Roman" w:eastAsia="仿宋"/>
                <w:sz w:val="22"/>
              </w:rPr>
              <w:t>□3.其他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44" w:hRule="atLeast"/>
          <w:jc w:val="center"/>
        </w:trPr>
        <w:tc>
          <w:tcPr>
            <w:tcW w:w="1809" w:type="dxa"/>
            <w:tcBorders>
              <w:bottom w:val="single" w:color="auto" w:sz="4" w:space="0"/>
            </w:tcBorders>
            <w:vAlign w:val="center"/>
          </w:tcPr>
          <w:p>
            <w:pPr>
              <w:snapToGrid w:val="0"/>
              <w:spacing w:line="280" w:lineRule="exact"/>
              <w:rPr>
                <w:rFonts w:ascii="Times New Roman" w:hAnsi="Times New Roman" w:eastAsia="仿宋"/>
                <w:sz w:val="22"/>
              </w:rPr>
            </w:pPr>
            <w:r>
              <w:rPr>
                <w:rFonts w:ascii="Times New Roman" w:hAnsi="Times New Roman" w:eastAsia="仿宋"/>
                <w:sz w:val="22"/>
              </w:rPr>
              <w:t>停牌生效日期</w:t>
            </w:r>
          </w:p>
        </w:tc>
        <w:tc>
          <w:tcPr>
            <w:tcW w:w="1347" w:type="dxa"/>
            <w:tcBorders>
              <w:bottom w:val="single" w:color="auto" w:sz="4" w:space="0"/>
            </w:tcBorders>
            <w:vAlign w:val="center"/>
          </w:tcPr>
          <w:p>
            <w:pPr>
              <w:snapToGrid w:val="0"/>
              <w:spacing w:line="280" w:lineRule="exact"/>
              <w:rPr>
                <w:rFonts w:ascii="Times New Roman" w:hAnsi="Times New Roman" w:eastAsia="仿宋"/>
                <w:sz w:val="22"/>
              </w:rPr>
            </w:pPr>
          </w:p>
        </w:tc>
        <w:tc>
          <w:tcPr>
            <w:tcW w:w="1659" w:type="dxa"/>
            <w:gridSpan w:val="2"/>
            <w:tcBorders>
              <w:bottom w:val="single" w:color="auto" w:sz="4" w:space="0"/>
            </w:tcBorders>
            <w:vAlign w:val="center"/>
          </w:tcPr>
          <w:p>
            <w:pPr>
              <w:snapToGrid w:val="0"/>
              <w:spacing w:line="280" w:lineRule="exact"/>
              <w:rPr>
                <w:rFonts w:ascii="Times New Roman" w:hAnsi="Times New Roman" w:eastAsia="仿宋"/>
                <w:sz w:val="22"/>
              </w:rPr>
            </w:pPr>
            <w:r>
              <w:rPr>
                <w:rFonts w:ascii="Times New Roman" w:hAnsi="Times New Roman" w:eastAsia="仿宋"/>
                <w:sz w:val="22"/>
              </w:rPr>
              <w:t>预计复牌日期</w:t>
            </w:r>
            <w:r>
              <w:rPr>
                <w:rFonts w:hint="eastAsia" w:ascii="Times New Roman" w:hAnsi="Times New Roman" w:eastAsia="仿宋"/>
                <w:sz w:val="22"/>
              </w:rPr>
              <w:t>（</w:t>
            </w:r>
            <w:r>
              <w:rPr>
                <w:rFonts w:ascii="Times New Roman" w:hAnsi="Times New Roman" w:eastAsia="仿宋"/>
                <w:sz w:val="22"/>
              </w:rPr>
              <w:t>非停牌</w:t>
            </w:r>
            <w:r>
              <w:rPr>
                <w:rFonts w:hint="eastAsia" w:ascii="Times New Roman" w:hAnsi="Times New Roman" w:eastAsia="仿宋"/>
                <w:sz w:val="22"/>
              </w:rPr>
              <w:t>一天时</w:t>
            </w:r>
            <w:r>
              <w:rPr>
                <w:rFonts w:ascii="Times New Roman" w:hAnsi="Times New Roman" w:eastAsia="仿宋"/>
                <w:sz w:val="22"/>
              </w:rPr>
              <w:t>填写）</w:t>
            </w:r>
          </w:p>
        </w:tc>
        <w:tc>
          <w:tcPr>
            <w:tcW w:w="1559" w:type="dxa"/>
            <w:gridSpan w:val="3"/>
            <w:tcBorders>
              <w:bottom w:val="single" w:color="auto" w:sz="4" w:space="0"/>
            </w:tcBorders>
            <w:vAlign w:val="center"/>
          </w:tcPr>
          <w:p>
            <w:pPr>
              <w:snapToGrid w:val="0"/>
              <w:spacing w:line="280" w:lineRule="exact"/>
              <w:rPr>
                <w:rFonts w:ascii="Times New Roman" w:hAnsi="Times New Roman" w:eastAsia="仿宋"/>
                <w:sz w:val="22"/>
              </w:rPr>
            </w:pPr>
          </w:p>
        </w:tc>
        <w:tc>
          <w:tcPr>
            <w:tcW w:w="1681" w:type="dxa"/>
            <w:gridSpan w:val="2"/>
            <w:tcBorders>
              <w:bottom w:val="single" w:color="auto" w:sz="4" w:space="0"/>
            </w:tcBorders>
          </w:tcPr>
          <w:p>
            <w:pPr>
              <w:snapToGrid w:val="0"/>
              <w:spacing w:line="280" w:lineRule="exact"/>
              <w:rPr>
                <w:rFonts w:ascii="Times New Roman" w:hAnsi="Times New Roman" w:eastAsia="仿宋"/>
                <w:sz w:val="22"/>
              </w:rPr>
            </w:pPr>
            <w:r>
              <w:rPr>
                <w:rFonts w:ascii="Times New Roman" w:hAnsi="Times New Roman" w:eastAsia="仿宋"/>
                <w:sz w:val="22"/>
              </w:rPr>
              <w:t>复牌生效日期（申请复牌或停牌一天填写）</w:t>
            </w:r>
          </w:p>
        </w:tc>
        <w:tc>
          <w:tcPr>
            <w:tcW w:w="1427" w:type="dxa"/>
            <w:tcBorders>
              <w:bottom w:val="single" w:color="auto" w:sz="4" w:space="0"/>
            </w:tcBorders>
          </w:tcPr>
          <w:p>
            <w:pPr>
              <w:snapToGrid w:val="0"/>
              <w:spacing w:line="280" w:lineRule="exact"/>
              <w:rPr>
                <w:rFonts w:ascii="Times New Roman" w:hAnsi="Times New Roman" w:eastAsia="仿宋"/>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160" w:hRule="atLeast"/>
          <w:jc w:val="center"/>
        </w:trPr>
        <w:tc>
          <w:tcPr>
            <w:tcW w:w="9482" w:type="dxa"/>
            <w:gridSpan w:val="10"/>
          </w:tcPr>
          <w:p>
            <w:pPr>
              <w:snapToGrid w:val="0"/>
              <w:spacing w:line="280" w:lineRule="exact"/>
              <w:rPr>
                <w:rFonts w:ascii="Times New Roman" w:hAnsi="Times New Roman" w:eastAsia="仿宋"/>
                <w:sz w:val="22"/>
              </w:rPr>
            </w:pPr>
          </w:p>
          <w:p>
            <w:pPr>
              <w:snapToGrid w:val="0"/>
              <w:spacing w:line="280" w:lineRule="exact"/>
              <w:rPr>
                <w:rFonts w:ascii="Times New Roman" w:hAnsi="Times New Roman" w:eastAsia="仿宋"/>
                <w:sz w:val="22"/>
              </w:rPr>
            </w:pPr>
            <w:r>
              <w:rPr>
                <w:rFonts w:ascii="Times New Roman" w:hAnsi="Times New Roman" w:eastAsia="仿宋"/>
                <w:sz w:val="22"/>
              </w:rPr>
              <w:t>申请人：XXX股份有限公司（加盖公</w:t>
            </w:r>
            <w:r>
              <w:rPr>
                <w:rFonts w:hint="eastAsia" w:ascii="Times New Roman" w:hAnsi="Times New Roman" w:eastAsia="仿宋"/>
                <w:sz w:val="22"/>
              </w:rPr>
              <w:t>章或董事会</w:t>
            </w:r>
            <w:r>
              <w:rPr>
                <w:rFonts w:ascii="Times New Roman" w:hAnsi="Times New Roman" w:eastAsia="仿宋"/>
                <w:sz w:val="22"/>
              </w:rPr>
              <w:t xml:space="preserve">章）             </w:t>
            </w:r>
          </w:p>
          <w:p>
            <w:pPr>
              <w:snapToGrid w:val="0"/>
              <w:spacing w:line="280" w:lineRule="exact"/>
              <w:rPr>
                <w:rFonts w:ascii="Times New Roman" w:hAnsi="Times New Roman" w:eastAsia="仿宋"/>
                <w:sz w:val="22"/>
              </w:rPr>
            </w:pPr>
          </w:p>
          <w:p>
            <w:pPr>
              <w:snapToGrid w:val="0"/>
              <w:spacing w:line="280" w:lineRule="exact"/>
              <w:rPr>
                <w:rFonts w:ascii="Times New Roman" w:hAnsi="Times New Roman" w:eastAsia="仿宋"/>
                <w:sz w:val="22"/>
              </w:rPr>
            </w:pPr>
          </w:p>
          <w:p>
            <w:pPr>
              <w:snapToGrid w:val="0"/>
              <w:spacing w:line="280" w:lineRule="exact"/>
              <w:rPr>
                <w:rFonts w:ascii="Times New Roman" w:hAnsi="Times New Roman" w:eastAsia="仿宋"/>
                <w:sz w:val="22"/>
              </w:rPr>
            </w:pPr>
            <w:r>
              <w:rPr>
                <w:rFonts w:hint="eastAsia" w:ascii="Times New Roman" w:hAnsi="Times New Roman" w:eastAsia="仿宋"/>
                <w:sz w:val="22"/>
              </w:rPr>
              <w:t>董事会秘书</w:t>
            </w:r>
            <w:r>
              <w:rPr>
                <w:rFonts w:ascii="Times New Roman" w:hAnsi="Times New Roman" w:eastAsia="仿宋"/>
                <w:sz w:val="22"/>
              </w:rPr>
              <w:t>签名：</w:t>
            </w:r>
            <w:r>
              <w:rPr>
                <w:rFonts w:hint="eastAsia" w:ascii="Times New Roman" w:hAnsi="Times New Roman" w:eastAsia="仿宋"/>
                <w:sz w:val="22"/>
              </w:rPr>
              <w:t xml:space="preserve">        </w:t>
            </w:r>
            <w:r>
              <w:rPr>
                <w:rFonts w:ascii="Times New Roman" w:hAnsi="Times New Roman" w:eastAsia="仿宋"/>
                <w:sz w:val="22"/>
              </w:rPr>
              <w:t xml:space="preserve">                             联系电话：         </w:t>
            </w:r>
          </w:p>
          <w:p>
            <w:pPr>
              <w:snapToGrid w:val="0"/>
              <w:spacing w:line="280" w:lineRule="exact"/>
              <w:rPr>
                <w:rFonts w:ascii="Times New Roman" w:hAnsi="Times New Roman" w:eastAsia="仿宋"/>
                <w:sz w:val="22"/>
              </w:rPr>
            </w:pPr>
            <w:r>
              <w:rPr>
                <w:rFonts w:ascii="Times New Roman" w:hAnsi="Times New Roman" w:eastAsia="仿宋"/>
                <w:sz w:val="22"/>
              </w:rPr>
              <w:t xml:space="preserve">                           </w:t>
            </w:r>
          </w:p>
          <w:p>
            <w:pPr>
              <w:snapToGrid w:val="0"/>
              <w:spacing w:line="280" w:lineRule="exact"/>
              <w:rPr>
                <w:rFonts w:ascii="Times New Roman" w:hAnsi="Times New Roman" w:eastAsia="仿宋"/>
                <w:sz w:val="22"/>
              </w:rPr>
            </w:pPr>
            <w:r>
              <w:rPr>
                <w:rFonts w:ascii="Times New Roman" w:hAnsi="Times New Roman" w:eastAsia="仿宋"/>
                <w:sz w:val="22"/>
              </w:rPr>
              <w:t xml:space="preserve">           年     月     日             </w:t>
            </w:r>
          </w:p>
        </w:tc>
      </w:tr>
    </w:tbl>
    <w:p>
      <w:pPr>
        <w:rPr>
          <w:rFonts w:ascii="Times New Roman" w:hAnsi="Times New Roman" w:eastAsia="方正仿宋简体"/>
          <w:sz w:val="28"/>
          <w:szCs w:val="28"/>
        </w:rPr>
        <w:sectPr>
          <w:pgSz w:w="11906" w:h="16838"/>
          <w:pgMar w:top="2098" w:right="1531" w:bottom="1985" w:left="1531" w:header="851" w:footer="992" w:gutter="0"/>
          <w:pgNumType w:fmt="numberInDash"/>
          <w:cols w:space="720" w:num="1"/>
          <w:docGrid w:type="lines" w:linePitch="312" w:charSpace="0"/>
        </w:sectPr>
      </w:pPr>
    </w:p>
    <w:p>
      <w:pPr>
        <w:spacing w:line="600" w:lineRule="exact"/>
        <w:rPr>
          <w:rFonts w:ascii="Times New Roman" w:hAnsi="Times New Roman" w:eastAsia="黑体"/>
          <w:sz w:val="32"/>
          <w:szCs w:val="28"/>
        </w:rPr>
      </w:pPr>
      <w:r>
        <w:rPr>
          <w:rFonts w:ascii="Times New Roman" w:hAnsi="Times New Roman" w:eastAsia="黑体"/>
          <w:sz w:val="32"/>
          <w:szCs w:val="28"/>
        </w:rPr>
        <w:t>附表3</w:t>
      </w:r>
    </w:p>
    <w:p>
      <w:pPr>
        <w:ind w:firstLine="210" w:firstLineChars="50"/>
        <w:jc w:val="center"/>
        <w:outlineLvl w:val="1"/>
        <w:rPr>
          <w:rFonts w:ascii="Times New Roman" w:hAnsi="Times New Roman" w:eastAsia="方正大标宋简体"/>
          <w:sz w:val="42"/>
          <w:szCs w:val="42"/>
        </w:rPr>
      </w:pPr>
      <w:r>
        <w:rPr>
          <w:rFonts w:ascii="Times New Roman" w:hAnsi="Times New Roman" w:eastAsia="方正大标宋简体"/>
          <w:sz w:val="42"/>
          <w:szCs w:val="42"/>
        </w:rPr>
        <w:t>变更停牌事项申请表</w:t>
      </w:r>
    </w:p>
    <w:tbl>
      <w:tblPr>
        <w:tblStyle w:val="8"/>
        <w:tblW w:w="948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98"/>
        <w:gridCol w:w="2107"/>
        <w:gridCol w:w="303"/>
        <w:gridCol w:w="1062"/>
        <w:gridCol w:w="1134"/>
        <w:gridCol w:w="454"/>
        <w:gridCol w:w="963"/>
        <w:gridCol w:w="18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46" w:hRule="atLeast"/>
          <w:jc w:val="center"/>
        </w:trPr>
        <w:tc>
          <w:tcPr>
            <w:tcW w:w="1598" w:type="dxa"/>
          </w:tcPr>
          <w:p>
            <w:pPr>
              <w:widowControl/>
              <w:spacing w:line="320" w:lineRule="exact"/>
              <w:rPr>
                <w:rFonts w:ascii="Times New Roman" w:hAnsi="Times New Roman" w:eastAsia="方正仿宋简体"/>
                <w:sz w:val="22"/>
              </w:rPr>
            </w:pPr>
            <w:r>
              <w:rPr>
                <w:rFonts w:ascii="Times New Roman" w:hAnsi="Times New Roman" w:eastAsia="方正仿宋简体"/>
                <w:sz w:val="22"/>
              </w:rPr>
              <w:t>公司名称</w:t>
            </w:r>
          </w:p>
        </w:tc>
        <w:tc>
          <w:tcPr>
            <w:tcW w:w="2107" w:type="dxa"/>
          </w:tcPr>
          <w:p>
            <w:pPr>
              <w:widowControl/>
              <w:spacing w:line="320" w:lineRule="exact"/>
              <w:ind w:firstLine="400"/>
              <w:rPr>
                <w:rFonts w:ascii="Times New Roman" w:hAnsi="Times New Roman" w:eastAsia="方正仿宋简体"/>
                <w:sz w:val="22"/>
              </w:rPr>
            </w:pPr>
          </w:p>
        </w:tc>
        <w:tc>
          <w:tcPr>
            <w:tcW w:w="1365" w:type="dxa"/>
            <w:gridSpan w:val="2"/>
          </w:tcPr>
          <w:p>
            <w:pPr>
              <w:widowControl/>
              <w:spacing w:line="320" w:lineRule="exact"/>
              <w:rPr>
                <w:rFonts w:ascii="Times New Roman" w:hAnsi="Times New Roman" w:eastAsia="方正仿宋简体"/>
                <w:sz w:val="22"/>
              </w:rPr>
            </w:pPr>
            <w:r>
              <w:rPr>
                <w:rFonts w:ascii="Times New Roman" w:hAnsi="Times New Roman" w:eastAsia="方正仿宋简体"/>
                <w:sz w:val="22"/>
              </w:rPr>
              <w:t>证券简称</w:t>
            </w:r>
          </w:p>
        </w:tc>
        <w:tc>
          <w:tcPr>
            <w:tcW w:w="1134" w:type="dxa"/>
          </w:tcPr>
          <w:p>
            <w:pPr>
              <w:widowControl/>
              <w:spacing w:line="320" w:lineRule="exact"/>
              <w:ind w:firstLine="400"/>
              <w:rPr>
                <w:rFonts w:ascii="Times New Roman" w:hAnsi="Times New Roman" w:eastAsia="方正仿宋简体"/>
                <w:sz w:val="22"/>
              </w:rPr>
            </w:pPr>
          </w:p>
        </w:tc>
        <w:tc>
          <w:tcPr>
            <w:tcW w:w="1417" w:type="dxa"/>
            <w:gridSpan w:val="2"/>
          </w:tcPr>
          <w:p>
            <w:pPr>
              <w:widowControl/>
              <w:spacing w:line="320" w:lineRule="exact"/>
              <w:rPr>
                <w:rFonts w:ascii="Times New Roman" w:hAnsi="Times New Roman" w:eastAsia="方正仿宋简体"/>
                <w:sz w:val="22"/>
              </w:rPr>
            </w:pPr>
            <w:r>
              <w:rPr>
                <w:rFonts w:ascii="Times New Roman" w:hAnsi="Times New Roman" w:eastAsia="方正仿宋简体"/>
                <w:sz w:val="22"/>
              </w:rPr>
              <w:t>证券代码</w:t>
            </w:r>
          </w:p>
        </w:tc>
        <w:tc>
          <w:tcPr>
            <w:tcW w:w="1866" w:type="dxa"/>
          </w:tcPr>
          <w:p>
            <w:pPr>
              <w:widowControl/>
              <w:spacing w:line="320" w:lineRule="exact"/>
              <w:ind w:firstLine="400"/>
              <w:rPr>
                <w:rFonts w:ascii="Times New Roman" w:hAnsi="Times New Roman" w:eastAsia="方正仿宋简体"/>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46" w:hRule="atLeast"/>
          <w:jc w:val="center"/>
        </w:trPr>
        <w:tc>
          <w:tcPr>
            <w:tcW w:w="9487" w:type="dxa"/>
            <w:gridSpan w:val="8"/>
          </w:tcPr>
          <w:p>
            <w:pPr>
              <w:widowControl/>
              <w:spacing w:line="320" w:lineRule="exact"/>
              <w:rPr>
                <w:rFonts w:ascii="Times New Roman" w:hAnsi="Times New Roman" w:eastAsia="方正仿宋简体"/>
                <w:sz w:val="22"/>
              </w:rPr>
            </w:pPr>
            <w:r>
              <w:rPr>
                <w:rFonts w:ascii="Times New Roman" w:hAnsi="Times New Roman" w:eastAsia="方正仿宋简体"/>
                <w:sz w:val="22"/>
              </w:rPr>
              <w:t>公司是否发行其他证券品种 □</w:t>
            </w:r>
            <w:r>
              <w:rPr>
                <w:rFonts w:ascii="Times New Roman" w:hAnsi="Times New Roman" w:eastAsia="方正仿宋简体"/>
                <w:kern w:val="0"/>
                <w:sz w:val="22"/>
                <w:szCs w:val="20"/>
              </w:rPr>
              <w:t>是（</w:t>
            </w:r>
            <w:r>
              <w:rPr>
                <w:rFonts w:ascii="Times New Roman" w:hAnsi="Times New Roman" w:eastAsia="方正仿宋简体"/>
                <w:sz w:val="22"/>
              </w:rPr>
              <w:t>□</w:t>
            </w:r>
            <w:r>
              <w:rPr>
                <w:rFonts w:ascii="Times New Roman" w:hAnsi="Times New Roman" w:eastAsia="方正仿宋简体"/>
                <w:kern w:val="0"/>
                <w:sz w:val="22"/>
                <w:szCs w:val="20"/>
              </w:rPr>
              <w:t xml:space="preserve">优先股  </w:t>
            </w:r>
            <w:r>
              <w:rPr>
                <w:rFonts w:ascii="Times New Roman" w:hAnsi="Times New Roman" w:eastAsia="方正仿宋简体"/>
                <w:sz w:val="22"/>
              </w:rPr>
              <w:t>□</w:t>
            </w:r>
            <w:r>
              <w:rPr>
                <w:rFonts w:hint="eastAsia" w:ascii="Times New Roman" w:hAnsi="Times New Roman" w:eastAsia="方正仿宋简体"/>
                <w:kern w:val="0"/>
                <w:sz w:val="22"/>
                <w:szCs w:val="20"/>
              </w:rPr>
              <w:t>可转债</w:t>
            </w:r>
            <w:r>
              <w:rPr>
                <w:rFonts w:ascii="Times New Roman" w:hAnsi="Times New Roman" w:eastAsia="方正仿宋简体"/>
                <w:kern w:val="0"/>
                <w:sz w:val="22"/>
                <w:szCs w:val="20"/>
              </w:rPr>
              <w:t xml:space="preserve">  </w:t>
            </w:r>
            <w:r>
              <w:rPr>
                <w:rFonts w:ascii="Times New Roman" w:hAnsi="Times New Roman" w:eastAsia="方正仿宋简体"/>
                <w:sz w:val="22"/>
              </w:rPr>
              <w:t>□</w:t>
            </w:r>
            <w:r>
              <w:rPr>
                <w:rFonts w:ascii="Times New Roman" w:hAnsi="Times New Roman" w:eastAsia="方正仿宋简体"/>
                <w:kern w:val="0"/>
                <w:sz w:val="22"/>
                <w:szCs w:val="20"/>
              </w:rPr>
              <w:t>其他</w:t>
            </w:r>
            <w:r>
              <w:rPr>
                <w:rFonts w:ascii="Times New Roman" w:hAnsi="Times New Roman" w:eastAsia="方正仿宋简体"/>
                <w:kern w:val="0"/>
                <w:sz w:val="22"/>
                <w:szCs w:val="20"/>
                <w:u w:val="single"/>
              </w:rPr>
              <w:t xml:space="preserve">        </w:t>
            </w:r>
            <w:r>
              <w:rPr>
                <w:rFonts w:ascii="Times New Roman" w:hAnsi="Times New Roman" w:eastAsia="方正仿宋简体"/>
                <w:kern w:val="0"/>
                <w:sz w:val="22"/>
                <w:szCs w:val="20"/>
              </w:rPr>
              <w:t xml:space="preserve">）   </w:t>
            </w:r>
            <w:r>
              <w:rPr>
                <w:rFonts w:ascii="Times New Roman" w:hAnsi="Times New Roman" w:eastAsia="方正仿宋简体"/>
                <w:sz w:val="22"/>
              </w:rPr>
              <w:t>□</w:t>
            </w:r>
            <w:r>
              <w:rPr>
                <w:rFonts w:ascii="Times New Roman" w:hAnsi="Times New Roman" w:eastAsia="方正仿宋简体"/>
                <w:kern w:val="0"/>
                <w:sz w:val="22"/>
                <w:szCs w:val="20"/>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58" w:hRule="atLeast"/>
          <w:jc w:val="center"/>
        </w:trPr>
        <w:tc>
          <w:tcPr>
            <w:tcW w:w="1598" w:type="dxa"/>
          </w:tcPr>
          <w:p>
            <w:pPr>
              <w:widowControl/>
              <w:spacing w:line="320" w:lineRule="exact"/>
              <w:rPr>
                <w:rFonts w:ascii="Times New Roman" w:hAnsi="Times New Roman" w:eastAsia="方正仿宋简体"/>
                <w:sz w:val="22"/>
              </w:rPr>
            </w:pPr>
            <w:r>
              <w:rPr>
                <w:rFonts w:ascii="Times New Roman" w:hAnsi="Times New Roman" w:eastAsia="方正仿宋简体"/>
                <w:sz w:val="22"/>
              </w:rPr>
              <w:t>变更停牌事项的情形</w:t>
            </w:r>
          </w:p>
        </w:tc>
        <w:tc>
          <w:tcPr>
            <w:tcW w:w="7889" w:type="dxa"/>
            <w:gridSpan w:val="7"/>
          </w:tcPr>
          <w:p>
            <w:pPr>
              <w:snapToGrid w:val="0"/>
              <w:spacing w:line="320" w:lineRule="exact"/>
              <w:rPr>
                <w:rFonts w:ascii="Times New Roman" w:hAnsi="Times New Roman" w:eastAsia="仿宋"/>
                <w:sz w:val="22"/>
              </w:rPr>
            </w:pPr>
            <w:r>
              <w:rPr>
                <w:rFonts w:ascii="Times New Roman" w:hAnsi="Times New Roman" w:eastAsia="仿宋"/>
                <w:sz w:val="22"/>
              </w:rPr>
              <w:t>□1.停牌事项发生变化  □2.增加停牌事项  □3.减少停牌事项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8" w:hRule="atLeast"/>
          <w:jc w:val="center"/>
        </w:trPr>
        <w:tc>
          <w:tcPr>
            <w:tcW w:w="1598" w:type="dxa"/>
            <w:tcBorders>
              <w:bottom w:val="single" w:color="auto" w:sz="4" w:space="0"/>
            </w:tcBorders>
            <w:vAlign w:val="center"/>
          </w:tcPr>
          <w:p>
            <w:pPr>
              <w:widowControl/>
              <w:spacing w:line="320" w:lineRule="exact"/>
              <w:jc w:val="center"/>
              <w:rPr>
                <w:rFonts w:ascii="Times New Roman" w:hAnsi="Times New Roman" w:eastAsia="方正仿宋简体"/>
                <w:sz w:val="22"/>
              </w:rPr>
            </w:pPr>
            <w:r>
              <w:rPr>
                <w:rFonts w:ascii="Times New Roman" w:hAnsi="Times New Roman" w:eastAsia="方正仿宋简体"/>
                <w:sz w:val="22"/>
              </w:rPr>
              <w:t>原停牌事项目前进展情况</w:t>
            </w:r>
          </w:p>
        </w:tc>
        <w:tc>
          <w:tcPr>
            <w:tcW w:w="7889" w:type="dxa"/>
            <w:gridSpan w:val="7"/>
            <w:tcBorders>
              <w:bottom w:val="single" w:color="auto" w:sz="4" w:space="0"/>
            </w:tcBorders>
            <w:vAlign w:val="center"/>
          </w:tcPr>
          <w:p>
            <w:pPr>
              <w:widowControl/>
              <w:spacing w:line="320" w:lineRule="exact"/>
              <w:ind w:firstLine="400"/>
              <w:jc w:val="center"/>
              <w:rPr>
                <w:rFonts w:ascii="Times New Roman" w:hAnsi="Times New Roman" w:eastAsia="方正仿宋简体"/>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262" w:hRule="atLeast"/>
          <w:jc w:val="center"/>
        </w:trPr>
        <w:tc>
          <w:tcPr>
            <w:tcW w:w="1598" w:type="dxa"/>
            <w:tcBorders>
              <w:bottom w:val="single" w:color="auto" w:sz="4" w:space="0"/>
            </w:tcBorders>
            <w:vAlign w:val="center"/>
          </w:tcPr>
          <w:p>
            <w:pPr>
              <w:widowControl/>
              <w:spacing w:line="320" w:lineRule="exact"/>
              <w:jc w:val="center"/>
              <w:rPr>
                <w:rFonts w:ascii="Times New Roman" w:hAnsi="Times New Roman" w:eastAsia="方正仿宋简体"/>
                <w:sz w:val="22"/>
              </w:rPr>
            </w:pPr>
            <w:r>
              <w:rPr>
                <w:rFonts w:ascii="Times New Roman" w:hAnsi="Times New Roman" w:eastAsia="方正仿宋简体"/>
                <w:sz w:val="22"/>
              </w:rPr>
              <w:t>变更后停牌</w:t>
            </w:r>
          </w:p>
          <w:p>
            <w:pPr>
              <w:widowControl/>
              <w:spacing w:line="320" w:lineRule="exact"/>
              <w:jc w:val="center"/>
              <w:rPr>
                <w:rFonts w:ascii="Times New Roman" w:hAnsi="Times New Roman" w:eastAsia="方正仿宋简体"/>
                <w:sz w:val="22"/>
              </w:rPr>
            </w:pPr>
            <w:r>
              <w:rPr>
                <w:rFonts w:ascii="Times New Roman" w:hAnsi="Times New Roman" w:eastAsia="方正仿宋简体"/>
                <w:sz w:val="22"/>
              </w:rPr>
              <w:t>触发事项</w:t>
            </w:r>
          </w:p>
        </w:tc>
        <w:tc>
          <w:tcPr>
            <w:tcW w:w="7889" w:type="dxa"/>
            <w:gridSpan w:val="7"/>
            <w:tcBorders>
              <w:bottom w:val="single" w:color="auto" w:sz="4" w:space="0"/>
            </w:tcBorders>
            <w:vAlign w:val="center"/>
          </w:tcPr>
          <w:p>
            <w:pPr>
              <w:widowControl/>
              <w:spacing w:line="320" w:lineRule="exact"/>
              <w:jc w:val="left"/>
              <w:rPr>
                <w:rFonts w:ascii="Times New Roman" w:hAnsi="Times New Roman" w:eastAsia="仿宋"/>
                <w:sz w:val="22"/>
              </w:rPr>
            </w:pPr>
            <w:r>
              <w:rPr>
                <w:rFonts w:ascii="Times New Roman" w:hAnsi="Times New Roman" w:eastAsia="仿宋"/>
                <w:sz w:val="22"/>
              </w:rPr>
              <w:t>□1.重大事项</w:t>
            </w:r>
          </w:p>
          <w:p>
            <w:pPr>
              <w:widowControl/>
              <w:spacing w:line="320" w:lineRule="exact"/>
              <w:jc w:val="left"/>
              <w:rPr>
                <w:rFonts w:ascii="Times New Roman" w:hAnsi="Times New Roman" w:eastAsia="仿宋"/>
                <w:sz w:val="22"/>
              </w:rPr>
            </w:pPr>
            <w:r>
              <w:rPr>
                <w:rFonts w:hint="eastAsia" w:ascii="Times New Roman" w:hAnsi="Times New Roman" w:eastAsia="仿宋"/>
                <w:sz w:val="22"/>
              </w:rPr>
              <w:t xml:space="preserve">  </w:t>
            </w:r>
            <w:r>
              <w:rPr>
                <w:rFonts w:ascii="Times New Roman" w:hAnsi="Times New Roman" w:eastAsia="仿宋"/>
                <w:sz w:val="22"/>
              </w:rPr>
              <w:t>□</w:t>
            </w:r>
            <w:r>
              <w:rPr>
                <w:rFonts w:hint="eastAsia" w:ascii="仿宋" w:hAnsi="仿宋" w:eastAsia="仿宋" w:cs="仿宋"/>
                <w:sz w:val="22"/>
              </w:rPr>
              <w:t>(</w:t>
            </w:r>
            <w:r>
              <w:rPr>
                <w:rFonts w:ascii="Times New Roman" w:hAnsi="Times New Roman" w:eastAsia="仿宋"/>
                <w:sz w:val="22"/>
              </w:rPr>
              <w:t>1</w:t>
            </w:r>
            <w:r>
              <w:rPr>
                <w:rFonts w:hint="eastAsia" w:ascii="仿宋" w:hAnsi="仿宋" w:eastAsia="仿宋" w:cs="仿宋"/>
                <w:sz w:val="22"/>
              </w:rPr>
              <w:t>)</w:t>
            </w:r>
            <w:r>
              <w:rPr>
                <w:rFonts w:hint="eastAsia" w:ascii="Times New Roman" w:hAnsi="Times New Roman" w:eastAsia="仿宋"/>
                <w:sz w:val="22"/>
              </w:rPr>
              <w:t>发行</w:t>
            </w:r>
            <w:r>
              <w:rPr>
                <w:rFonts w:ascii="Times New Roman" w:hAnsi="Times New Roman" w:eastAsia="仿宋"/>
                <w:sz w:val="22"/>
              </w:rPr>
              <w:t>股份购买资产</w:t>
            </w:r>
          </w:p>
          <w:p>
            <w:pPr>
              <w:widowControl/>
              <w:spacing w:line="320" w:lineRule="exact"/>
              <w:ind w:firstLine="220" w:firstLineChars="100"/>
              <w:jc w:val="left"/>
              <w:rPr>
                <w:rFonts w:ascii="Times New Roman" w:hAnsi="Times New Roman" w:eastAsia="仿宋"/>
                <w:sz w:val="22"/>
              </w:rPr>
            </w:pPr>
            <w:r>
              <w:rPr>
                <w:rFonts w:ascii="Times New Roman" w:hAnsi="Times New Roman" w:eastAsia="仿宋"/>
                <w:sz w:val="22"/>
              </w:rPr>
              <w:t>□</w:t>
            </w:r>
            <w:r>
              <w:rPr>
                <w:rFonts w:hint="eastAsia" w:ascii="仿宋" w:hAnsi="仿宋" w:eastAsia="仿宋" w:cs="仿宋"/>
                <w:sz w:val="22"/>
              </w:rPr>
              <w:t>(</w:t>
            </w:r>
            <w:r>
              <w:rPr>
                <w:rFonts w:ascii="Times New Roman" w:hAnsi="Times New Roman" w:eastAsia="仿宋"/>
                <w:sz w:val="22"/>
              </w:rPr>
              <w:t>2</w:t>
            </w:r>
            <w:r>
              <w:rPr>
                <w:rFonts w:hint="eastAsia" w:ascii="仿宋" w:hAnsi="仿宋" w:eastAsia="仿宋" w:cs="仿宋"/>
                <w:sz w:val="22"/>
              </w:rPr>
              <w:t>)</w:t>
            </w:r>
            <w:r>
              <w:rPr>
                <w:rFonts w:hint="eastAsia" w:ascii="Times New Roman" w:hAnsi="Times New Roman" w:eastAsia="仿宋"/>
                <w:sz w:val="22"/>
              </w:rPr>
              <w:t>筹划控制权</w:t>
            </w:r>
            <w:r>
              <w:rPr>
                <w:rFonts w:ascii="Times New Roman" w:hAnsi="Times New Roman" w:eastAsia="仿宋"/>
                <w:sz w:val="22"/>
              </w:rPr>
              <w:t>变</w:t>
            </w:r>
            <w:r>
              <w:rPr>
                <w:rFonts w:hint="eastAsia" w:ascii="Times New Roman" w:hAnsi="Times New Roman" w:eastAsia="仿宋"/>
                <w:sz w:val="22"/>
              </w:rPr>
              <w:t>更</w:t>
            </w:r>
          </w:p>
          <w:p>
            <w:pPr>
              <w:widowControl/>
              <w:spacing w:line="320" w:lineRule="exact"/>
              <w:ind w:firstLine="220" w:firstLineChars="100"/>
              <w:jc w:val="left"/>
              <w:rPr>
                <w:rFonts w:ascii="Times New Roman" w:hAnsi="Times New Roman" w:eastAsia="仿宋"/>
                <w:sz w:val="22"/>
              </w:rPr>
            </w:pPr>
            <w:r>
              <w:rPr>
                <w:rFonts w:ascii="Times New Roman" w:hAnsi="Times New Roman" w:eastAsia="仿宋"/>
                <w:sz w:val="22"/>
              </w:rPr>
              <w:t>□</w:t>
            </w:r>
            <w:r>
              <w:rPr>
                <w:rFonts w:hint="eastAsia" w:ascii="仿宋" w:hAnsi="仿宋" w:eastAsia="仿宋" w:cs="仿宋"/>
                <w:sz w:val="22"/>
              </w:rPr>
              <w:t>(</w:t>
            </w:r>
            <w:r>
              <w:rPr>
                <w:rFonts w:ascii="Times New Roman" w:hAnsi="Times New Roman" w:eastAsia="仿宋"/>
                <w:sz w:val="22"/>
              </w:rPr>
              <w:t>3</w:t>
            </w:r>
            <w:r>
              <w:rPr>
                <w:rFonts w:hint="eastAsia" w:ascii="仿宋" w:hAnsi="仿宋" w:eastAsia="仿宋" w:cs="仿宋"/>
                <w:sz w:val="22"/>
              </w:rPr>
              <w:t>)涉</w:t>
            </w:r>
            <w:r>
              <w:rPr>
                <w:rFonts w:ascii="Times New Roman" w:hAnsi="Times New Roman" w:eastAsia="仿宋"/>
                <w:sz w:val="22"/>
              </w:rPr>
              <w:t>及要约收购</w:t>
            </w:r>
          </w:p>
          <w:p>
            <w:pPr>
              <w:widowControl/>
              <w:spacing w:line="320" w:lineRule="exact"/>
              <w:ind w:firstLine="220" w:firstLineChars="100"/>
              <w:jc w:val="left"/>
              <w:rPr>
                <w:rFonts w:ascii="Times New Roman" w:hAnsi="Times New Roman" w:eastAsia="仿宋"/>
                <w:sz w:val="22"/>
              </w:rPr>
            </w:pPr>
            <w:r>
              <w:rPr>
                <w:rFonts w:ascii="Times New Roman" w:hAnsi="Times New Roman" w:eastAsia="仿宋"/>
                <w:sz w:val="22"/>
              </w:rPr>
              <w:t>□</w:t>
            </w:r>
            <w:r>
              <w:rPr>
                <w:rFonts w:hint="eastAsia" w:ascii="仿宋" w:hAnsi="仿宋" w:eastAsia="仿宋" w:cs="仿宋"/>
                <w:sz w:val="22"/>
              </w:rPr>
              <w:t>(</w:t>
            </w:r>
            <w:r>
              <w:rPr>
                <w:rFonts w:ascii="Times New Roman" w:hAnsi="Times New Roman" w:eastAsia="仿宋"/>
                <w:sz w:val="22"/>
              </w:rPr>
              <w:t>4</w:t>
            </w:r>
            <w:r>
              <w:rPr>
                <w:rFonts w:hint="eastAsia" w:ascii="仿宋" w:hAnsi="仿宋" w:eastAsia="仿宋" w:cs="仿宋"/>
                <w:sz w:val="22"/>
              </w:rPr>
              <w:t>)涉</w:t>
            </w:r>
            <w:r>
              <w:rPr>
                <w:rFonts w:ascii="Times New Roman" w:hAnsi="Times New Roman" w:eastAsia="仿宋"/>
                <w:sz w:val="22"/>
              </w:rPr>
              <w:t>及</w:t>
            </w:r>
            <w:r>
              <w:rPr>
                <w:rFonts w:hint="eastAsia" w:ascii="Times New Roman" w:hAnsi="Times New Roman" w:eastAsia="仿宋"/>
                <w:sz w:val="22"/>
              </w:rPr>
              <w:t>破产</w:t>
            </w:r>
            <w:r>
              <w:rPr>
                <w:rFonts w:ascii="Times New Roman" w:hAnsi="Times New Roman" w:eastAsia="仿宋"/>
                <w:sz w:val="22"/>
              </w:rPr>
              <w:t>重整</w:t>
            </w:r>
          </w:p>
          <w:p>
            <w:pPr>
              <w:widowControl/>
              <w:spacing w:line="320" w:lineRule="exact"/>
              <w:ind w:firstLine="220" w:firstLineChars="100"/>
              <w:jc w:val="left"/>
              <w:rPr>
                <w:rFonts w:ascii="Times New Roman" w:hAnsi="Times New Roman" w:eastAsia="仿宋"/>
                <w:sz w:val="22"/>
              </w:rPr>
            </w:pPr>
            <w:r>
              <w:rPr>
                <w:rFonts w:ascii="Times New Roman" w:hAnsi="Times New Roman" w:eastAsia="仿宋"/>
                <w:sz w:val="22"/>
              </w:rPr>
              <w:t>□</w:t>
            </w:r>
            <w:r>
              <w:rPr>
                <w:rFonts w:hint="eastAsia" w:ascii="仿宋" w:hAnsi="仿宋" w:eastAsia="仿宋" w:cs="仿宋"/>
                <w:sz w:val="22"/>
              </w:rPr>
              <w:t>(</w:t>
            </w:r>
            <w:r>
              <w:rPr>
                <w:rFonts w:ascii="Times New Roman" w:hAnsi="Times New Roman" w:eastAsia="仿宋"/>
                <w:sz w:val="22"/>
              </w:rPr>
              <w:t>5</w:t>
            </w:r>
            <w:r>
              <w:rPr>
                <w:rFonts w:hint="eastAsia" w:ascii="仿宋" w:hAnsi="仿宋" w:eastAsia="仿宋" w:cs="仿宋"/>
                <w:sz w:val="22"/>
              </w:rPr>
              <w:t>)</w:t>
            </w:r>
            <w:r>
              <w:rPr>
                <w:rFonts w:ascii="Times New Roman" w:hAnsi="Times New Roman" w:eastAsia="仿宋"/>
                <w:sz w:val="22"/>
              </w:rPr>
              <w:t>本所认定的其他重大事项，具体内容：</w:t>
            </w:r>
            <w:r>
              <w:rPr>
                <w:rFonts w:ascii="Times New Roman" w:hAnsi="Times New Roman" w:eastAsia="仿宋"/>
                <w:sz w:val="22"/>
                <w:u w:val="single"/>
              </w:rPr>
              <w:t xml:space="preserve">                </w:t>
            </w:r>
            <w:r>
              <w:rPr>
                <w:rFonts w:ascii="Times New Roman" w:hAnsi="Times New Roman" w:eastAsia="仿宋"/>
                <w:sz w:val="22"/>
              </w:rPr>
              <w:t>（必填）</w:t>
            </w:r>
          </w:p>
          <w:p>
            <w:pPr>
              <w:snapToGrid w:val="0"/>
              <w:spacing w:line="320" w:lineRule="exact"/>
              <w:ind w:left="330" w:hanging="330" w:hangingChars="150"/>
              <w:rPr>
                <w:rFonts w:ascii="Times New Roman" w:hAnsi="Times New Roman" w:eastAsia="仿宋"/>
                <w:sz w:val="22"/>
              </w:rPr>
            </w:pPr>
            <w:r>
              <w:rPr>
                <w:rFonts w:ascii="Times New Roman" w:hAnsi="Times New Roman" w:eastAsia="仿宋"/>
                <w:sz w:val="22"/>
              </w:rPr>
              <w:t>□</w:t>
            </w:r>
            <w:r>
              <w:rPr>
                <w:rFonts w:hint="eastAsia" w:ascii="Times New Roman" w:hAnsi="Times New Roman" w:eastAsia="仿宋"/>
                <w:sz w:val="22"/>
              </w:rPr>
              <w:t>2</w:t>
            </w:r>
            <w:r>
              <w:rPr>
                <w:rFonts w:ascii="Times New Roman" w:hAnsi="Times New Roman" w:eastAsia="仿宋"/>
                <w:sz w:val="22"/>
              </w:rPr>
              <w:t>.</w:t>
            </w:r>
            <w:r>
              <w:rPr>
                <w:rFonts w:hint="eastAsia" w:ascii="Times New Roman" w:hAnsi="Times New Roman" w:eastAsia="仿宋"/>
                <w:sz w:val="22"/>
              </w:rPr>
              <w:t>股票</w:t>
            </w:r>
            <w:r>
              <w:rPr>
                <w:rFonts w:ascii="Times New Roman" w:hAnsi="Times New Roman" w:eastAsia="仿宋"/>
                <w:sz w:val="22"/>
              </w:rPr>
              <w:t>交易异常波动</w:t>
            </w:r>
          </w:p>
          <w:p>
            <w:pPr>
              <w:snapToGrid w:val="0"/>
              <w:spacing w:line="320" w:lineRule="exact"/>
              <w:ind w:left="330" w:hanging="330" w:hangingChars="150"/>
              <w:rPr>
                <w:rFonts w:ascii="Times New Roman" w:hAnsi="Times New Roman" w:eastAsia="仿宋"/>
                <w:sz w:val="22"/>
              </w:rPr>
            </w:pPr>
            <w:r>
              <w:rPr>
                <w:rFonts w:ascii="Times New Roman" w:hAnsi="Times New Roman" w:eastAsia="仿宋"/>
                <w:sz w:val="22"/>
              </w:rPr>
              <w:t>□</w:t>
            </w:r>
            <w:r>
              <w:rPr>
                <w:rFonts w:hint="eastAsia" w:ascii="Times New Roman" w:hAnsi="Times New Roman" w:eastAsia="仿宋"/>
                <w:sz w:val="22"/>
              </w:rPr>
              <w:t>3</w:t>
            </w:r>
            <w:r>
              <w:rPr>
                <w:rFonts w:ascii="Times New Roman" w:hAnsi="Times New Roman" w:eastAsia="仿宋"/>
                <w:sz w:val="22"/>
              </w:rPr>
              <w:t>.</w:t>
            </w:r>
            <w:r>
              <w:rPr>
                <w:rFonts w:hint="eastAsia" w:ascii="Times New Roman" w:hAnsi="Times New Roman" w:eastAsia="仿宋"/>
                <w:sz w:val="22"/>
              </w:rPr>
              <w:t>未</w:t>
            </w:r>
            <w:r>
              <w:rPr>
                <w:rFonts w:ascii="Times New Roman" w:hAnsi="Times New Roman" w:eastAsia="仿宋"/>
                <w:sz w:val="22"/>
              </w:rPr>
              <w:t>在规定期限内披露</w:t>
            </w:r>
            <w:r>
              <w:rPr>
                <w:rFonts w:hint="eastAsia" w:ascii="Times New Roman" w:hAnsi="Times New Roman" w:eastAsia="仿宋"/>
                <w:sz w:val="22"/>
                <w:lang w:eastAsia="zh-CN"/>
              </w:rPr>
              <w:t>年度</w:t>
            </w:r>
            <w:r>
              <w:rPr>
                <w:rFonts w:ascii="Times New Roman" w:hAnsi="Times New Roman" w:eastAsia="仿宋"/>
                <w:sz w:val="22"/>
              </w:rPr>
              <w:t>报告</w:t>
            </w:r>
            <w:r>
              <w:rPr>
                <w:rFonts w:hint="eastAsia" w:ascii="Times New Roman" w:hAnsi="Times New Roman" w:eastAsia="仿宋"/>
                <w:sz w:val="22"/>
                <w:lang w:eastAsia="zh-CN"/>
              </w:rPr>
              <w:t>或半年度报告</w:t>
            </w:r>
          </w:p>
          <w:p>
            <w:pPr>
              <w:snapToGrid w:val="0"/>
              <w:spacing w:line="320" w:lineRule="exact"/>
              <w:ind w:left="330" w:hanging="330" w:hangingChars="150"/>
              <w:rPr>
                <w:rFonts w:ascii="Times New Roman" w:hAnsi="Times New Roman" w:eastAsia="仿宋"/>
                <w:sz w:val="22"/>
              </w:rPr>
            </w:pPr>
            <w:r>
              <w:rPr>
                <w:rFonts w:ascii="Times New Roman" w:hAnsi="Times New Roman" w:eastAsia="仿宋"/>
                <w:sz w:val="22"/>
              </w:rPr>
              <w:t>□</w:t>
            </w:r>
            <w:r>
              <w:rPr>
                <w:rFonts w:hint="eastAsia" w:ascii="Times New Roman" w:hAnsi="Times New Roman" w:eastAsia="仿宋"/>
                <w:sz w:val="22"/>
                <w:lang w:val="en-US" w:eastAsia="zh-CN"/>
              </w:rPr>
              <w:t>4</w:t>
            </w:r>
            <w:r>
              <w:rPr>
                <w:rFonts w:ascii="Times New Roman" w:hAnsi="Times New Roman" w:eastAsia="仿宋"/>
                <w:sz w:val="22"/>
              </w:rPr>
              <w:t>.向境内</w:t>
            </w:r>
            <w:r>
              <w:rPr>
                <w:rFonts w:hint="eastAsia" w:ascii="Times New Roman" w:hAnsi="Times New Roman" w:eastAsia="仿宋"/>
                <w:sz w:val="22"/>
              </w:rPr>
              <w:t>其他</w:t>
            </w:r>
            <w:r>
              <w:rPr>
                <w:rFonts w:ascii="Times New Roman" w:hAnsi="Times New Roman" w:eastAsia="仿宋"/>
                <w:sz w:val="22"/>
              </w:rPr>
              <w:t>证券交易所申请</w:t>
            </w:r>
            <w:r>
              <w:rPr>
                <w:rFonts w:hint="eastAsia" w:ascii="Times New Roman" w:hAnsi="Times New Roman" w:eastAsia="仿宋"/>
                <w:sz w:val="22"/>
              </w:rPr>
              <w:t>股票转板</w:t>
            </w:r>
          </w:p>
          <w:p>
            <w:pPr>
              <w:snapToGrid w:val="0"/>
              <w:spacing w:line="320" w:lineRule="exact"/>
              <w:ind w:left="330" w:hanging="330" w:hangingChars="150"/>
              <w:rPr>
                <w:rFonts w:ascii="Times New Roman" w:hAnsi="Times New Roman" w:eastAsia="仿宋"/>
                <w:sz w:val="22"/>
              </w:rPr>
            </w:pPr>
            <w:r>
              <w:rPr>
                <w:rFonts w:ascii="Times New Roman" w:hAnsi="Times New Roman" w:eastAsia="仿宋"/>
                <w:sz w:val="22"/>
              </w:rPr>
              <w:t>□</w:t>
            </w:r>
            <w:r>
              <w:rPr>
                <w:rFonts w:hint="eastAsia" w:ascii="Times New Roman" w:hAnsi="Times New Roman" w:eastAsia="仿宋"/>
                <w:sz w:val="22"/>
                <w:lang w:val="en-US" w:eastAsia="zh-CN"/>
              </w:rPr>
              <w:t>5</w:t>
            </w:r>
            <w:r>
              <w:rPr>
                <w:rFonts w:hint="eastAsia" w:ascii="Times New Roman" w:hAnsi="Times New Roman" w:eastAsia="仿宋"/>
                <w:sz w:val="22"/>
              </w:rPr>
              <w:t>.退市</w:t>
            </w:r>
            <w:r>
              <w:rPr>
                <w:rFonts w:ascii="Times New Roman" w:hAnsi="Times New Roman" w:eastAsia="仿宋"/>
                <w:sz w:val="22"/>
              </w:rPr>
              <w:t>相关</w:t>
            </w:r>
          </w:p>
          <w:p>
            <w:pPr>
              <w:snapToGrid w:val="0"/>
              <w:spacing w:line="320" w:lineRule="exact"/>
              <w:ind w:firstLine="220" w:firstLineChars="100"/>
              <w:rPr>
                <w:rFonts w:ascii="Times New Roman" w:hAnsi="Times New Roman" w:eastAsia="仿宋"/>
                <w:sz w:val="22"/>
              </w:rPr>
            </w:pPr>
            <w:r>
              <w:rPr>
                <w:rFonts w:ascii="Times New Roman" w:hAnsi="Times New Roman" w:eastAsia="仿宋"/>
                <w:sz w:val="22"/>
              </w:rPr>
              <w:t>□</w:t>
            </w:r>
            <w:r>
              <w:rPr>
                <w:rFonts w:hint="eastAsia" w:ascii="仿宋" w:hAnsi="仿宋" w:eastAsia="仿宋" w:cs="仿宋"/>
                <w:sz w:val="22"/>
              </w:rPr>
              <w:t>(</w:t>
            </w:r>
            <w:r>
              <w:rPr>
                <w:rFonts w:ascii="Times New Roman" w:hAnsi="Times New Roman" w:eastAsia="仿宋"/>
                <w:sz w:val="22"/>
              </w:rPr>
              <w:t>1</w:t>
            </w:r>
            <w:r>
              <w:rPr>
                <w:rFonts w:hint="eastAsia" w:ascii="仿宋" w:hAnsi="仿宋" w:eastAsia="仿宋" w:cs="仿宋"/>
                <w:sz w:val="22"/>
              </w:rPr>
              <w:t>)</w:t>
            </w:r>
            <w:r>
              <w:rPr>
                <w:rFonts w:hint="eastAsia" w:ascii="Times New Roman" w:hAnsi="Times New Roman" w:eastAsia="仿宋"/>
                <w:sz w:val="22"/>
              </w:rPr>
              <w:t>主动</w:t>
            </w:r>
            <w:r>
              <w:rPr>
                <w:rFonts w:ascii="Times New Roman" w:hAnsi="Times New Roman" w:eastAsia="仿宋"/>
                <w:sz w:val="22"/>
              </w:rPr>
              <w:t>申请终止股票上市</w:t>
            </w:r>
          </w:p>
          <w:p>
            <w:pPr>
              <w:snapToGrid w:val="0"/>
              <w:spacing w:line="320" w:lineRule="exact"/>
              <w:ind w:left="320" w:leftChars="100" w:hanging="110" w:hangingChars="50"/>
              <w:rPr>
                <w:rFonts w:ascii="Times New Roman" w:hAnsi="Times New Roman" w:eastAsia="仿宋"/>
                <w:sz w:val="22"/>
              </w:rPr>
            </w:pPr>
            <w:r>
              <w:rPr>
                <w:rFonts w:ascii="Times New Roman" w:hAnsi="Times New Roman" w:eastAsia="仿宋"/>
                <w:sz w:val="22"/>
              </w:rPr>
              <w:t>□</w:t>
            </w:r>
            <w:r>
              <w:rPr>
                <w:rFonts w:hint="eastAsia" w:ascii="仿宋" w:hAnsi="仿宋" w:eastAsia="仿宋" w:cs="仿宋"/>
                <w:sz w:val="22"/>
              </w:rPr>
              <w:t>(</w:t>
            </w:r>
            <w:r>
              <w:rPr>
                <w:rFonts w:ascii="Times New Roman" w:hAnsi="Times New Roman" w:eastAsia="仿宋"/>
                <w:sz w:val="22"/>
              </w:rPr>
              <w:t>2</w:t>
            </w:r>
            <w:r>
              <w:rPr>
                <w:rFonts w:hint="eastAsia" w:ascii="仿宋" w:hAnsi="仿宋" w:eastAsia="仿宋" w:cs="仿宋"/>
                <w:sz w:val="22"/>
              </w:rPr>
              <w:t>)</w:t>
            </w:r>
            <w:r>
              <w:rPr>
                <w:rFonts w:hint="eastAsia" w:ascii="Times New Roman" w:hAnsi="Times New Roman" w:eastAsia="仿宋"/>
                <w:sz w:val="22"/>
              </w:rPr>
              <w:t>出现</w:t>
            </w:r>
            <w:r>
              <w:rPr>
                <w:rFonts w:ascii="Times New Roman" w:hAnsi="Times New Roman" w:eastAsia="仿宋"/>
                <w:sz w:val="22"/>
              </w:rPr>
              <w:t>《</w:t>
            </w:r>
            <w:r>
              <w:rPr>
                <w:rFonts w:hint="eastAsia" w:ascii="Times New Roman" w:hAnsi="Times New Roman" w:eastAsia="仿宋"/>
                <w:sz w:val="22"/>
              </w:rPr>
              <w:t>上市规则</w:t>
            </w:r>
            <w:r>
              <w:rPr>
                <w:rFonts w:ascii="Times New Roman" w:hAnsi="Times New Roman" w:eastAsia="仿宋"/>
                <w:sz w:val="22"/>
              </w:rPr>
              <w:t>》</w:t>
            </w:r>
            <w:r>
              <w:rPr>
                <w:rFonts w:hint="eastAsia" w:ascii="Times New Roman" w:hAnsi="Times New Roman" w:eastAsia="仿宋"/>
                <w:sz w:val="22"/>
              </w:rPr>
              <w:t>规定的</w:t>
            </w:r>
            <w:r>
              <w:rPr>
                <w:rFonts w:hint="eastAsia" w:ascii="Times New Roman" w:hAnsi="Times New Roman" w:eastAsia="仿宋"/>
                <w:sz w:val="22"/>
                <w:lang w:eastAsia="zh-CN"/>
              </w:rPr>
              <w:t>其他</w:t>
            </w:r>
            <w:r>
              <w:rPr>
                <w:rFonts w:hint="eastAsia" w:ascii="Times New Roman" w:hAnsi="Times New Roman" w:eastAsia="仿宋"/>
                <w:sz w:val="22"/>
              </w:rPr>
              <w:t>停牌情形</w:t>
            </w:r>
          </w:p>
          <w:p>
            <w:pPr>
              <w:snapToGrid w:val="0"/>
              <w:spacing w:line="320" w:lineRule="exact"/>
              <w:ind w:left="320" w:leftChars="100" w:hanging="110" w:hangingChars="50"/>
              <w:rPr>
                <w:rFonts w:ascii="Times New Roman" w:hAnsi="Times New Roman" w:eastAsia="仿宋"/>
                <w:sz w:val="22"/>
              </w:rPr>
            </w:pPr>
            <w:r>
              <w:rPr>
                <w:rFonts w:ascii="Times New Roman" w:hAnsi="Times New Roman" w:eastAsia="仿宋"/>
                <w:sz w:val="22"/>
              </w:rPr>
              <w:t>□</w:t>
            </w:r>
            <w:r>
              <w:rPr>
                <w:rFonts w:hint="eastAsia" w:ascii="仿宋" w:hAnsi="仿宋" w:eastAsia="仿宋" w:cs="仿宋"/>
                <w:sz w:val="22"/>
              </w:rPr>
              <w:t>(</w:t>
            </w:r>
            <w:r>
              <w:rPr>
                <w:rFonts w:ascii="Times New Roman" w:hAnsi="Times New Roman" w:eastAsia="仿宋"/>
                <w:sz w:val="22"/>
              </w:rPr>
              <w:t>3</w:t>
            </w:r>
            <w:r>
              <w:rPr>
                <w:rFonts w:hint="eastAsia" w:ascii="仿宋" w:hAnsi="仿宋" w:eastAsia="仿宋" w:cs="仿宋"/>
                <w:sz w:val="22"/>
              </w:rPr>
              <w:t>)出</w:t>
            </w:r>
            <w:r>
              <w:rPr>
                <w:rFonts w:hint="eastAsia" w:ascii="Times New Roman" w:hAnsi="Times New Roman" w:eastAsia="仿宋"/>
                <w:sz w:val="22"/>
              </w:rPr>
              <w:t>现强制终止</w:t>
            </w:r>
            <w:r>
              <w:rPr>
                <w:rFonts w:ascii="Times New Roman" w:hAnsi="Times New Roman" w:eastAsia="仿宋"/>
                <w:sz w:val="22"/>
              </w:rPr>
              <w:t>上市情形</w:t>
            </w:r>
          </w:p>
          <w:p>
            <w:pPr>
              <w:snapToGrid w:val="0"/>
              <w:spacing w:line="320" w:lineRule="exact"/>
              <w:rPr>
                <w:rFonts w:ascii="Times New Roman" w:hAnsi="Times New Roman" w:eastAsia="仿宋"/>
                <w:sz w:val="22"/>
              </w:rPr>
            </w:pPr>
            <w:r>
              <w:rPr>
                <w:rFonts w:ascii="Times New Roman" w:hAnsi="Times New Roman" w:eastAsia="仿宋"/>
                <w:sz w:val="22"/>
              </w:rPr>
              <w:t>□</w:t>
            </w:r>
            <w:r>
              <w:rPr>
                <w:rFonts w:hint="eastAsia" w:ascii="Times New Roman" w:hAnsi="Times New Roman" w:eastAsia="仿宋"/>
                <w:sz w:val="22"/>
                <w:lang w:val="en-US" w:eastAsia="zh-CN"/>
              </w:rPr>
              <w:t>6</w:t>
            </w:r>
            <w:r>
              <w:rPr>
                <w:rFonts w:ascii="Times New Roman" w:hAnsi="Times New Roman" w:eastAsia="仿宋"/>
                <w:sz w:val="22"/>
              </w:rPr>
              <w:t>.其他事项：</w:t>
            </w:r>
          </w:p>
          <w:p>
            <w:pPr>
              <w:snapToGrid w:val="0"/>
              <w:spacing w:line="320" w:lineRule="exact"/>
              <w:ind w:firstLine="220" w:firstLineChars="100"/>
              <w:rPr>
                <w:rFonts w:ascii="Times New Roman" w:hAnsi="Times New Roman" w:eastAsia="仿宋"/>
                <w:sz w:val="22"/>
              </w:rPr>
            </w:pPr>
            <w:r>
              <w:rPr>
                <w:rFonts w:ascii="Times New Roman" w:hAnsi="Times New Roman" w:eastAsia="仿宋"/>
                <w:sz w:val="22"/>
              </w:rPr>
              <w:t>□</w:t>
            </w:r>
            <w:r>
              <w:rPr>
                <w:rFonts w:hint="eastAsia" w:ascii="仿宋" w:hAnsi="仿宋" w:eastAsia="仿宋" w:cs="仿宋"/>
                <w:sz w:val="22"/>
              </w:rPr>
              <w:t>(</w:t>
            </w:r>
            <w:r>
              <w:rPr>
                <w:rFonts w:ascii="Times New Roman" w:hAnsi="Times New Roman" w:eastAsia="仿宋"/>
                <w:sz w:val="22"/>
              </w:rPr>
              <w:t>1</w:t>
            </w:r>
            <w:r>
              <w:rPr>
                <w:rFonts w:hint="eastAsia" w:ascii="仿宋" w:hAnsi="仿宋" w:eastAsia="仿宋" w:cs="仿宋"/>
                <w:sz w:val="22"/>
              </w:rPr>
              <w:t>)</w:t>
            </w:r>
            <w:r>
              <w:rPr>
                <w:rFonts w:hint="eastAsia" w:ascii="Times New Roman" w:hAnsi="Times New Roman" w:eastAsia="仿宋"/>
                <w:sz w:val="22"/>
              </w:rPr>
              <w:t>披露权益分派实施公告后未能按期实施且未于R-1日披露延期公告</w:t>
            </w:r>
            <w:r>
              <w:rPr>
                <w:rFonts w:ascii="Times New Roman" w:hAnsi="Times New Roman" w:eastAsia="仿宋"/>
                <w:sz w:val="22"/>
              </w:rPr>
              <w:t xml:space="preserve"> </w:t>
            </w:r>
          </w:p>
          <w:p>
            <w:pPr>
              <w:snapToGrid w:val="0"/>
              <w:spacing w:line="320" w:lineRule="exact"/>
              <w:ind w:left="320" w:leftChars="100" w:hanging="110" w:hangingChars="50"/>
              <w:rPr>
                <w:rFonts w:ascii="Times New Roman" w:hAnsi="Times New Roman" w:eastAsia="仿宋"/>
                <w:sz w:val="22"/>
              </w:rPr>
            </w:pPr>
            <w:r>
              <w:rPr>
                <w:rFonts w:ascii="Times New Roman" w:hAnsi="Times New Roman" w:eastAsia="仿宋"/>
                <w:sz w:val="22"/>
              </w:rPr>
              <w:t>□</w:t>
            </w:r>
            <w:r>
              <w:rPr>
                <w:rFonts w:hint="eastAsia" w:ascii="仿宋" w:hAnsi="仿宋" w:eastAsia="仿宋" w:cs="仿宋"/>
                <w:sz w:val="22"/>
              </w:rPr>
              <w:t>(</w:t>
            </w:r>
            <w:r>
              <w:rPr>
                <w:rFonts w:ascii="Times New Roman" w:hAnsi="Times New Roman" w:eastAsia="仿宋"/>
                <w:sz w:val="22"/>
              </w:rPr>
              <w:t>2</w:t>
            </w:r>
            <w:r>
              <w:rPr>
                <w:rFonts w:hint="eastAsia" w:ascii="仿宋" w:hAnsi="仿宋" w:eastAsia="仿宋" w:cs="仿宋"/>
                <w:sz w:val="22"/>
              </w:rPr>
              <w:t>)</w:t>
            </w:r>
            <w:r>
              <w:rPr>
                <w:rFonts w:hint="eastAsia" w:ascii="Times New Roman" w:hAnsi="Times New Roman" w:eastAsia="仿宋"/>
                <w:sz w:val="22"/>
              </w:rPr>
              <w:t>其他</w:t>
            </w:r>
            <w:r>
              <w:rPr>
                <w:rFonts w:ascii="Times New Roman" w:hAnsi="Times New Roman" w:eastAsia="仿宋"/>
                <w:sz w:val="22"/>
              </w:rPr>
              <w:t>合理理由，具体内容：</w:t>
            </w:r>
            <w:r>
              <w:rPr>
                <w:rFonts w:ascii="Times New Roman" w:hAnsi="Times New Roman" w:eastAsia="仿宋"/>
                <w:sz w:val="22"/>
                <w:u w:val="single"/>
              </w:rPr>
              <w:t xml:space="preserve">                                  </w:t>
            </w:r>
            <w:r>
              <w:rPr>
                <w:rFonts w:ascii="Times New Roman" w:hAnsi="Times New Roman" w:eastAsia="仿宋"/>
                <w:sz w:val="22"/>
              </w:rPr>
              <w:t>（必填）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7" w:hRule="atLeast"/>
          <w:jc w:val="center"/>
        </w:trPr>
        <w:tc>
          <w:tcPr>
            <w:tcW w:w="1598" w:type="dxa"/>
            <w:tcBorders>
              <w:bottom w:val="single" w:color="auto" w:sz="4" w:space="0"/>
            </w:tcBorders>
            <w:vAlign w:val="center"/>
          </w:tcPr>
          <w:p>
            <w:pPr>
              <w:widowControl/>
              <w:spacing w:line="320" w:lineRule="exact"/>
              <w:jc w:val="center"/>
              <w:rPr>
                <w:rFonts w:ascii="Times New Roman" w:hAnsi="Times New Roman" w:eastAsia="方正仿宋简体"/>
                <w:sz w:val="22"/>
              </w:rPr>
            </w:pPr>
            <w:r>
              <w:rPr>
                <w:rFonts w:ascii="Times New Roman" w:hAnsi="Times New Roman" w:eastAsia="方正仿宋简体"/>
                <w:sz w:val="22"/>
              </w:rPr>
              <w:t>原停牌生效日</w:t>
            </w:r>
          </w:p>
        </w:tc>
        <w:tc>
          <w:tcPr>
            <w:tcW w:w="2410" w:type="dxa"/>
            <w:gridSpan w:val="2"/>
            <w:tcBorders>
              <w:bottom w:val="single" w:color="auto" w:sz="4" w:space="0"/>
            </w:tcBorders>
            <w:vAlign w:val="center"/>
          </w:tcPr>
          <w:p>
            <w:pPr>
              <w:widowControl/>
              <w:spacing w:line="320" w:lineRule="exact"/>
              <w:jc w:val="center"/>
              <w:rPr>
                <w:rFonts w:ascii="Times New Roman" w:hAnsi="Times New Roman" w:eastAsia="方正仿宋简体"/>
                <w:sz w:val="22"/>
              </w:rPr>
            </w:pPr>
          </w:p>
        </w:tc>
        <w:tc>
          <w:tcPr>
            <w:tcW w:w="2650" w:type="dxa"/>
            <w:gridSpan w:val="3"/>
            <w:tcBorders>
              <w:bottom w:val="single" w:color="auto" w:sz="4" w:space="0"/>
            </w:tcBorders>
            <w:vAlign w:val="center"/>
          </w:tcPr>
          <w:p>
            <w:pPr>
              <w:widowControl/>
              <w:spacing w:line="320" w:lineRule="exact"/>
              <w:jc w:val="center"/>
              <w:rPr>
                <w:rFonts w:ascii="Times New Roman" w:hAnsi="Times New Roman" w:eastAsia="方正仿宋简体"/>
                <w:sz w:val="22"/>
              </w:rPr>
            </w:pPr>
            <w:r>
              <w:rPr>
                <w:rFonts w:ascii="Times New Roman" w:hAnsi="Times New Roman" w:eastAsia="方正仿宋简体"/>
                <w:sz w:val="22"/>
              </w:rPr>
              <w:t>原预计复牌日期</w:t>
            </w:r>
            <w:r>
              <w:rPr>
                <w:rFonts w:hint="eastAsia" w:ascii="Times New Roman" w:hAnsi="Times New Roman" w:eastAsia="方正仿宋简体"/>
                <w:sz w:val="22"/>
              </w:rPr>
              <w:t>（</w:t>
            </w:r>
            <w:r>
              <w:rPr>
                <w:rFonts w:ascii="Times New Roman" w:hAnsi="Times New Roman" w:eastAsia="方正仿宋简体"/>
                <w:sz w:val="22"/>
              </w:rPr>
              <w:t>如有）</w:t>
            </w:r>
          </w:p>
        </w:tc>
        <w:tc>
          <w:tcPr>
            <w:tcW w:w="2829" w:type="dxa"/>
            <w:gridSpan w:val="2"/>
            <w:tcBorders>
              <w:bottom w:val="single" w:color="auto" w:sz="4" w:space="0"/>
            </w:tcBorders>
            <w:vAlign w:val="center"/>
          </w:tcPr>
          <w:p>
            <w:pPr>
              <w:widowControl/>
              <w:spacing w:line="320" w:lineRule="exact"/>
              <w:ind w:firstLine="400"/>
              <w:jc w:val="center"/>
              <w:rPr>
                <w:rFonts w:ascii="Times New Roman" w:hAnsi="Times New Roman" w:eastAsia="方正仿宋简体"/>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7" w:hRule="atLeast"/>
          <w:jc w:val="center"/>
        </w:trPr>
        <w:tc>
          <w:tcPr>
            <w:tcW w:w="1598" w:type="dxa"/>
            <w:tcBorders>
              <w:bottom w:val="single" w:color="auto" w:sz="4" w:space="0"/>
            </w:tcBorders>
            <w:vAlign w:val="center"/>
          </w:tcPr>
          <w:p>
            <w:pPr>
              <w:widowControl/>
              <w:spacing w:line="320" w:lineRule="exact"/>
              <w:jc w:val="center"/>
              <w:rPr>
                <w:rFonts w:ascii="Times New Roman" w:hAnsi="Times New Roman" w:eastAsia="方正仿宋简体"/>
                <w:sz w:val="22"/>
              </w:rPr>
            </w:pPr>
            <w:r>
              <w:rPr>
                <w:rFonts w:ascii="Times New Roman" w:hAnsi="Times New Roman" w:eastAsia="方正仿宋简体"/>
                <w:sz w:val="22"/>
              </w:rPr>
              <w:t>变更停牌事项生效日</w:t>
            </w:r>
          </w:p>
        </w:tc>
        <w:tc>
          <w:tcPr>
            <w:tcW w:w="2410" w:type="dxa"/>
            <w:gridSpan w:val="2"/>
            <w:tcBorders>
              <w:bottom w:val="single" w:color="auto" w:sz="4" w:space="0"/>
            </w:tcBorders>
            <w:vAlign w:val="center"/>
          </w:tcPr>
          <w:p>
            <w:pPr>
              <w:widowControl/>
              <w:spacing w:line="320" w:lineRule="exact"/>
              <w:jc w:val="center"/>
              <w:rPr>
                <w:rFonts w:ascii="Times New Roman" w:hAnsi="Times New Roman" w:eastAsia="方正仿宋简体"/>
                <w:sz w:val="22"/>
              </w:rPr>
            </w:pPr>
          </w:p>
        </w:tc>
        <w:tc>
          <w:tcPr>
            <w:tcW w:w="2650" w:type="dxa"/>
            <w:gridSpan w:val="3"/>
            <w:tcBorders>
              <w:bottom w:val="single" w:color="auto" w:sz="4" w:space="0"/>
            </w:tcBorders>
            <w:vAlign w:val="center"/>
          </w:tcPr>
          <w:p>
            <w:pPr>
              <w:widowControl/>
              <w:spacing w:line="320" w:lineRule="exact"/>
              <w:jc w:val="center"/>
              <w:rPr>
                <w:rFonts w:ascii="Times New Roman" w:hAnsi="Times New Roman" w:eastAsia="方正仿宋简体"/>
                <w:sz w:val="22"/>
              </w:rPr>
            </w:pPr>
            <w:r>
              <w:rPr>
                <w:rFonts w:ascii="Times New Roman" w:hAnsi="Times New Roman" w:eastAsia="方正仿宋简体"/>
                <w:sz w:val="22"/>
              </w:rPr>
              <w:t>变更后预计复牌日期</w:t>
            </w:r>
          </w:p>
          <w:p>
            <w:pPr>
              <w:widowControl/>
              <w:spacing w:line="320" w:lineRule="exact"/>
              <w:jc w:val="center"/>
              <w:rPr>
                <w:rFonts w:ascii="Times New Roman" w:hAnsi="Times New Roman" w:eastAsia="方正仿宋简体"/>
                <w:sz w:val="22"/>
              </w:rPr>
            </w:pPr>
            <w:r>
              <w:rPr>
                <w:rFonts w:hint="eastAsia" w:ascii="Times New Roman" w:hAnsi="Times New Roman" w:eastAsia="方正仿宋简体"/>
                <w:sz w:val="22"/>
              </w:rPr>
              <w:t>（</w:t>
            </w:r>
            <w:r>
              <w:rPr>
                <w:rFonts w:ascii="Times New Roman" w:hAnsi="Times New Roman" w:eastAsia="方正仿宋简体"/>
                <w:sz w:val="22"/>
              </w:rPr>
              <w:t>如</w:t>
            </w:r>
            <w:r>
              <w:rPr>
                <w:rFonts w:hint="eastAsia" w:ascii="Times New Roman" w:hAnsi="Times New Roman" w:eastAsia="方正仿宋简体"/>
                <w:sz w:val="22"/>
              </w:rPr>
              <w:t>适用</w:t>
            </w:r>
            <w:r>
              <w:rPr>
                <w:rFonts w:ascii="Times New Roman" w:hAnsi="Times New Roman" w:eastAsia="方正仿宋简体"/>
                <w:sz w:val="22"/>
              </w:rPr>
              <w:t>）</w:t>
            </w:r>
          </w:p>
        </w:tc>
        <w:tc>
          <w:tcPr>
            <w:tcW w:w="2829" w:type="dxa"/>
            <w:gridSpan w:val="2"/>
            <w:tcBorders>
              <w:bottom w:val="single" w:color="auto" w:sz="4" w:space="0"/>
            </w:tcBorders>
            <w:vAlign w:val="center"/>
          </w:tcPr>
          <w:p>
            <w:pPr>
              <w:widowControl/>
              <w:spacing w:line="320" w:lineRule="exact"/>
              <w:ind w:firstLine="400"/>
              <w:jc w:val="center"/>
              <w:rPr>
                <w:rFonts w:ascii="Times New Roman" w:hAnsi="Times New Roman" w:eastAsia="方正仿宋简体"/>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550" w:hRule="atLeast"/>
          <w:jc w:val="center"/>
        </w:trPr>
        <w:tc>
          <w:tcPr>
            <w:tcW w:w="9487" w:type="dxa"/>
            <w:gridSpan w:val="8"/>
          </w:tcPr>
          <w:p>
            <w:pPr>
              <w:snapToGrid w:val="0"/>
              <w:spacing w:line="280" w:lineRule="exact"/>
              <w:rPr>
                <w:rFonts w:ascii="Times New Roman" w:hAnsi="Times New Roman" w:eastAsia="仿宋"/>
                <w:sz w:val="22"/>
              </w:rPr>
            </w:pPr>
          </w:p>
          <w:p>
            <w:pPr>
              <w:snapToGrid w:val="0"/>
              <w:spacing w:line="280" w:lineRule="exact"/>
              <w:rPr>
                <w:rFonts w:ascii="Times New Roman" w:hAnsi="Times New Roman" w:eastAsia="仿宋"/>
                <w:sz w:val="22"/>
              </w:rPr>
            </w:pPr>
            <w:r>
              <w:rPr>
                <w:rFonts w:ascii="Times New Roman" w:hAnsi="Times New Roman" w:eastAsia="仿宋"/>
                <w:sz w:val="22"/>
              </w:rPr>
              <w:t>申请人：XXX股份有限公司（加盖公</w:t>
            </w:r>
            <w:r>
              <w:rPr>
                <w:rFonts w:hint="eastAsia" w:ascii="Times New Roman" w:hAnsi="Times New Roman" w:eastAsia="仿宋"/>
                <w:sz w:val="22"/>
              </w:rPr>
              <w:t>章或董事会</w:t>
            </w:r>
            <w:r>
              <w:rPr>
                <w:rFonts w:ascii="Times New Roman" w:hAnsi="Times New Roman" w:eastAsia="仿宋"/>
                <w:sz w:val="22"/>
              </w:rPr>
              <w:t xml:space="preserve">章）            </w:t>
            </w:r>
          </w:p>
          <w:p>
            <w:pPr>
              <w:snapToGrid w:val="0"/>
              <w:spacing w:line="280" w:lineRule="exact"/>
              <w:rPr>
                <w:rFonts w:ascii="Times New Roman" w:hAnsi="Times New Roman" w:eastAsia="仿宋"/>
                <w:sz w:val="22"/>
              </w:rPr>
            </w:pPr>
          </w:p>
          <w:p>
            <w:pPr>
              <w:snapToGrid w:val="0"/>
              <w:spacing w:line="280" w:lineRule="exact"/>
              <w:rPr>
                <w:rFonts w:ascii="Times New Roman" w:hAnsi="Times New Roman" w:eastAsia="仿宋"/>
                <w:sz w:val="22"/>
              </w:rPr>
            </w:pPr>
          </w:p>
          <w:p>
            <w:pPr>
              <w:snapToGrid w:val="0"/>
              <w:spacing w:line="280" w:lineRule="exact"/>
              <w:rPr>
                <w:rFonts w:ascii="Times New Roman" w:hAnsi="Times New Roman" w:eastAsia="仿宋"/>
                <w:sz w:val="22"/>
              </w:rPr>
            </w:pPr>
            <w:r>
              <w:rPr>
                <w:rFonts w:hint="eastAsia" w:ascii="Times New Roman" w:hAnsi="Times New Roman" w:eastAsia="仿宋"/>
                <w:sz w:val="22"/>
              </w:rPr>
              <w:t>董事会秘书</w:t>
            </w:r>
            <w:r>
              <w:rPr>
                <w:rFonts w:ascii="Times New Roman" w:hAnsi="Times New Roman" w:eastAsia="仿宋"/>
                <w:sz w:val="22"/>
              </w:rPr>
              <w:t>签名：</w:t>
            </w:r>
            <w:r>
              <w:rPr>
                <w:rFonts w:hint="eastAsia" w:ascii="Times New Roman" w:hAnsi="Times New Roman" w:eastAsia="仿宋"/>
                <w:sz w:val="22"/>
              </w:rPr>
              <w:t xml:space="preserve">        </w:t>
            </w:r>
            <w:r>
              <w:rPr>
                <w:rFonts w:ascii="Times New Roman" w:hAnsi="Times New Roman" w:eastAsia="仿宋"/>
                <w:sz w:val="22"/>
              </w:rPr>
              <w:t xml:space="preserve">                             联系电话：         </w:t>
            </w:r>
          </w:p>
          <w:p>
            <w:pPr>
              <w:snapToGrid w:val="0"/>
              <w:spacing w:line="280" w:lineRule="exact"/>
              <w:rPr>
                <w:rFonts w:ascii="Times New Roman" w:hAnsi="Times New Roman" w:eastAsia="仿宋"/>
                <w:sz w:val="22"/>
              </w:rPr>
            </w:pPr>
            <w:r>
              <w:rPr>
                <w:rFonts w:ascii="Times New Roman" w:hAnsi="Times New Roman" w:eastAsia="仿宋"/>
                <w:sz w:val="22"/>
              </w:rPr>
              <w:t xml:space="preserve">                           </w:t>
            </w:r>
          </w:p>
          <w:p>
            <w:pPr>
              <w:snapToGrid w:val="0"/>
              <w:spacing w:line="320" w:lineRule="exact"/>
              <w:rPr>
                <w:rFonts w:ascii="Times New Roman" w:hAnsi="Times New Roman" w:eastAsia="方正仿宋简体"/>
                <w:sz w:val="22"/>
              </w:rPr>
            </w:pPr>
            <w:r>
              <w:rPr>
                <w:rFonts w:ascii="Times New Roman" w:hAnsi="Times New Roman" w:eastAsia="仿宋"/>
                <w:sz w:val="22"/>
              </w:rPr>
              <w:t xml:space="preserve">           年     月     日             </w:t>
            </w:r>
          </w:p>
        </w:tc>
      </w:tr>
    </w:tbl>
    <w:p>
      <w:pPr>
        <w:widowControl/>
        <w:jc w:val="left"/>
        <w:rPr>
          <w:rFonts w:ascii="Times New Roman" w:hAnsi="Times New Roman"/>
        </w:rPr>
      </w:pPr>
      <w:r>
        <w:rPr>
          <w:rFonts w:ascii="Times New Roman" w:hAnsi="Times New Roman"/>
        </w:rPr>
        <w:br w:type="page"/>
      </w:r>
    </w:p>
    <w:p>
      <w:pPr>
        <w:spacing w:line="600" w:lineRule="exact"/>
        <w:rPr>
          <w:rFonts w:ascii="Times New Roman" w:hAnsi="Times New Roman" w:eastAsia="黑体"/>
          <w:sz w:val="32"/>
          <w:szCs w:val="28"/>
        </w:rPr>
      </w:pPr>
      <w:r>
        <w:rPr>
          <w:rFonts w:ascii="Times New Roman" w:hAnsi="Times New Roman" w:eastAsia="黑体"/>
          <w:sz w:val="32"/>
          <w:szCs w:val="28"/>
        </w:rPr>
        <w:t>附表4</w:t>
      </w:r>
    </w:p>
    <w:p>
      <w:pPr>
        <w:spacing w:line="600" w:lineRule="exact"/>
        <w:ind w:firstLine="220" w:firstLineChars="50"/>
        <w:jc w:val="center"/>
        <w:outlineLvl w:val="0"/>
        <w:rPr>
          <w:rFonts w:ascii="Times New Roman" w:hAnsi="Times New Roman" w:eastAsia="方正大标宋简体"/>
          <w:sz w:val="44"/>
          <w:szCs w:val="42"/>
        </w:rPr>
      </w:pPr>
      <w:r>
        <w:rPr>
          <w:rFonts w:ascii="Times New Roman" w:hAnsi="Times New Roman" w:eastAsia="方正大标宋简体"/>
          <w:sz w:val="44"/>
          <w:szCs w:val="42"/>
        </w:rPr>
        <w:t>延期复牌申请表</w:t>
      </w:r>
    </w:p>
    <w:tbl>
      <w:tblPr>
        <w:tblStyle w:val="8"/>
        <w:tblW w:w="948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68"/>
        <w:gridCol w:w="2037"/>
        <w:gridCol w:w="944"/>
        <w:gridCol w:w="421"/>
        <w:gridCol w:w="1134"/>
        <w:gridCol w:w="288"/>
        <w:gridCol w:w="1129"/>
        <w:gridCol w:w="18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46" w:hRule="atLeast"/>
          <w:jc w:val="center"/>
        </w:trPr>
        <w:tc>
          <w:tcPr>
            <w:tcW w:w="1668" w:type="dxa"/>
          </w:tcPr>
          <w:p>
            <w:pPr>
              <w:widowControl/>
              <w:spacing w:line="280" w:lineRule="exact"/>
              <w:rPr>
                <w:rFonts w:ascii="Times New Roman" w:hAnsi="Times New Roman" w:eastAsia="仿宋"/>
                <w:sz w:val="22"/>
              </w:rPr>
            </w:pPr>
            <w:r>
              <w:rPr>
                <w:rFonts w:ascii="Times New Roman" w:hAnsi="Times New Roman" w:eastAsia="仿宋"/>
                <w:sz w:val="22"/>
              </w:rPr>
              <w:t>公司名称</w:t>
            </w:r>
          </w:p>
        </w:tc>
        <w:tc>
          <w:tcPr>
            <w:tcW w:w="2037" w:type="dxa"/>
          </w:tcPr>
          <w:p>
            <w:pPr>
              <w:widowControl/>
              <w:spacing w:line="280" w:lineRule="exact"/>
              <w:ind w:firstLine="400"/>
              <w:rPr>
                <w:rFonts w:ascii="Times New Roman" w:hAnsi="Times New Roman" w:eastAsia="仿宋"/>
                <w:sz w:val="22"/>
              </w:rPr>
            </w:pPr>
          </w:p>
        </w:tc>
        <w:tc>
          <w:tcPr>
            <w:tcW w:w="1365" w:type="dxa"/>
            <w:gridSpan w:val="2"/>
          </w:tcPr>
          <w:p>
            <w:pPr>
              <w:widowControl/>
              <w:spacing w:line="280" w:lineRule="exact"/>
              <w:rPr>
                <w:rFonts w:ascii="Times New Roman" w:hAnsi="Times New Roman" w:eastAsia="仿宋"/>
                <w:sz w:val="22"/>
              </w:rPr>
            </w:pPr>
            <w:r>
              <w:rPr>
                <w:rFonts w:ascii="Times New Roman" w:hAnsi="Times New Roman" w:eastAsia="仿宋"/>
                <w:sz w:val="22"/>
              </w:rPr>
              <w:t>证券简称</w:t>
            </w:r>
          </w:p>
        </w:tc>
        <w:tc>
          <w:tcPr>
            <w:tcW w:w="1134" w:type="dxa"/>
          </w:tcPr>
          <w:p>
            <w:pPr>
              <w:widowControl/>
              <w:spacing w:line="280" w:lineRule="exact"/>
              <w:ind w:firstLine="400"/>
              <w:rPr>
                <w:rFonts w:ascii="Times New Roman" w:hAnsi="Times New Roman" w:eastAsia="仿宋"/>
                <w:sz w:val="22"/>
              </w:rPr>
            </w:pPr>
          </w:p>
        </w:tc>
        <w:tc>
          <w:tcPr>
            <w:tcW w:w="1417" w:type="dxa"/>
            <w:gridSpan w:val="2"/>
          </w:tcPr>
          <w:p>
            <w:pPr>
              <w:widowControl/>
              <w:spacing w:line="280" w:lineRule="exact"/>
              <w:rPr>
                <w:rFonts w:ascii="Times New Roman" w:hAnsi="Times New Roman" w:eastAsia="仿宋"/>
                <w:sz w:val="22"/>
              </w:rPr>
            </w:pPr>
            <w:r>
              <w:rPr>
                <w:rFonts w:ascii="Times New Roman" w:hAnsi="Times New Roman" w:eastAsia="仿宋"/>
                <w:sz w:val="22"/>
              </w:rPr>
              <w:t>证券代码</w:t>
            </w:r>
          </w:p>
        </w:tc>
        <w:tc>
          <w:tcPr>
            <w:tcW w:w="1866" w:type="dxa"/>
          </w:tcPr>
          <w:p>
            <w:pPr>
              <w:widowControl/>
              <w:spacing w:line="280" w:lineRule="exact"/>
              <w:ind w:firstLine="400"/>
              <w:rPr>
                <w:rFonts w:ascii="Times New Roman" w:hAnsi="Times New Roman" w:eastAsia="仿宋"/>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46" w:hRule="atLeast"/>
          <w:jc w:val="center"/>
        </w:trPr>
        <w:tc>
          <w:tcPr>
            <w:tcW w:w="9487" w:type="dxa"/>
            <w:gridSpan w:val="8"/>
          </w:tcPr>
          <w:p>
            <w:pPr>
              <w:widowControl/>
              <w:spacing w:line="280" w:lineRule="exact"/>
              <w:rPr>
                <w:rFonts w:ascii="Times New Roman" w:hAnsi="Times New Roman" w:eastAsia="仿宋"/>
                <w:sz w:val="22"/>
              </w:rPr>
            </w:pPr>
            <w:r>
              <w:rPr>
                <w:rFonts w:ascii="Times New Roman" w:hAnsi="Times New Roman" w:eastAsia="仿宋"/>
                <w:sz w:val="22"/>
              </w:rPr>
              <w:t>公司是否发行其他证券品种 □</w:t>
            </w:r>
            <w:r>
              <w:rPr>
                <w:rFonts w:ascii="Times New Roman" w:hAnsi="Times New Roman" w:eastAsia="仿宋"/>
                <w:kern w:val="0"/>
                <w:sz w:val="22"/>
                <w:szCs w:val="20"/>
              </w:rPr>
              <w:t>是（</w:t>
            </w:r>
            <w:r>
              <w:rPr>
                <w:rFonts w:ascii="Times New Roman" w:hAnsi="Times New Roman" w:eastAsia="仿宋"/>
                <w:sz w:val="22"/>
              </w:rPr>
              <w:t>□</w:t>
            </w:r>
            <w:r>
              <w:rPr>
                <w:rFonts w:ascii="Times New Roman" w:hAnsi="Times New Roman" w:eastAsia="仿宋"/>
                <w:kern w:val="0"/>
                <w:sz w:val="22"/>
                <w:szCs w:val="20"/>
              </w:rPr>
              <w:t xml:space="preserve">优先股  </w:t>
            </w:r>
            <w:r>
              <w:rPr>
                <w:rFonts w:ascii="Times New Roman" w:hAnsi="Times New Roman" w:eastAsia="仿宋"/>
                <w:sz w:val="22"/>
              </w:rPr>
              <w:t>□</w:t>
            </w:r>
            <w:r>
              <w:rPr>
                <w:rFonts w:hint="eastAsia" w:ascii="Times New Roman" w:hAnsi="Times New Roman" w:eastAsia="仿宋"/>
                <w:kern w:val="0"/>
                <w:sz w:val="22"/>
                <w:szCs w:val="20"/>
              </w:rPr>
              <w:t>可转债</w:t>
            </w:r>
            <w:r>
              <w:rPr>
                <w:rFonts w:ascii="Times New Roman" w:hAnsi="Times New Roman" w:eastAsia="仿宋"/>
                <w:kern w:val="0"/>
                <w:sz w:val="22"/>
                <w:szCs w:val="20"/>
              </w:rPr>
              <w:t xml:space="preserve">  </w:t>
            </w:r>
            <w:r>
              <w:rPr>
                <w:rFonts w:ascii="Times New Roman" w:hAnsi="Times New Roman" w:eastAsia="仿宋"/>
                <w:sz w:val="22"/>
              </w:rPr>
              <w:t>□</w:t>
            </w:r>
            <w:r>
              <w:rPr>
                <w:rFonts w:ascii="Times New Roman" w:hAnsi="Times New Roman" w:eastAsia="仿宋"/>
                <w:kern w:val="0"/>
                <w:sz w:val="22"/>
                <w:szCs w:val="20"/>
              </w:rPr>
              <w:t>其他</w:t>
            </w:r>
            <w:r>
              <w:rPr>
                <w:rFonts w:ascii="Times New Roman" w:hAnsi="Times New Roman" w:eastAsia="仿宋"/>
                <w:kern w:val="0"/>
                <w:sz w:val="22"/>
                <w:szCs w:val="20"/>
                <w:u w:val="single"/>
              </w:rPr>
              <w:t xml:space="preserve">        </w:t>
            </w:r>
            <w:r>
              <w:rPr>
                <w:rFonts w:ascii="Times New Roman" w:hAnsi="Times New Roman" w:eastAsia="仿宋"/>
                <w:kern w:val="0"/>
                <w:sz w:val="22"/>
                <w:szCs w:val="20"/>
              </w:rPr>
              <w:t xml:space="preserve">）   </w:t>
            </w:r>
            <w:r>
              <w:rPr>
                <w:rFonts w:ascii="Times New Roman" w:hAnsi="Times New Roman" w:eastAsia="仿宋"/>
                <w:sz w:val="22"/>
              </w:rPr>
              <w:t>□</w:t>
            </w:r>
            <w:r>
              <w:rPr>
                <w:rFonts w:ascii="Times New Roman" w:hAnsi="Times New Roman" w:eastAsia="仿宋"/>
                <w:kern w:val="0"/>
                <w:sz w:val="22"/>
                <w:szCs w:val="20"/>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584" w:hRule="atLeast"/>
          <w:jc w:val="center"/>
        </w:trPr>
        <w:tc>
          <w:tcPr>
            <w:tcW w:w="1668" w:type="dxa"/>
          </w:tcPr>
          <w:p>
            <w:pPr>
              <w:widowControl/>
              <w:spacing w:line="280" w:lineRule="exact"/>
              <w:rPr>
                <w:rFonts w:ascii="Times New Roman" w:hAnsi="Times New Roman" w:eastAsia="仿宋"/>
                <w:sz w:val="22"/>
              </w:rPr>
            </w:pPr>
            <w:r>
              <w:rPr>
                <w:rFonts w:ascii="Times New Roman" w:hAnsi="Times New Roman" w:eastAsia="仿宋"/>
                <w:sz w:val="22"/>
              </w:rPr>
              <w:t>导致申请停牌的触发事由</w:t>
            </w:r>
          </w:p>
        </w:tc>
        <w:tc>
          <w:tcPr>
            <w:tcW w:w="7819" w:type="dxa"/>
            <w:gridSpan w:val="7"/>
          </w:tcPr>
          <w:p>
            <w:pPr>
              <w:snapToGrid w:val="0"/>
              <w:spacing w:line="280" w:lineRule="exact"/>
              <w:rPr>
                <w:rFonts w:ascii="Times New Roman" w:hAnsi="Times New Roman" w:eastAsia="仿宋"/>
                <w:sz w:val="22"/>
              </w:rPr>
            </w:pPr>
            <w:r>
              <w:rPr>
                <w:rFonts w:ascii="Times New Roman" w:hAnsi="Times New Roman" w:eastAsia="仿宋"/>
                <w:sz w:val="22"/>
              </w:rPr>
              <w:t>□1.</w:t>
            </w:r>
            <w:r>
              <w:rPr>
                <w:rFonts w:hint="eastAsia" w:ascii="Times New Roman" w:hAnsi="Times New Roman" w:eastAsia="仿宋"/>
                <w:sz w:val="22"/>
              </w:rPr>
              <w:t>发行股份购买资产</w:t>
            </w:r>
            <w:r>
              <w:rPr>
                <w:rFonts w:ascii="Times New Roman" w:hAnsi="Times New Roman" w:eastAsia="仿宋"/>
                <w:sz w:val="22"/>
              </w:rPr>
              <w:br w:type="textWrapping"/>
            </w:r>
            <w:r>
              <w:rPr>
                <w:rFonts w:ascii="Times New Roman" w:hAnsi="Times New Roman" w:eastAsia="仿宋"/>
                <w:sz w:val="22"/>
              </w:rPr>
              <w:t>□2.筹划控制权变动</w:t>
            </w:r>
          </w:p>
          <w:p>
            <w:pPr>
              <w:widowControl/>
              <w:spacing w:line="280" w:lineRule="exact"/>
              <w:jc w:val="left"/>
              <w:rPr>
                <w:rFonts w:ascii="Times New Roman" w:hAnsi="Times New Roman" w:eastAsia="仿宋"/>
                <w:sz w:val="22"/>
              </w:rPr>
            </w:pPr>
            <w:r>
              <w:rPr>
                <w:rFonts w:ascii="Times New Roman" w:hAnsi="Times New Roman" w:eastAsia="仿宋"/>
                <w:sz w:val="22"/>
              </w:rPr>
              <w:t>□3.涉及要约收购</w:t>
            </w:r>
          </w:p>
          <w:p>
            <w:pPr>
              <w:widowControl/>
              <w:spacing w:line="280" w:lineRule="exact"/>
              <w:jc w:val="left"/>
              <w:rPr>
                <w:rFonts w:ascii="Times New Roman" w:hAnsi="Times New Roman" w:eastAsia="仿宋"/>
                <w:sz w:val="22"/>
              </w:rPr>
            </w:pPr>
            <w:r>
              <w:rPr>
                <w:rFonts w:ascii="Times New Roman" w:hAnsi="Times New Roman" w:eastAsia="仿宋"/>
                <w:sz w:val="22"/>
              </w:rPr>
              <w:t>□4.涉及</w:t>
            </w:r>
            <w:r>
              <w:rPr>
                <w:rFonts w:hint="eastAsia" w:ascii="Times New Roman" w:hAnsi="Times New Roman" w:eastAsia="仿宋"/>
                <w:sz w:val="22"/>
              </w:rPr>
              <w:t>破产</w:t>
            </w:r>
            <w:r>
              <w:rPr>
                <w:rFonts w:ascii="Times New Roman" w:hAnsi="Times New Roman" w:eastAsia="仿宋"/>
                <w:sz w:val="22"/>
              </w:rPr>
              <w:t>重整</w:t>
            </w:r>
          </w:p>
          <w:p>
            <w:pPr>
              <w:widowControl/>
              <w:spacing w:line="280" w:lineRule="exact"/>
              <w:jc w:val="left"/>
              <w:rPr>
                <w:rFonts w:ascii="Times New Roman" w:hAnsi="Times New Roman" w:eastAsia="仿宋"/>
                <w:sz w:val="22"/>
              </w:rPr>
            </w:pPr>
            <w:r>
              <w:rPr>
                <w:rFonts w:ascii="Times New Roman" w:hAnsi="Times New Roman" w:eastAsia="仿宋"/>
                <w:sz w:val="22"/>
              </w:rPr>
              <w:t>□5.其他，具体内容：</w:t>
            </w:r>
            <w:r>
              <w:rPr>
                <w:rFonts w:ascii="Times New Roman" w:hAnsi="Times New Roman" w:eastAsia="仿宋"/>
                <w:sz w:val="22"/>
                <w:u w:val="single"/>
              </w:rPr>
              <w:t xml:space="preserve">               </w:t>
            </w:r>
            <w:r>
              <w:rPr>
                <w:rFonts w:ascii="Times New Roman" w:hAnsi="Times New Roman" w:eastAsia="仿宋"/>
                <w:sz w:val="22"/>
              </w:rPr>
              <w:t>（必填）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42" w:hRule="atLeast"/>
          <w:jc w:val="center"/>
        </w:trPr>
        <w:tc>
          <w:tcPr>
            <w:tcW w:w="1668" w:type="dxa"/>
            <w:tcBorders>
              <w:bottom w:val="single" w:color="auto" w:sz="4" w:space="0"/>
            </w:tcBorders>
            <w:vAlign w:val="center"/>
          </w:tcPr>
          <w:p>
            <w:pPr>
              <w:widowControl/>
              <w:spacing w:line="280" w:lineRule="exact"/>
              <w:jc w:val="left"/>
              <w:rPr>
                <w:rFonts w:ascii="Times New Roman" w:hAnsi="Times New Roman" w:eastAsia="仿宋"/>
                <w:sz w:val="22"/>
              </w:rPr>
            </w:pPr>
            <w:r>
              <w:rPr>
                <w:rFonts w:ascii="Times New Roman" w:hAnsi="Times New Roman" w:eastAsia="仿宋"/>
                <w:sz w:val="22"/>
              </w:rPr>
              <w:t>上述所选事项目前进展情况</w:t>
            </w:r>
          </w:p>
        </w:tc>
        <w:tc>
          <w:tcPr>
            <w:tcW w:w="7819" w:type="dxa"/>
            <w:gridSpan w:val="7"/>
            <w:tcBorders>
              <w:bottom w:val="single" w:color="auto" w:sz="4" w:space="0"/>
            </w:tcBorders>
            <w:vAlign w:val="center"/>
          </w:tcPr>
          <w:p>
            <w:pPr>
              <w:widowControl/>
              <w:spacing w:line="280" w:lineRule="exact"/>
              <w:ind w:firstLine="400"/>
              <w:jc w:val="center"/>
              <w:rPr>
                <w:rFonts w:ascii="Times New Roman" w:hAnsi="Times New Roman" w:eastAsia="仿宋"/>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411" w:hRule="atLeast"/>
          <w:jc w:val="center"/>
        </w:trPr>
        <w:tc>
          <w:tcPr>
            <w:tcW w:w="1668" w:type="dxa"/>
            <w:tcBorders>
              <w:bottom w:val="single" w:color="auto" w:sz="4" w:space="0"/>
            </w:tcBorders>
            <w:vAlign w:val="center"/>
          </w:tcPr>
          <w:p>
            <w:pPr>
              <w:widowControl/>
              <w:spacing w:line="280" w:lineRule="exact"/>
              <w:jc w:val="left"/>
              <w:rPr>
                <w:rFonts w:ascii="Times New Roman" w:hAnsi="Times New Roman" w:eastAsia="仿宋"/>
                <w:sz w:val="22"/>
              </w:rPr>
            </w:pPr>
            <w:r>
              <w:rPr>
                <w:rFonts w:ascii="Times New Roman" w:hAnsi="Times New Roman" w:eastAsia="仿宋"/>
                <w:sz w:val="22"/>
              </w:rPr>
              <w:t>申请延期复牌的原因</w:t>
            </w:r>
          </w:p>
        </w:tc>
        <w:tc>
          <w:tcPr>
            <w:tcW w:w="7819" w:type="dxa"/>
            <w:gridSpan w:val="7"/>
            <w:tcBorders>
              <w:bottom w:val="single" w:color="auto" w:sz="4" w:space="0"/>
            </w:tcBorders>
            <w:vAlign w:val="center"/>
          </w:tcPr>
          <w:p>
            <w:pPr>
              <w:widowControl/>
              <w:spacing w:line="280" w:lineRule="exact"/>
              <w:jc w:val="left"/>
              <w:rPr>
                <w:rFonts w:ascii="Times New Roman" w:hAnsi="Times New Roman" w:eastAsia="仿宋"/>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0" w:hRule="atLeast"/>
          <w:jc w:val="center"/>
        </w:trPr>
        <w:tc>
          <w:tcPr>
            <w:tcW w:w="1668" w:type="dxa"/>
            <w:tcBorders>
              <w:bottom w:val="single" w:color="auto" w:sz="4" w:space="0"/>
            </w:tcBorders>
            <w:vAlign w:val="center"/>
          </w:tcPr>
          <w:p>
            <w:pPr>
              <w:widowControl/>
              <w:spacing w:line="280" w:lineRule="exact"/>
              <w:jc w:val="center"/>
              <w:rPr>
                <w:rFonts w:ascii="Times New Roman" w:hAnsi="Times New Roman" w:eastAsia="仿宋"/>
                <w:sz w:val="22"/>
              </w:rPr>
            </w:pPr>
            <w:r>
              <w:rPr>
                <w:rFonts w:ascii="Times New Roman" w:hAnsi="Times New Roman" w:eastAsia="仿宋"/>
                <w:sz w:val="22"/>
              </w:rPr>
              <w:t>当前预计复牌日期</w:t>
            </w:r>
          </w:p>
        </w:tc>
        <w:tc>
          <w:tcPr>
            <w:tcW w:w="2981" w:type="dxa"/>
            <w:gridSpan w:val="2"/>
            <w:tcBorders>
              <w:bottom w:val="single" w:color="auto" w:sz="4" w:space="0"/>
            </w:tcBorders>
            <w:vAlign w:val="center"/>
          </w:tcPr>
          <w:p>
            <w:pPr>
              <w:widowControl/>
              <w:spacing w:line="280" w:lineRule="exact"/>
              <w:jc w:val="center"/>
              <w:rPr>
                <w:rFonts w:ascii="Times New Roman" w:hAnsi="Times New Roman" w:eastAsia="仿宋"/>
                <w:sz w:val="22"/>
              </w:rPr>
            </w:pPr>
          </w:p>
        </w:tc>
        <w:tc>
          <w:tcPr>
            <w:tcW w:w="1843" w:type="dxa"/>
            <w:gridSpan w:val="3"/>
            <w:tcBorders>
              <w:bottom w:val="single" w:color="auto" w:sz="4" w:space="0"/>
            </w:tcBorders>
            <w:vAlign w:val="center"/>
          </w:tcPr>
          <w:p>
            <w:pPr>
              <w:widowControl/>
              <w:spacing w:line="280" w:lineRule="exact"/>
              <w:jc w:val="center"/>
              <w:rPr>
                <w:rFonts w:ascii="Times New Roman" w:hAnsi="Times New Roman" w:eastAsia="仿宋"/>
                <w:sz w:val="22"/>
              </w:rPr>
            </w:pPr>
            <w:r>
              <w:rPr>
                <w:rFonts w:ascii="Times New Roman" w:hAnsi="Times New Roman" w:eastAsia="仿宋"/>
                <w:sz w:val="22"/>
              </w:rPr>
              <w:t>延期后预计</w:t>
            </w:r>
          </w:p>
          <w:p>
            <w:pPr>
              <w:widowControl/>
              <w:spacing w:line="280" w:lineRule="exact"/>
              <w:jc w:val="center"/>
              <w:rPr>
                <w:rFonts w:ascii="Times New Roman" w:hAnsi="Times New Roman" w:eastAsia="仿宋"/>
                <w:sz w:val="22"/>
              </w:rPr>
            </w:pPr>
            <w:r>
              <w:rPr>
                <w:rFonts w:ascii="Times New Roman" w:hAnsi="Times New Roman" w:eastAsia="仿宋"/>
                <w:sz w:val="22"/>
              </w:rPr>
              <w:t>复牌日期</w:t>
            </w:r>
          </w:p>
        </w:tc>
        <w:tc>
          <w:tcPr>
            <w:tcW w:w="2995" w:type="dxa"/>
            <w:gridSpan w:val="2"/>
            <w:tcBorders>
              <w:bottom w:val="single" w:color="auto" w:sz="4" w:space="0"/>
            </w:tcBorders>
            <w:vAlign w:val="center"/>
          </w:tcPr>
          <w:p>
            <w:pPr>
              <w:widowControl/>
              <w:spacing w:line="280" w:lineRule="exact"/>
              <w:ind w:firstLine="400"/>
              <w:jc w:val="center"/>
              <w:rPr>
                <w:rFonts w:ascii="Times New Roman" w:hAnsi="Times New Roman" w:eastAsia="仿宋"/>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160" w:hRule="atLeast"/>
          <w:jc w:val="center"/>
        </w:trPr>
        <w:tc>
          <w:tcPr>
            <w:tcW w:w="9487" w:type="dxa"/>
            <w:gridSpan w:val="8"/>
          </w:tcPr>
          <w:p>
            <w:pPr>
              <w:snapToGrid w:val="0"/>
              <w:spacing w:line="280" w:lineRule="exact"/>
              <w:rPr>
                <w:rFonts w:ascii="Times New Roman" w:hAnsi="Times New Roman" w:eastAsia="仿宋"/>
                <w:sz w:val="22"/>
              </w:rPr>
            </w:pPr>
          </w:p>
          <w:p>
            <w:pPr>
              <w:snapToGrid w:val="0"/>
              <w:spacing w:line="280" w:lineRule="exact"/>
              <w:rPr>
                <w:rFonts w:ascii="Times New Roman" w:hAnsi="Times New Roman" w:eastAsia="仿宋"/>
                <w:sz w:val="22"/>
              </w:rPr>
            </w:pPr>
            <w:r>
              <w:rPr>
                <w:rFonts w:ascii="Times New Roman" w:hAnsi="Times New Roman" w:eastAsia="仿宋"/>
                <w:sz w:val="22"/>
              </w:rPr>
              <w:t>申请人：XXX股份有限公司（加盖公</w:t>
            </w:r>
            <w:r>
              <w:rPr>
                <w:rFonts w:hint="eastAsia" w:ascii="Times New Roman" w:hAnsi="Times New Roman" w:eastAsia="仿宋"/>
                <w:sz w:val="22"/>
              </w:rPr>
              <w:t>章或董事会</w:t>
            </w:r>
            <w:r>
              <w:rPr>
                <w:rFonts w:ascii="Times New Roman" w:hAnsi="Times New Roman" w:eastAsia="仿宋"/>
                <w:sz w:val="22"/>
              </w:rPr>
              <w:t xml:space="preserve">章）             </w:t>
            </w:r>
          </w:p>
          <w:p>
            <w:pPr>
              <w:snapToGrid w:val="0"/>
              <w:spacing w:line="280" w:lineRule="exact"/>
              <w:rPr>
                <w:rFonts w:ascii="Times New Roman" w:hAnsi="Times New Roman" w:eastAsia="仿宋"/>
                <w:sz w:val="22"/>
              </w:rPr>
            </w:pPr>
          </w:p>
          <w:p>
            <w:pPr>
              <w:snapToGrid w:val="0"/>
              <w:spacing w:line="280" w:lineRule="exact"/>
              <w:rPr>
                <w:rFonts w:ascii="Times New Roman" w:hAnsi="Times New Roman" w:eastAsia="仿宋"/>
                <w:sz w:val="22"/>
              </w:rPr>
            </w:pPr>
          </w:p>
          <w:p>
            <w:pPr>
              <w:snapToGrid w:val="0"/>
              <w:spacing w:line="280" w:lineRule="exact"/>
              <w:rPr>
                <w:rFonts w:ascii="Times New Roman" w:hAnsi="Times New Roman" w:eastAsia="仿宋"/>
                <w:sz w:val="22"/>
              </w:rPr>
            </w:pPr>
            <w:r>
              <w:rPr>
                <w:rFonts w:hint="eastAsia" w:ascii="Times New Roman" w:hAnsi="Times New Roman" w:eastAsia="仿宋"/>
                <w:sz w:val="22"/>
              </w:rPr>
              <w:t>董事会秘书</w:t>
            </w:r>
            <w:r>
              <w:rPr>
                <w:rFonts w:ascii="Times New Roman" w:hAnsi="Times New Roman" w:eastAsia="仿宋"/>
                <w:sz w:val="22"/>
              </w:rPr>
              <w:t>签名：</w:t>
            </w:r>
            <w:r>
              <w:rPr>
                <w:rFonts w:hint="eastAsia" w:ascii="Times New Roman" w:hAnsi="Times New Roman" w:eastAsia="仿宋"/>
                <w:sz w:val="22"/>
              </w:rPr>
              <w:t xml:space="preserve">        </w:t>
            </w:r>
            <w:r>
              <w:rPr>
                <w:rFonts w:ascii="Times New Roman" w:hAnsi="Times New Roman" w:eastAsia="仿宋"/>
                <w:sz w:val="22"/>
              </w:rPr>
              <w:t xml:space="preserve">                             联系电话：         </w:t>
            </w:r>
          </w:p>
          <w:p>
            <w:pPr>
              <w:snapToGrid w:val="0"/>
              <w:spacing w:line="280" w:lineRule="exact"/>
              <w:rPr>
                <w:rFonts w:ascii="Times New Roman" w:hAnsi="Times New Roman" w:eastAsia="仿宋"/>
                <w:sz w:val="22"/>
              </w:rPr>
            </w:pPr>
            <w:r>
              <w:rPr>
                <w:rFonts w:ascii="Times New Roman" w:hAnsi="Times New Roman" w:eastAsia="仿宋"/>
                <w:sz w:val="22"/>
              </w:rPr>
              <w:t xml:space="preserve">                           </w:t>
            </w:r>
          </w:p>
          <w:p>
            <w:pPr>
              <w:snapToGrid w:val="0"/>
              <w:spacing w:line="280" w:lineRule="exact"/>
              <w:rPr>
                <w:rFonts w:ascii="Times New Roman" w:hAnsi="Times New Roman" w:eastAsia="仿宋"/>
                <w:sz w:val="22"/>
              </w:rPr>
            </w:pPr>
            <w:r>
              <w:rPr>
                <w:rFonts w:ascii="Times New Roman" w:hAnsi="Times New Roman" w:eastAsia="仿宋"/>
                <w:sz w:val="22"/>
              </w:rPr>
              <w:t xml:space="preserve">           年     月     日             </w:t>
            </w:r>
          </w:p>
        </w:tc>
      </w:tr>
    </w:tbl>
    <w:p>
      <w:pPr>
        <w:rPr>
          <w:rFonts w:ascii="Times New Roman" w:hAnsi="Times New Roman" w:eastAsia="方正仿宋简体"/>
          <w:sz w:val="28"/>
          <w:szCs w:val="28"/>
        </w:rPr>
      </w:pPr>
    </w:p>
    <w:p>
      <w:pPr>
        <w:spacing w:line="600" w:lineRule="exact"/>
        <w:ind w:firstLine="642" w:firstLineChars="200"/>
        <w:rPr>
          <w:rFonts w:ascii="仿宋" w:hAnsi="仿宋" w:eastAsia="仿宋"/>
          <w:b/>
          <w:bCs/>
          <w:sz w:val="32"/>
          <w:szCs w:val="32"/>
        </w:rPr>
      </w:pPr>
    </w:p>
    <w:p>
      <w:pPr>
        <w:spacing w:line="400" w:lineRule="exact"/>
        <w:ind w:firstLine="28" w:firstLineChars="10"/>
        <w:rPr>
          <w:rFonts w:ascii="Times New Roman" w:hAnsi="Times New Roman" w:eastAsia="方正仿宋简体"/>
          <w:sz w:val="28"/>
          <w:szCs w:val="28"/>
        </w:rPr>
      </w:pPr>
    </w:p>
    <w:p>
      <w:pPr>
        <w:spacing w:line="400" w:lineRule="exact"/>
        <w:ind w:firstLine="28" w:firstLineChars="10"/>
        <w:rPr>
          <w:rFonts w:ascii="Times New Roman" w:hAnsi="Times New Roman" w:eastAsia="方正仿宋简体"/>
          <w:sz w:val="28"/>
          <w:szCs w:val="28"/>
        </w:rPr>
      </w:pPr>
    </w:p>
    <w:p>
      <w:pPr>
        <w:spacing w:line="400" w:lineRule="exact"/>
        <w:rPr>
          <w:rFonts w:ascii="Times New Roman" w:hAnsi="Times New Roman" w:eastAsia="方正仿宋简体"/>
          <w:sz w:val="28"/>
          <w:szCs w:val="28"/>
        </w:rPr>
      </w:pPr>
    </w:p>
    <w:p>
      <w:pPr>
        <w:spacing w:line="400" w:lineRule="exact"/>
        <w:rPr>
          <w:rFonts w:ascii="Times New Roman" w:hAnsi="Times New Roman" w:eastAsia="方正仿宋简体"/>
          <w:sz w:val="28"/>
          <w:szCs w:val="28"/>
        </w:rPr>
      </w:pPr>
    </w:p>
    <w:p>
      <w:pPr>
        <w:spacing w:line="400" w:lineRule="exact"/>
        <w:rPr>
          <w:rFonts w:ascii="Times New Roman" w:hAnsi="Times New Roman" w:eastAsia="方正仿宋简体"/>
          <w:sz w:val="28"/>
          <w:szCs w:val="28"/>
        </w:rPr>
      </w:pPr>
    </w:p>
    <w:p>
      <w:pPr>
        <w:spacing w:line="400" w:lineRule="exact"/>
        <w:rPr>
          <w:rFonts w:ascii="Times New Roman" w:hAnsi="Times New Roman" w:eastAsia="方正仿宋简体"/>
          <w:sz w:val="28"/>
          <w:szCs w:val="28"/>
        </w:rPr>
      </w:pPr>
    </w:p>
    <w:p>
      <w:pPr>
        <w:snapToGrid w:val="0"/>
        <w:spacing w:line="400" w:lineRule="exact"/>
        <w:rPr>
          <w:rFonts w:ascii="Times New Roman" w:hAnsi="Times New Roman" w:eastAsia="方正仿宋简体"/>
          <w:sz w:val="28"/>
          <w:szCs w:val="28"/>
        </w:rPr>
      </w:pPr>
    </w:p>
    <w:sectPr>
      <w:pgSz w:w="11906" w:h="16838"/>
      <w:pgMar w:top="2098" w:right="1531" w:bottom="1985" w:left="1531" w:header="851" w:footer="992" w:gutter="0"/>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altName w:val="方正黑体_GBK"/>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altName w:val="DejaVu Sans"/>
    <w:panose1 w:val="020F0502020204030204"/>
    <w:charset w:val="00"/>
    <w:family w:val="swiss"/>
    <w:pitch w:val="default"/>
    <w:sig w:usb0="00000000" w:usb1="00000000" w:usb2="00000001" w:usb3="00000000" w:csb0="0000019F" w:csb1="00000000"/>
  </w:font>
  <w:font w:name="仿宋">
    <w:panose1 w:val="02010609060101010101"/>
    <w:charset w:val="86"/>
    <w:family w:val="modern"/>
    <w:pitch w:val="default"/>
    <w:sig w:usb0="800002BF" w:usb1="38CF7CFA" w:usb2="00000016" w:usb3="00000000" w:csb0="00040001" w:csb1="00000000"/>
  </w:font>
  <w:font w:name="方正大标宋简体">
    <w:panose1 w:val="02010601030101010101"/>
    <w:charset w:val="86"/>
    <w:family w:val="auto"/>
    <w:pitch w:val="default"/>
    <w:sig w:usb0="00000001" w:usb1="080E0000" w:usb2="00000000" w:usb3="00000000" w:csb0="00040000" w:csb1="00000000"/>
  </w:font>
  <w:font w:name="楷体">
    <w:altName w:val="方正楷体_GBK"/>
    <w:panose1 w:val="02010609060101010101"/>
    <w:charset w:val="86"/>
    <w:family w:val="modern"/>
    <w:pitch w:val="default"/>
    <w:sig w:usb0="00000000" w:usb1="00000000" w:usb2="00000016" w:usb3="00000000" w:csb0="00040001" w:csb1="00000000"/>
  </w:font>
  <w:font w:name="方正仿宋简体">
    <w:altName w:val="方正仿宋_GBK"/>
    <w:panose1 w:val="02010601030101010101"/>
    <w:charset w:val="86"/>
    <w:family w:val="auto"/>
    <w:pitch w:val="default"/>
    <w:sig w:usb0="00000000" w:usb1="00000000" w:usb2="00000000" w:usb3="00000000" w:csb0="00040000" w:csb1="00000000"/>
  </w:font>
  <w:font w:name="方正书宋_GBK">
    <w:panose1 w:val="020000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 w:name="Noto Sans CJK JP Bold">
    <w:panose1 w:val="020B0800000000000000"/>
    <w:charset w:val="86"/>
    <w:family w:val="auto"/>
    <w:pitch w:val="default"/>
    <w:sig w:usb0="30000003" w:usb1="2BDF3C10" w:usb2="00000016" w:usb3="00000000" w:csb0="602E0107" w:csb1="00000000"/>
  </w:font>
  <w:font w:name="方正楷体_GBK">
    <w:panose1 w:val="02000000000000000000"/>
    <w:charset w:val="86"/>
    <w:family w:val="auto"/>
    <w:pitch w:val="default"/>
    <w:sig w:usb0="00000001" w:usb1="08000000" w:usb2="00000000" w:usb3="00000000" w:csb0="00040000" w:csb1="00000000"/>
  </w:font>
  <w:font w:name="方正黑体_GBK">
    <w:panose1 w:val="02000000000000000000"/>
    <w:charset w:val="86"/>
    <w:family w:val="auto"/>
    <w:pitch w:val="default"/>
    <w:sig w:usb0="00000001" w:usb1="08000000" w:usb2="00000000" w:usb3="00000000" w:csb0="00040000" w:csb1="00000000"/>
  </w:font>
  <w:font w:name="方正仿宋_GBK">
    <w:panose1 w:val="02000000000000000000"/>
    <w:charset w:val="86"/>
    <w:family w:val="auto"/>
    <w:pitch w:val="default"/>
    <w:sig w:usb0="00000001" w:usb1="08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tabs>
        <w:tab w:val="left" w:pos="1530"/>
        <w:tab w:val="right" w:pos="8730"/>
      </w:tabs>
      <w:rPr>
        <w:rFonts w:asciiTheme="minorEastAsia" w:hAnsiTheme="minorEastAsia"/>
        <w:sz w:val="28"/>
        <w:szCs w:val="28"/>
      </w:rPr>
    </w:pPr>
    <w:r>
      <w:rPr>
        <w:sz w:val="28"/>
      </w:rPr>
      <mc:AlternateContent>
        <mc:Choice Requires="wps">
          <w:drawing>
            <wp:anchor distT="0" distB="0" distL="114300" distR="114300" simplePos="0" relativeHeight="251658240" behindDoc="0" locked="0" layoutInCell="1" allowOverlap="1">
              <wp:simplePos x="0" y="0"/>
              <wp:positionH relativeFrom="margin">
                <wp:align>outside</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true"/>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356310119"/>
                            <w:docPartObj>
                              <w:docPartGallery w:val="autotext"/>
                            </w:docPartObj>
                          </w:sdtPr>
                          <w:sdtEndPr>
                            <w:rPr>
                              <w:rFonts w:asciiTheme="minorEastAsia" w:hAnsiTheme="minorEastAsia"/>
                              <w:sz w:val="28"/>
                              <w:szCs w:val="28"/>
                            </w:rPr>
                          </w:sdtEndPr>
                          <w:sdtContent>
                            <w:p>
                              <w:pPr>
                                <w:pStyle w:val="4"/>
                                <w:tabs>
                                  <w:tab w:val="left" w:pos="1530"/>
                                  <w:tab w:val="right" w:pos="8730"/>
                                </w:tabs>
                                <w:rPr>
                                  <w:rFonts w:asciiTheme="minorEastAsia" w:hAnsiTheme="minorEastAsia"/>
                                  <w:sz w:val="28"/>
                                  <w:szCs w:val="28"/>
                                </w:rPr>
                              </w:pPr>
                              <w:r>
                                <w:rPr>
                                  <w:rFonts w:asciiTheme="minorEastAsia" w:hAnsiTheme="minorEastAsia"/>
                                  <w:sz w:val="28"/>
                                  <w:szCs w:val="28"/>
                                </w:rPr>
                                <w:fldChar w:fldCharType="begin"/>
                              </w:r>
                              <w:r>
                                <w:rPr>
                                  <w:rFonts w:asciiTheme="minorEastAsia" w:hAnsiTheme="minorEastAsia"/>
                                  <w:sz w:val="28"/>
                                  <w:szCs w:val="28"/>
                                </w:rPr>
                                <w:instrText xml:space="preserve">PAGE   \* MERGEFORMAT</w:instrText>
                              </w:r>
                              <w:r>
                                <w:rPr>
                                  <w:rFonts w:asciiTheme="minorEastAsia" w:hAnsiTheme="minorEastAsia"/>
                                  <w:sz w:val="28"/>
                                  <w:szCs w:val="28"/>
                                </w:rPr>
                                <w:fldChar w:fldCharType="separate"/>
                              </w:r>
                              <w:r>
                                <w:rPr>
                                  <w:rFonts w:asciiTheme="minorEastAsia" w:hAnsiTheme="minorEastAsia"/>
                                  <w:sz w:val="28"/>
                                  <w:szCs w:val="28"/>
                                  <w:lang w:val="zh-CN"/>
                                </w:rPr>
                                <w:t>-</w:t>
                              </w:r>
                              <w:r>
                                <w:rPr>
                                  <w:rFonts w:asciiTheme="minorEastAsia" w:hAnsiTheme="minorEastAsia"/>
                                  <w:sz w:val="28"/>
                                  <w:szCs w:val="28"/>
                                </w:rPr>
                                <w:t xml:space="preserve"> 1 -</w:t>
                              </w:r>
                              <w:r>
                                <w:rPr>
                                  <w:rFonts w:asciiTheme="minorEastAsia" w:hAnsiTheme="minorEastAsia"/>
                                  <w:sz w:val="28"/>
                                  <w:szCs w:val="28"/>
                                </w:rPr>
                                <w:fldChar w:fldCharType="end"/>
                              </w:r>
                            </w:p>
                          </w:sdtContent>
                        </w:sdt>
                        <w:p>
                          <w:pPr>
                            <w:rPr>
                              <w:rFonts w:asciiTheme="minorEastAsia" w:hAnsiTheme="minorEastAsia"/>
                              <w:sz w:val="28"/>
                              <w:szCs w:val="28"/>
                            </w:rPr>
                          </w:pPr>
                        </w:p>
                      </w:txbxContent>
                    </wps:txbx>
                    <wps:bodyPr rot="0" spcFirstLastPara="0" vertOverflow="overflow" horzOverflow="overflow" vert="horz" wrap="none" lIns="0" tIns="0" rIns="0" bIns="0" numCol="1" spcCol="0" rtlCol="0" fromWordArt="false" anchor="t" anchorCtr="false" forceAA="false" upright="false" compatLnSpc="true">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8240;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A8FiLyGwIAACkEAAAOAAAAZHJz&#10;L2Uyb0RvYy54bWytU0uOEzEQ3SNxB8t70kkQoyhKZxRmFIQUMSMNiLXjttMt+SfbSXc4ANyAFRv2&#10;nCvn4NnpThCwQmzsKle5Pq9eLW47rchB+NBYU9LJaEyJMNxWjdmV9MP79YsZJSEyUzFljSjpUQR6&#10;u3z+bNG6uZja2qpKeIIgJsxbV9I6RjcvisBroVkYWScMjNJ6zSJUvysqz1pE16qYjsc3RWt95bzl&#10;IgS83p+NdJnjSyl4fJAyiEhUSVFbzKfP5zadxXLB5jvPXN3wvgz2D1Vo1hgkvYS6Z5GRvW/+CKUb&#10;7m2wMo641YWVsuEi94BuJuPfunmqmRO5F4AT3AWm8P/C8neHR0+aqqRTSgzTGNHp65fTtx+n75/J&#10;NMHTujCH15ODX+xe266k0e/FYAp4T4130ut0oyUCF2B9vOArukg4Hiez6Ww2honDNihIUVy/Ox/i&#10;G2E1SUJJPQaYcWWHTYhn18ElZTN23SiVh6gMaUt68/LVOH+4WBBcGeRIfZyLTVLstl3f3NZWR/Tm&#10;7ZkcwfF1g+QbFuIj82ADCgbD4wMOqSyS2F6ipLb+09/ekz+GBCslLdhVUgP6U6LeGgwvEXEQ/CBs&#10;B8Hs9Z0FXSfYHMeziA8+qkGU3uqPoP0q5ZBMBQRmhiMbRjOIdxFab8T6cLFaXfS9882uvn4GFR2L&#10;G/PkeD/chG1wq30Evhn2hNkZqB5K8DEPrt+dRPhf9ex13fDlT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BYAAABkcnMvUEsBAhQAFAAAAAgA&#10;h07iQLNJWO7QAAAABQEAAA8AAAAAAAAAAQAgAAAAOAAAAGRycy9kb3ducmV2LnhtbFBLAQIUABQA&#10;AAAIAIdO4kA8FiLyGwIAACkEAAAOAAAAAAAAAAEAIAAAADUBAABkcnMvZTJvRG9jLnhtbFBLBQYA&#10;AAAABgAGAFkBAADCBQAAAAA=&#10;">
              <v:fill on="f" focussize="0,0"/>
              <v:stroke on="f" weight="0.5pt"/>
              <v:imagedata o:title=""/>
              <o:lock v:ext="edit" aspectratio="f"/>
              <v:textbox inset="0mm,0mm,0mm,0mm" style="mso-fit-shape-to-text:t;">
                <w:txbxContent>
                  <w:sdt>
                    <w:sdtPr>
                      <w:id w:val="356310119"/>
                      <w:docPartObj>
                        <w:docPartGallery w:val="autotext"/>
                      </w:docPartObj>
                    </w:sdtPr>
                    <w:sdtEndPr>
                      <w:rPr>
                        <w:rFonts w:asciiTheme="minorEastAsia" w:hAnsiTheme="minorEastAsia"/>
                        <w:sz w:val="28"/>
                        <w:szCs w:val="28"/>
                      </w:rPr>
                    </w:sdtEndPr>
                    <w:sdtContent>
                      <w:p>
                        <w:pPr>
                          <w:pStyle w:val="4"/>
                          <w:tabs>
                            <w:tab w:val="left" w:pos="1530"/>
                            <w:tab w:val="right" w:pos="8730"/>
                          </w:tabs>
                          <w:rPr>
                            <w:rFonts w:asciiTheme="minorEastAsia" w:hAnsiTheme="minorEastAsia"/>
                            <w:sz w:val="28"/>
                            <w:szCs w:val="28"/>
                          </w:rPr>
                        </w:pPr>
                        <w:r>
                          <w:rPr>
                            <w:rFonts w:asciiTheme="minorEastAsia" w:hAnsiTheme="minorEastAsia"/>
                            <w:sz w:val="28"/>
                            <w:szCs w:val="28"/>
                          </w:rPr>
                          <w:fldChar w:fldCharType="begin"/>
                        </w:r>
                        <w:r>
                          <w:rPr>
                            <w:rFonts w:asciiTheme="minorEastAsia" w:hAnsiTheme="minorEastAsia"/>
                            <w:sz w:val="28"/>
                            <w:szCs w:val="28"/>
                          </w:rPr>
                          <w:instrText xml:space="preserve">PAGE   \* MERGEFORMAT</w:instrText>
                        </w:r>
                        <w:r>
                          <w:rPr>
                            <w:rFonts w:asciiTheme="minorEastAsia" w:hAnsiTheme="minorEastAsia"/>
                            <w:sz w:val="28"/>
                            <w:szCs w:val="28"/>
                          </w:rPr>
                          <w:fldChar w:fldCharType="separate"/>
                        </w:r>
                        <w:r>
                          <w:rPr>
                            <w:rFonts w:asciiTheme="minorEastAsia" w:hAnsiTheme="minorEastAsia"/>
                            <w:sz w:val="28"/>
                            <w:szCs w:val="28"/>
                            <w:lang w:val="zh-CN"/>
                          </w:rPr>
                          <w:t>-</w:t>
                        </w:r>
                        <w:r>
                          <w:rPr>
                            <w:rFonts w:asciiTheme="minorEastAsia" w:hAnsiTheme="minorEastAsia"/>
                            <w:sz w:val="28"/>
                            <w:szCs w:val="28"/>
                          </w:rPr>
                          <w:t xml:space="preserve"> 1 -</w:t>
                        </w:r>
                        <w:r>
                          <w:rPr>
                            <w:rFonts w:asciiTheme="minorEastAsia" w:hAnsiTheme="minorEastAsia"/>
                            <w:sz w:val="28"/>
                            <w:szCs w:val="28"/>
                          </w:rPr>
                          <w:fldChar w:fldCharType="end"/>
                        </w:r>
                      </w:p>
                    </w:sdtContent>
                  </w:sdt>
                  <w:p>
                    <w:pPr>
                      <w:rPr>
                        <w:rFonts w:asciiTheme="minorEastAsia" w:hAnsiTheme="minorEastAsia"/>
                        <w:sz w:val="28"/>
                        <w:szCs w:val="28"/>
                      </w:rPr>
                    </w:pPr>
                  </w:p>
                </w:txbxContent>
              </v:textbox>
            </v:shape>
          </w:pict>
        </mc:Fallback>
      </mc:AlternateContent>
    </w:r>
  </w:p>
  <w:p>
    <w:pPr>
      <w:pStyle w:val="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25850066"/>
    </w:sdtPr>
    <w:sdtEndPr>
      <w:rPr>
        <w:rFonts w:ascii="宋体" w:hAnsi="宋体"/>
        <w:sz w:val="28"/>
      </w:rPr>
    </w:sdtEndPr>
    <w:sdtContent>
      <w:p>
        <w:pPr>
          <w:pStyle w:val="4"/>
        </w:pPr>
        <w:r>
          <w:rPr>
            <w:rFonts w:ascii="宋体" w:hAnsi="宋体"/>
            <w:sz w:val="28"/>
          </w:rPr>
          <w:fldChar w:fldCharType="begin"/>
        </w:r>
        <w:r>
          <w:rPr>
            <w:rFonts w:ascii="宋体" w:hAnsi="宋体"/>
            <w:sz w:val="28"/>
          </w:rPr>
          <w:instrText xml:space="preserve">PAGE   \* MERGEFORMAT</w:instrText>
        </w:r>
        <w:r>
          <w:rPr>
            <w:rFonts w:ascii="宋体" w:hAnsi="宋体"/>
            <w:sz w:val="28"/>
          </w:rPr>
          <w:fldChar w:fldCharType="separate"/>
        </w:r>
        <w:r>
          <w:rPr>
            <w:rFonts w:ascii="宋体" w:hAnsi="宋体"/>
            <w:sz w:val="28"/>
          </w:rPr>
          <w:t>- 6 -</w:t>
        </w:r>
        <w:r>
          <w:rPr>
            <w:rFonts w:ascii="宋体" w:hAnsi="宋体"/>
            <w:sz w:val="28"/>
          </w:rPr>
          <w:fldChar w:fldCharType="end"/>
        </w:r>
      </w:p>
    </w:sdtContent>
  </w:sdt>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Bdr>
        <w:bottom w:val="none" w:color="auto" w:sz="0" w:space="0"/>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true"/>
  <w:bordersDoNotSurroundHeader w:val="true"/>
  <w:bordersDoNotSurroundFooter w:val="true"/>
  <w:documentProtection w:enforcement="0"/>
  <w:defaultTabStop w:val="420"/>
  <w:drawingGridHorizontalSpacing w:val="105"/>
  <w:drawingGridVerticalSpacing w:val="156"/>
  <w:displayHorizontalDrawingGridEvery w:val="2"/>
  <w:displayVerticalDrawingGridEvery w:val="2"/>
  <w:noPunctuationKerning w:val="true"/>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mU2N2EzMmU2ZGI0ZGUwZGI3YjUyZmE5ZGY1ZTZiM2YifQ=="/>
  </w:docVars>
  <w:rsids>
    <w:rsidRoot w:val="00002935"/>
    <w:rsid w:val="00002935"/>
    <w:rsid w:val="000042A9"/>
    <w:rsid w:val="000166FE"/>
    <w:rsid w:val="00023B1E"/>
    <w:rsid w:val="00043D27"/>
    <w:rsid w:val="000442FD"/>
    <w:rsid w:val="000522AC"/>
    <w:rsid w:val="0008439C"/>
    <w:rsid w:val="0008554E"/>
    <w:rsid w:val="000C1880"/>
    <w:rsid w:val="000C2CB8"/>
    <w:rsid w:val="000C2F7B"/>
    <w:rsid w:val="000D2797"/>
    <w:rsid w:val="000E5332"/>
    <w:rsid w:val="000E53B3"/>
    <w:rsid w:val="0010661A"/>
    <w:rsid w:val="00131479"/>
    <w:rsid w:val="001334E6"/>
    <w:rsid w:val="00172EFB"/>
    <w:rsid w:val="0017512A"/>
    <w:rsid w:val="001874DB"/>
    <w:rsid w:val="001964FD"/>
    <w:rsid w:val="001A7259"/>
    <w:rsid w:val="001F12E1"/>
    <w:rsid w:val="00213661"/>
    <w:rsid w:val="00256F5D"/>
    <w:rsid w:val="002606D9"/>
    <w:rsid w:val="00270816"/>
    <w:rsid w:val="002802BB"/>
    <w:rsid w:val="0028569B"/>
    <w:rsid w:val="002E246D"/>
    <w:rsid w:val="002E75DE"/>
    <w:rsid w:val="00301AC8"/>
    <w:rsid w:val="003065DD"/>
    <w:rsid w:val="003114BD"/>
    <w:rsid w:val="00316110"/>
    <w:rsid w:val="00323F98"/>
    <w:rsid w:val="00325EA9"/>
    <w:rsid w:val="00333A37"/>
    <w:rsid w:val="00334A6A"/>
    <w:rsid w:val="0034179C"/>
    <w:rsid w:val="00352587"/>
    <w:rsid w:val="00382E84"/>
    <w:rsid w:val="00383F1C"/>
    <w:rsid w:val="003907F9"/>
    <w:rsid w:val="003A232C"/>
    <w:rsid w:val="003B49B0"/>
    <w:rsid w:val="003D6ACC"/>
    <w:rsid w:val="003F11B4"/>
    <w:rsid w:val="00403B76"/>
    <w:rsid w:val="00417F78"/>
    <w:rsid w:val="00431C95"/>
    <w:rsid w:val="0043373C"/>
    <w:rsid w:val="00435C22"/>
    <w:rsid w:val="0044290E"/>
    <w:rsid w:val="004542A6"/>
    <w:rsid w:val="00455133"/>
    <w:rsid w:val="00472E45"/>
    <w:rsid w:val="004809BF"/>
    <w:rsid w:val="004833ED"/>
    <w:rsid w:val="00490E45"/>
    <w:rsid w:val="004B36CD"/>
    <w:rsid w:val="004C3CD8"/>
    <w:rsid w:val="004C7F64"/>
    <w:rsid w:val="004D192E"/>
    <w:rsid w:val="004D3232"/>
    <w:rsid w:val="004D5F6F"/>
    <w:rsid w:val="004E1AE4"/>
    <w:rsid w:val="004E43B8"/>
    <w:rsid w:val="004E5DEF"/>
    <w:rsid w:val="004E6D40"/>
    <w:rsid w:val="004F5F91"/>
    <w:rsid w:val="005041DC"/>
    <w:rsid w:val="00506F03"/>
    <w:rsid w:val="005130B1"/>
    <w:rsid w:val="00514931"/>
    <w:rsid w:val="005166BB"/>
    <w:rsid w:val="00522BB1"/>
    <w:rsid w:val="00536121"/>
    <w:rsid w:val="0054265D"/>
    <w:rsid w:val="00584CD3"/>
    <w:rsid w:val="005938E2"/>
    <w:rsid w:val="005A32D4"/>
    <w:rsid w:val="005B5B5F"/>
    <w:rsid w:val="005C5B58"/>
    <w:rsid w:val="005D6752"/>
    <w:rsid w:val="005E0545"/>
    <w:rsid w:val="005E1832"/>
    <w:rsid w:val="005F53D0"/>
    <w:rsid w:val="0062151B"/>
    <w:rsid w:val="0062185A"/>
    <w:rsid w:val="00627A15"/>
    <w:rsid w:val="00630478"/>
    <w:rsid w:val="006304D9"/>
    <w:rsid w:val="00632B20"/>
    <w:rsid w:val="00662D87"/>
    <w:rsid w:val="00665ECA"/>
    <w:rsid w:val="00667228"/>
    <w:rsid w:val="00674664"/>
    <w:rsid w:val="00675172"/>
    <w:rsid w:val="00683094"/>
    <w:rsid w:val="00694139"/>
    <w:rsid w:val="006A2E9B"/>
    <w:rsid w:val="006B626D"/>
    <w:rsid w:val="006B7F9E"/>
    <w:rsid w:val="006D055A"/>
    <w:rsid w:val="006D3C20"/>
    <w:rsid w:val="006F1343"/>
    <w:rsid w:val="00726A7A"/>
    <w:rsid w:val="0073025A"/>
    <w:rsid w:val="0073649B"/>
    <w:rsid w:val="00763C15"/>
    <w:rsid w:val="00774FC8"/>
    <w:rsid w:val="007765F4"/>
    <w:rsid w:val="007927C8"/>
    <w:rsid w:val="007B4A4F"/>
    <w:rsid w:val="007B7C0B"/>
    <w:rsid w:val="007C286D"/>
    <w:rsid w:val="00807B68"/>
    <w:rsid w:val="00817055"/>
    <w:rsid w:val="0082054B"/>
    <w:rsid w:val="008406E7"/>
    <w:rsid w:val="00847AA4"/>
    <w:rsid w:val="0086041B"/>
    <w:rsid w:val="008627A8"/>
    <w:rsid w:val="008A0B57"/>
    <w:rsid w:val="008A2FBC"/>
    <w:rsid w:val="008B3FED"/>
    <w:rsid w:val="008C6594"/>
    <w:rsid w:val="008E1B15"/>
    <w:rsid w:val="009006CC"/>
    <w:rsid w:val="00907553"/>
    <w:rsid w:val="00910844"/>
    <w:rsid w:val="00913FC8"/>
    <w:rsid w:val="0092469D"/>
    <w:rsid w:val="009316CF"/>
    <w:rsid w:val="00955F5C"/>
    <w:rsid w:val="0095602E"/>
    <w:rsid w:val="00956CBA"/>
    <w:rsid w:val="009A115D"/>
    <w:rsid w:val="009A38DB"/>
    <w:rsid w:val="009A501D"/>
    <w:rsid w:val="009B0A62"/>
    <w:rsid w:val="009B429C"/>
    <w:rsid w:val="009F114B"/>
    <w:rsid w:val="00A16E0E"/>
    <w:rsid w:val="00A20517"/>
    <w:rsid w:val="00A22E1C"/>
    <w:rsid w:val="00A37351"/>
    <w:rsid w:val="00A3775E"/>
    <w:rsid w:val="00A52A6A"/>
    <w:rsid w:val="00A60785"/>
    <w:rsid w:val="00A62B60"/>
    <w:rsid w:val="00A71407"/>
    <w:rsid w:val="00A77E51"/>
    <w:rsid w:val="00A83DDA"/>
    <w:rsid w:val="00A91C22"/>
    <w:rsid w:val="00A963A7"/>
    <w:rsid w:val="00AC1037"/>
    <w:rsid w:val="00AE1BCD"/>
    <w:rsid w:val="00AE30E6"/>
    <w:rsid w:val="00AE6C44"/>
    <w:rsid w:val="00AF0F16"/>
    <w:rsid w:val="00AF5B00"/>
    <w:rsid w:val="00B12EE7"/>
    <w:rsid w:val="00B13586"/>
    <w:rsid w:val="00B329E8"/>
    <w:rsid w:val="00B44AA1"/>
    <w:rsid w:val="00B5602E"/>
    <w:rsid w:val="00B7087A"/>
    <w:rsid w:val="00B7100D"/>
    <w:rsid w:val="00B85CD4"/>
    <w:rsid w:val="00BB2194"/>
    <w:rsid w:val="00BB35A2"/>
    <w:rsid w:val="00BC56F2"/>
    <w:rsid w:val="00BD1DD6"/>
    <w:rsid w:val="00BD3DDE"/>
    <w:rsid w:val="00BD4D3C"/>
    <w:rsid w:val="00BD4E81"/>
    <w:rsid w:val="00BD5CF6"/>
    <w:rsid w:val="00BE59F0"/>
    <w:rsid w:val="00BF2D14"/>
    <w:rsid w:val="00C04111"/>
    <w:rsid w:val="00C1268A"/>
    <w:rsid w:val="00C131F0"/>
    <w:rsid w:val="00C21B2F"/>
    <w:rsid w:val="00C36673"/>
    <w:rsid w:val="00C42CB2"/>
    <w:rsid w:val="00C47D82"/>
    <w:rsid w:val="00C72F74"/>
    <w:rsid w:val="00C732AD"/>
    <w:rsid w:val="00C9470E"/>
    <w:rsid w:val="00CA588E"/>
    <w:rsid w:val="00CD0768"/>
    <w:rsid w:val="00CE398C"/>
    <w:rsid w:val="00CF46F6"/>
    <w:rsid w:val="00D004D5"/>
    <w:rsid w:val="00D04C27"/>
    <w:rsid w:val="00D12891"/>
    <w:rsid w:val="00D16C3D"/>
    <w:rsid w:val="00DD2DD8"/>
    <w:rsid w:val="00DE5FD5"/>
    <w:rsid w:val="00E2237F"/>
    <w:rsid w:val="00E44FAE"/>
    <w:rsid w:val="00E5182B"/>
    <w:rsid w:val="00E51C00"/>
    <w:rsid w:val="00E522D4"/>
    <w:rsid w:val="00E54A0E"/>
    <w:rsid w:val="00E54A1B"/>
    <w:rsid w:val="00E653BF"/>
    <w:rsid w:val="00E727EE"/>
    <w:rsid w:val="00EB01FD"/>
    <w:rsid w:val="00EB33D4"/>
    <w:rsid w:val="00EC2FFB"/>
    <w:rsid w:val="00EC6720"/>
    <w:rsid w:val="00ED68D7"/>
    <w:rsid w:val="00EE6A6E"/>
    <w:rsid w:val="00EF0795"/>
    <w:rsid w:val="00F01A12"/>
    <w:rsid w:val="00F10BB2"/>
    <w:rsid w:val="00F16B12"/>
    <w:rsid w:val="00F21001"/>
    <w:rsid w:val="00F3235B"/>
    <w:rsid w:val="00F3266B"/>
    <w:rsid w:val="00F3438D"/>
    <w:rsid w:val="00F535F1"/>
    <w:rsid w:val="00F6129F"/>
    <w:rsid w:val="00F655EA"/>
    <w:rsid w:val="00F67C14"/>
    <w:rsid w:val="00F720AE"/>
    <w:rsid w:val="00FA1B25"/>
    <w:rsid w:val="00FC5722"/>
    <w:rsid w:val="00FD579C"/>
    <w:rsid w:val="00FF06DD"/>
    <w:rsid w:val="00FF575B"/>
    <w:rsid w:val="17772A1C"/>
    <w:rsid w:val="1C973070"/>
    <w:rsid w:val="1FFFE70A"/>
    <w:rsid w:val="25F11580"/>
    <w:rsid w:val="2B279923"/>
    <w:rsid w:val="35AF0AD9"/>
    <w:rsid w:val="39EE01AD"/>
    <w:rsid w:val="3CEFEB03"/>
    <w:rsid w:val="3ECDBCA4"/>
    <w:rsid w:val="45ED33E2"/>
    <w:rsid w:val="4D5FB1D7"/>
    <w:rsid w:val="4DFFE745"/>
    <w:rsid w:val="59A1DB39"/>
    <w:rsid w:val="5C7E8EE7"/>
    <w:rsid w:val="5EB2246C"/>
    <w:rsid w:val="76B6DC13"/>
    <w:rsid w:val="7795EBA4"/>
    <w:rsid w:val="77B336F0"/>
    <w:rsid w:val="77E67449"/>
    <w:rsid w:val="797A7CF1"/>
    <w:rsid w:val="7B5F29CB"/>
    <w:rsid w:val="7BFBA2BC"/>
    <w:rsid w:val="7D37FA0D"/>
    <w:rsid w:val="7E7FDC5F"/>
    <w:rsid w:val="7F6DFDE0"/>
    <w:rsid w:val="7F752752"/>
    <w:rsid w:val="7FBD712D"/>
    <w:rsid w:val="7FCD0DC7"/>
    <w:rsid w:val="7FEF687B"/>
    <w:rsid w:val="7FFFE200"/>
    <w:rsid w:val="9A70F446"/>
    <w:rsid w:val="9AEC3821"/>
    <w:rsid w:val="9E7EBDE9"/>
    <w:rsid w:val="AFA64975"/>
    <w:rsid w:val="AFFBFE06"/>
    <w:rsid w:val="B3FD6C4B"/>
    <w:rsid w:val="B77FD2FA"/>
    <w:rsid w:val="BBFD569F"/>
    <w:rsid w:val="BEEF9E9D"/>
    <w:rsid w:val="DB7EAD74"/>
    <w:rsid w:val="DC9E66FD"/>
    <w:rsid w:val="DDFB6025"/>
    <w:rsid w:val="DDFF745A"/>
    <w:rsid w:val="DECF3205"/>
    <w:rsid w:val="DF1F4C05"/>
    <w:rsid w:val="DF5B8C1F"/>
    <w:rsid w:val="DFFE8C83"/>
    <w:rsid w:val="E327FA0C"/>
    <w:rsid w:val="E77CC5D4"/>
    <w:rsid w:val="E7FF91F9"/>
    <w:rsid w:val="ECED31D3"/>
    <w:rsid w:val="EEF5223B"/>
    <w:rsid w:val="EF7557D5"/>
    <w:rsid w:val="EFAF3330"/>
    <w:rsid w:val="EFC78943"/>
    <w:rsid w:val="F3FEA273"/>
    <w:rsid w:val="F7DF3E7A"/>
    <w:rsid w:val="F9DFE095"/>
    <w:rsid w:val="FBBBB520"/>
    <w:rsid w:val="FBD3B029"/>
    <w:rsid w:val="FCF8E42C"/>
    <w:rsid w:val="FCFD0909"/>
    <w:rsid w:val="FDDF51ED"/>
    <w:rsid w:val="FE75D132"/>
    <w:rsid w:val="FF6F956C"/>
    <w:rsid w:val="FFBFBEC9"/>
    <w:rsid w:val="FFFED6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9">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3"/>
    <w:semiHidden/>
    <w:unhideWhenUsed/>
    <w:qFormat/>
    <w:uiPriority w:val="99"/>
    <w:pPr>
      <w:jc w:val="left"/>
    </w:pPr>
  </w:style>
  <w:style w:type="paragraph" w:styleId="3">
    <w:name w:val="Balloon Text"/>
    <w:basedOn w:val="1"/>
    <w:link w:val="15"/>
    <w:semiHidden/>
    <w:unhideWhenUsed/>
    <w:qFormat/>
    <w:uiPriority w:val="99"/>
    <w:rPr>
      <w:sz w:val="18"/>
      <w:szCs w:val="18"/>
    </w:rPr>
  </w:style>
  <w:style w:type="paragraph" w:styleId="4">
    <w:name w:val="footer"/>
    <w:basedOn w:val="1"/>
    <w:link w:val="12"/>
    <w:unhideWhenUsed/>
    <w:qFormat/>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paragraph" w:styleId="6">
    <w:name w:val="Normal (Web)"/>
    <w:basedOn w:val="1"/>
    <w:semiHidden/>
    <w:unhideWhenUsed/>
    <w:qFormat/>
    <w:uiPriority w:val="99"/>
    <w:pPr>
      <w:spacing w:beforeAutospacing="1" w:afterAutospacing="1"/>
      <w:jc w:val="left"/>
    </w:pPr>
    <w:rPr>
      <w:kern w:val="0"/>
      <w:sz w:val="24"/>
    </w:rPr>
  </w:style>
  <w:style w:type="paragraph" w:styleId="7">
    <w:name w:val="annotation subject"/>
    <w:basedOn w:val="2"/>
    <w:next w:val="2"/>
    <w:link w:val="14"/>
    <w:semiHidden/>
    <w:unhideWhenUsed/>
    <w:qFormat/>
    <w:uiPriority w:val="99"/>
    <w:rPr>
      <w:b/>
      <w:bCs/>
    </w:rPr>
  </w:style>
  <w:style w:type="character" w:styleId="10">
    <w:name w:val="annotation reference"/>
    <w:basedOn w:val="9"/>
    <w:semiHidden/>
    <w:unhideWhenUsed/>
    <w:qFormat/>
    <w:uiPriority w:val="99"/>
    <w:rPr>
      <w:sz w:val="21"/>
      <w:szCs w:val="21"/>
    </w:rPr>
  </w:style>
  <w:style w:type="character" w:customStyle="1" w:styleId="11">
    <w:name w:val="页眉 Char"/>
    <w:basedOn w:val="9"/>
    <w:link w:val="5"/>
    <w:qFormat/>
    <w:uiPriority w:val="99"/>
    <w:rPr>
      <w:sz w:val="18"/>
      <w:szCs w:val="18"/>
    </w:rPr>
  </w:style>
  <w:style w:type="character" w:customStyle="1" w:styleId="12">
    <w:name w:val="页脚 Char"/>
    <w:basedOn w:val="9"/>
    <w:link w:val="4"/>
    <w:qFormat/>
    <w:uiPriority w:val="99"/>
    <w:rPr>
      <w:sz w:val="18"/>
      <w:szCs w:val="18"/>
    </w:rPr>
  </w:style>
  <w:style w:type="character" w:customStyle="1" w:styleId="13">
    <w:name w:val="批注文字 Char"/>
    <w:basedOn w:val="9"/>
    <w:link w:val="2"/>
    <w:semiHidden/>
    <w:qFormat/>
    <w:uiPriority w:val="99"/>
    <w:rPr>
      <w:rFonts w:ascii="Calibri" w:hAnsi="Calibri" w:eastAsia="宋体" w:cs="Times New Roman"/>
    </w:rPr>
  </w:style>
  <w:style w:type="character" w:customStyle="1" w:styleId="14">
    <w:name w:val="批注主题 Char"/>
    <w:basedOn w:val="13"/>
    <w:link w:val="7"/>
    <w:semiHidden/>
    <w:qFormat/>
    <w:uiPriority w:val="99"/>
    <w:rPr>
      <w:rFonts w:ascii="Calibri" w:hAnsi="Calibri" w:eastAsia="宋体" w:cs="Times New Roman"/>
      <w:b/>
      <w:bCs/>
    </w:rPr>
  </w:style>
  <w:style w:type="character" w:customStyle="1" w:styleId="15">
    <w:name w:val="批注框文本 Char"/>
    <w:basedOn w:val="9"/>
    <w:link w:val="3"/>
    <w:semiHidden/>
    <w:qFormat/>
    <w:uiPriority w:val="99"/>
    <w:rPr>
      <w:rFonts w:ascii="Calibri" w:hAnsi="Calibri" w:eastAsia="宋体" w:cs="Times New Roman"/>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9</Pages>
  <Words>3425</Words>
  <Characters>3623</Characters>
  <Lines>33</Lines>
  <Paragraphs>9</Paragraphs>
  <TotalTime>1</TotalTime>
  <ScaleCrop>false</ScaleCrop>
  <LinksUpToDate>false</LinksUpToDate>
  <CharactersWithSpaces>4394</CharactersWithSpaces>
  <Application>WPS Office_11.8.2.10422_F1E327BC-269C-435d-A152-05C5408002CA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2023-01-04T14:52:00Z</dcterms:created>
  <dc:creator>bse</dc:creator>
  <cp:lastModifiedBy>huting</cp:lastModifiedBy>
  <cp:lastPrinted>2024-06-25T15:30:00Z</cp:lastPrinted>
  <dcterms:modified xsi:type="dcterms:W3CDTF">2025-04-28T16:55:07Z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2052-11.8.2.10422</vt:lpwstr>
  </property>
  <property fmtid="{D5CDD505-2E9C-101B-9397-08002B2CF9AE}" pid="3" name="ICV">
    <vt:lpwstr>32803114B93D4BCB8C5EC4F12E065FCF_12</vt:lpwstr>
  </property>
</Properties>
</file>