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themeColor="background1"/>
  <w:body>
    <w:p>
      <w:pPr>
        <w:spacing w:line="600" w:lineRule="exact"/>
        <w:rPr>
          <w:rFonts w:ascii="Times New Roman" w:hAnsi="Times New Roman" w:eastAsia="方正大标宋简体"/>
          <w:bCs/>
          <w:sz w:val="44"/>
          <w:szCs w:val="44"/>
        </w:rPr>
      </w:pPr>
    </w:p>
    <w:p>
      <w:pPr>
        <w:spacing w:line="600" w:lineRule="exact"/>
        <w:jc w:val="center"/>
        <w:rPr>
          <w:rFonts w:ascii="Times New Roman" w:hAnsi="Times New Roman" w:eastAsia="方正大标宋简体"/>
          <w:bCs/>
          <w:sz w:val="44"/>
          <w:szCs w:val="44"/>
        </w:rPr>
      </w:pPr>
      <w:r>
        <w:rPr>
          <w:rFonts w:hint="eastAsia" w:ascii="Times New Roman" w:hAnsi="Times New Roman" w:eastAsia="方正大标宋简体"/>
          <w:bCs/>
          <w:sz w:val="44"/>
          <w:szCs w:val="44"/>
        </w:rPr>
        <w:t>北京证券交易所上市公司持续监管指引</w:t>
      </w:r>
    </w:p>
    <w:p>
      <w:pPr>
        <w:spacing w:line="600" w:lineRule="exact"/>
        <w:jc w:val="center"/>
        <w:rPr>
          <w:rFonts w:ascii="Times New Roman" w:hAnsi="Times New Roman" w:eastAsia="方正大标宋简体"/>
          <w:bCs/>
          <w:sz w:val="44"/>
          <w:szCs w:val="44"/>
        </w:rPr>
      </w:pPr>
      <w:r>
        <w:rPr>
          <w:rFonts w:hint="eastAsia" w:ascii="Times New Roman" w:hAnsi="Times New Roman" w:eastAsia="方正大标宋简体"/>
          <w:bCs/>
          <w:sz w:val="44"/>
          <w:szCs w:val="44"/>
        </w:rPr>
        <w:t>第4号——股份回购</w:t>
      </w:r>
    </w:p>
    <w:p>
      <w:pPr>
        <w:spacing w:line="600" w:lineRule="exact"/>
        <w:jc w:val="center"/>
        <w:rPr>
          <w:rFonts w:ascii="方正大标宋简体" w:eastAsia="方正大标宋简体"/>
          <w:sz w:val="44"/>
          <w:szCs w:val="44"/>
        </w:rPr>
      </w:pPr>
    </w:p>
    <w:p>
      <w:pPr>
        <w:tabs>
          <w:tab w:val="left" w:pos="187"/>
        </w:tabs>
        <w:spacing w:line="560" w:lineRule="exact"/>
        <w:ind w:firstLine="640" w:firstLineChars="200"/>
        <w:rPr>
          <w:rFonts w:ascii="方正大标宋简体" w:eastAsia="方正大标宋简体"/>
          <w:sz w:val="44"/>
          <w:szCs w:val="44"/>
        </w:rPr>
      </w:pPr>
      <w:r>
        <w:rPr>
          <w:rFonts w:hint="eastAsia" w:ascii="Times New Roman" w:hAnsi="Times New Roman" w:eastAsia="楷体" w:cs="Times New Roman"/>
          <w:sz w:val="32"/>
          <w:szCs w:val="32"/>
          <w:highlight w:val="none"/>
          <w:lang w:val="en-US" w:eastAsia="zh-CN"/>
        </w:rPr>
        <w:t>（2021年11月2日发布，2023年12月22日第一次修订，2025年4月25日第二次修订）</w:t>
      </w:r>
    </w:p>
    <w:p>
      <w:pPr>
        <w:spacing w:line="600" w:lineRule="exact"/>
        <w:jc w:val="center"/>
        <w:rPr>
          <w:rFonts w:ascii="方正大标宋简体" w:eastAsia="方正大标宋简体"/>
          <w:sz w:val="44"/>
          <w:szCs w:val="44"/>
        </w:rPr>
      </w:pPr>
    </w:p>
    <w:p>
      <w:pPr>
        <w:suppressAutoHyphens/>
        <w:spacing w:before="240" w:after="240" w:line="600" w:lineRule="exact"/>
        <w:jc w:val="center"/>
        <w:rPr>
          <w:rFonts w:ascii="黑体" w:hAnsi="黑体" w:eastAsia="黑体"/>
          <w:sz w:val="32"/>
          <w:szCs w:val="32"/>
        </w:rPr>
      </w:pPr>
      <w:r>
        <w:rPr>
          <w:rFonts w:hint="eastAsia" w:ascii="黑体" w:hAnsi="黑体" w:eastAsia="黑体"/>
          <w:sz w:val="32"/>
          <w:szCs w:val="32"/>
        </w:rPr>
        <w:t xml:space="preserve">第一章  总 </w:t>
      </w:r>
      <w:r>
        <w:rPr>
          <w:rFonts w:ascii="黑体" w:hAnsi="黑体" w:eastAsia="黑体"/>
          <w:sz w:val="32"/>
          <w:szCs w:val="32"/>
        </w:rPr>
        <w:t xml:space="preserve"> </w:t>
      </w:r>
      <w:r>
        <w:rPr>
          <w:rFonts w:hint="eastAsia" w:ascii="黑体" w:hAnsi="黑体" w:eastAsia="黑体"/>
          <w:sz w:val="32"/>
          <w:szCs w:val="32"/>
        </w:rPr>
        <w:t>则</w:t>
      </w:r>
    </w:p>
    <w:p>
      <w:pPr>
        <w:spacing w:line="600" w:lineRule="exact"/>
        <w:ind w:firstLine="640" w:firstLineChars="200"/>
        <w:rPr>
          <w:rFonts w:ascii="Times New Roman" w:hAnsi="Times New Roman" w:eastAsia="仿宋"/>
          <w:sz w:val="32"/>
          <w:szCs w:val="32"/>
        </w:rPr>
      </w:pPr>
      <w:r>
        <w:rPr>
          <w:rFonts w:ascii="黑体" w:hAnsi="黑体" w:eastAsia="黑体"/>
          <w:sz w:val="32"/>
          <w:szCs w:val="32"/>
        </w:rPr>
        <w:t>第一条</w:t>
      </w:r>
      <w:r>
        <w:rPr>
          <w:rFonts w:hint="eastAsia" w:ascii="黑体" w:hAnsi="黑体" w:eastAsia="黑体"/>
          <w:sz w:val="32"/>
          <w:szCs w:val="32"/>
        </w:rPr>
        <w:t xml:space="preserve"> </w:t>
      </w:r>
      <w:r>
        <w:rPr>
          <w:rFonts w:ascii="黑体" w:hAnsi="黑体" w:eastAsia="黑体"/>
          <w:sz w:val="32"/>
          <w:szCs w:val="32"/>
        </w:rPr>
        <w:t xml:space="preserve"> </w:t>
      </w:r>
      <w:r>
        <w:rPr>
          <w:rFonts w:ascii="Times New Roman" w:hAnsi="Times New Roman" w:eastAsia="仿宋"/>
          <w:sz w:val="32"/>
          <w:szCs w:val="32"/>
        </w:rPr>
        <w:t>为</w:t>
      </w:r>
      <w:r>
        <w:rPr>
          <w:rFonts w:hint="eastAsia" w:ascii="Times New Roman" w:hAnsi="Times New Roman" w:eastAsia="仿宋"/>
          <w:sz w:val="32"/>
          <w:szCs w:val="32"/>
        </w:rPr>
        <w:t>了</w:t>
      </w:r>
      <w:r>
        <w:rPr>
          <w:rFonts w:ascii="Times New Roman" w:hAnsi="Times New Roman" w:eastAsia="仿宋"/>
          <w:sz w:val="32"/>
          <w:szCs w:val="32"/>
        </w:rPr>
        <w:t>引导和规范上市公司回购股份行为，维护证券市场秩序，保护投资者和上市公司合法权益，明确股份回购业务办理要求，根据《中华人民共和国公司法》（以下简称《公司法》）、《中华人民共和国证券法》（以下简称《证券法》）</w:t>
      </w:r>
      <w:r>
        <w:rPr>
          <w:rFonts w:hint="eastAsia" w:ascii="Times New Roman" w:hAnsi="Times New Roman" w:eastAsia="仿宋"/>
          <w:sz w:val="32"/>
          <w:szCs w:val="32"/>
        </w:rPr>
        <w:t>、《上市公司股份回购规则》（以下简称《回购规则》）及《北京证券交易所股票上市规则》（以下简称《上市规则》）等有关</w:t>
      </w:r>
      <w:r>
        <w:rPr>
          <w:rFonts w:ascii="Times New Roman" w:hAnsi="Times New Roman" w:eastAsia="仿宋"/>
          <w:sz w:val="32"/>
          <w:szCs w:val="32"/>
        </w:rPr>
        <w:t>规定，制定本</w:t>
      </w:r>
      <w:r>
        <w:rPr>
          <w:rFonts w:hint="eastAsia" w:ascii="Times New Roman" w:hAnsi="Times New Roman" w:eastAsia="仿宋"/>
          <w:sz w:val="32"/>
          <w:szCs w:val="32"/>
        </w:rPr>
        <w:t>指引</w:t>
      </w:r>
      <w:r>
        <w:rPr>
          <w:rFonts w:ascii="Times New Roman" w:hAnsi="Times New Roman" w:eastAsia="仿宋"/>
          <w:sz w:val="32"/>
          <w:szCs w:val="32"/>
        </w:rPr>
        <w:t>。</w:t>
      </w:r>
    </w:p>
    <w:p>
      <w:pPr>
        <w:spacing w:line="600" w:lineRule="exact"/>
        <w:ind w:firstLine="640" w:firstLineChars="200"/>
        <w:rPr>
          <w:rFonts w:ascii="Times New Roman" w:hAnsi="Times New Roman" w:eastAsia="仿宋"/>
          <w:sz w:val="32"/>
          <w:szCs w:val="32"/>
        </w:rPr>
      </w:pPr>
      <w:r>
        <w:rPr>
          <w:rFonts w:ascii="黑体" w:hAnsi="黑体" w:eastAsia="黑体"/>
          <w:sz w:val="32"/>
          <w:szCs w:val="32"/>
        </w:rPr>
        <w:t>第二条</w:t>
      </w:r>
      <w:r>
        <w:rPr>
          <w:rFonts w:hint="eastAsia" w:ascii="黑体" w:hAnsi="黑体" w:eastAsia="黑体"/>
          <w:sz w:val="32"/>
          <w:szCs w:val="32"/>
        </w:rPr>
        <w:t xml:space="preserve"> </w:t>
      </w:r>
      <w:r>
        <w:rPr>
          <w:rFonts w:ascii="黑体" w:hAnsi="黑体" w:eastAsia="黑体"/>
          <w:sz w:val="32"/>
          <w:szCs w:val="32"/>
        </w:rPr>
        <w:t xml:space="preserve"> </w:t>
      </w:r>
      <w:r>
        <w:rPr>
          <w:rFonts w:ascii="Times New Roman" w:hAnsi="Times New Roman" w:eastAsia="仿宋"/>
          <w:sz w:val="32"/>
          <w:szCs w:val="32"/>
        </w:rPr>
        <w:t>在北京证券交易所（以下简称本所）上市的公司，以下列方式回购本公司股份（以下简称回购股份），适用本</w:t>
      </w:r>
      <w:r>
        <w:rPr>
          <w:rFonts w:hint="eastAsia" w:ascii="Times New Roman" w:hAnsi="Times New Roman" w:eastAsia="仿宋"/>
          <w:sz w:val="32"/>
          <w:szCs w:val="32"/>
        </w:rPr>
        <w:t>指引</w:t>
      </w:r>
      <w:r>
        <w:rPr>
          <w:rFonts w:ascii="Times New Roman" w:hAnsi="Times New Roman" w:eastAsia="仿宋"/>
          <w:sz w:val="32"/>
          <w:szCs w:val="32"/>
        </w:rPr>
        <w:t>：</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（一）以竞价方式回购股份（以下简称竞价回购）；</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（二）以要约方式回购股份（以下简称要约回购）；</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（三）在符合本</w:t>
      </w:r>
      <w:r>
        <w:rPr>
          <w:rFonts w:hint="eastAsia" w:ascii="Times New Roman" w:hAnsi="Times New Roman" w:eastAsia="仿宋"/>
          <w:sz w:val="32"/>
          <w:szCs w:val="32"/>
        </w:rPr>
        <w:t>指引</w:t>
      </w:r>
      <w:r>
        <w:rPr>
          <w:rFonts w:ascii="Times New Roman" w:hAnsi="Times New Roman" w:eastAsia="仿宋"/>
          <w:sz w:val="32"/>
          <w:szCs w:val="32"/>
        </w:rPr>
        <w:t>规定的情形下向特定对象回购股份（以下简称定向回购）。</w:t>
      </w:r>
    </w:p>
    <w:p>
      <w:pPr>
        <w:spacing w:line="600" w:lineRule="exact"/>
        <w:ind w:firstLine="640" w:firstLineChars="200"/>
        <w:rPr>
          <w:rFonts w:ascii="Times New Roman" w:hAnsi="Times New Roman" w:eastAsia="仿宋"/>
          <w:sz w:val="32"/>
          <w:szCs w:val="32"/>
        </w:rPr>
      </w:pPr>
      <w:r>
        <w:rPr>
          <w:rFonts w:ascii="黑体" w:hAnsi="黑体" w:eastAsia="黑体"/>
          <w:sz w:val="32"/>
          <w:szCs w:val="32"/>
        </w:rPr>
        <w:t>第三条</w:t>
      </w:r>
      <w:r>
        <w:rPr>
          <w:rFonts w:hint="eastAsia" w:ascii="黑体" w:hAnsi="黑体" w:eastAsia="黑体"/>
          <w:sz w:val="32"/>
          <w:szCs w:val="32"/>
        </w:rPr>
        <w:t xml:space="preserve"> </w:t>
      </w:r>
      <w:r>
        <w:rPr>
          <w:rFonts w:ascii="黑体" w:hAnsi="黑体" w:eastAsia="黑体"/>
          <w:sz w:val="32"/>
          <w:szCs w:val="32"/>
        </w:rPr>
        <w:t xml:space="preserve"> </w:t>
      </w:r>
      <w:r>
        <w:rPr>
          <w:rFonts w:ascii="Times New Roman" w:hAnsi="Times New Roman" w:eastAsia="仿宋"/>
          <w:sz w:val="32"/>
          <w:szCs w:val="32"/>
        </w:rPr>
        <w:t>上市公司回购股份，应当</w:t>
      </w:r>
      <w:r>
        <w:rPr>
          <w:rFonts w:hint="eastAsia" w:ascii="Times New Roman" w:hAnsi="Times New Roman" w:eastAsia="仿宋"/>
          <w:sz w:val="32"/>
          <w:szCs w:val="32"/>
        </w:rPr>
        <w:t>符合《公司法》《证券法》《回购规则》《上市规则》、本指引和公司章程的规定，</w:t>
      </w:r>
      <w:r>
        <w:rPr>
          <w:rFonts w:ascii="Times New Roman" w:hAnsi="Times New Roman" w:eastAsia="仿宋"/>
          <w:sz w:val="32"/>
          <w:szCs w:val="32"/>
        </w:rPr>
        <w:t>有利于公司的持续发展，不得损害股东和债权人的合法权益</w:t>
      </w:r>
      <w:r>
        <w:rPr>
          <w:rFonts w:hint="eastAsia" w:ascii="Times New Roman" w:hAnsi="Times New Roman" w:eastAsia="仿宋"/>
          <w:sz w:val="32"/>
          <w:szCs w:val="32"/>
        </w:rPr>
        <w:t>，并严格履行相应的决策程序和信息披露义务</w:t>
      </w:r>
      <w:r>
        <w:rPr>
          <w:rFonts w:ascii="Times New Roman" w:hAnsi="Times New Roman" w:eastAsia="仿宋"/>
          <w:sz w:val="32"/>
          <w:szCs w:val="32"/>
        </w:rPr>
        <w:t>。</w:t>
      </w:r>
    </w:p>
    <w:p>
      <w:pPr>
        <w:spacing w:line="600" w:lineRule="exact"/>
        <w:ind w:firstLine="640" w:firstLineChars="200"/>
        <w:rPr>
          <w:rFonts w:ascii="Times New Roman" w:hAnsi="Times New Roman" w:eastAsia="仿宋"/>
          <w:sz w:val="32"/>
          <w:szCs w:val="32"/>
        </w:rPr>
      </w:pPr>
      <w:r>
        <w:rPr>
          <w:rFonts w:hint="eastAsia" w:ascii="Times New Roman" w:hAnsi="Times New Roman" w:eastAsia="仿宋"/>
          <w:sz w:val="32"/>
          <w:szCs w:val="32"/>
        </w:rPr>
        <w:t>上市公司的董事和高级管理人员在回购股份中应当忠实、勤勉地履行职责。</w:t>
      </w:r>
    </w:p>
    <w:p>
      <w:pPr>
        <w:spacing w:line="600" w:lineRule="exact"/>
        <w:ind w:firstLine="640" w:firstLineChars="200"/>
        <w:rPr>
          <w:rFonts w:ascii="Times New Roman" w:hAnsi="Times New Roman" w:eastAsia="仿宋"/>
          <w:sz w:val="32"/>
          <w:szCs w:val="32"/>
        </w:rPr>
      </w:pPr>
      <w:r>
        <w:rPr>
          <w:rFonts w:hint="eastAsia" w:ascii="黑体" w:hAnsi="黑体" w:eastAsia="黑体"/>
          <w:sz w:val="32"/>
          <w:szCs w:val="32"/>
        </w:rPr>
        <w:t xml:space="preserve">第四条 </w:t>
      </w:r>
      <w:r>
        <w:rPr>
          <w:rFonts w:ascii="黑体" w:hAnsi="黑体" w:eastAsia="黑体"/>
          <w:sz w:val="32"/>
          <w:szCs w:val="32"/>
        </w:rPr>
        <w:t xml:space="preserve"> </w:t>
      </w:r>
      <w:r>
        <w:rPr>
          <w:rFonts w:hint="eastAsia" w:ascii="Times New Roman" w:hAnsi="Times New Roman" w:eastAsia="仿宋"/>
          <w:sz w:val="32"/>
          <w:szCs w:val="32"/>
        </w:rPr>
        <w:t>上市公司根据《公司法》规定因维护公司价值及股东权益所必需回购股份的，应当符合以下条件之一：</w:t>
      </w:r>
    </w:p>
    <w:p>
      <w:pPr>
        <w:spacing w:line="600" w:lineRule="exact"/>
        <w:ind w:firstLine="640" w:firstLineChars="200"/>
        <w:rPr>
          <w:rFonts w:ascii="Times New Roman" w:hAnsi="Times New Roman" w:eastAsia="仿宋"/>
          <w:sz w:val="32"/>
          <w:szCs w:val="32"/>
        </w:rPr>
      </w:pPr>
      <w:r>
        <w:rPr>
          <w:rFonts w:hint="eastAsia" w:ascii="Times New Roman" w:hAnsi="Times New Roman" w:eastAsia="仿宋"/>
          <w:sz w:val="32"/>
          <w:szCs w:val="32"/>
        </w:rPr>
        <w:t>（一）公司股票收盘价格低于最近一期每股净资产；</w:t>
      </w:r>
    </w:p>
    <w:p>
      <w:pPr>
        <w:spacing w:line="600" w:lineRule="exact"/>
        <w:ind w:firstLine="640" w:firstLineChars="200"/>
        <w:rPr>
          <w:rFonts w:ascii="Times New Roman" w:hAnsi="Times New Roman" w:eastAsia="仿宋"/>
          <w:sz w:val="32"/>
          <w:szCs w:val="32"/>
        </w:rPr>
      </w:pPr>
      <w:r>
        <w:rPr>
          <w:rFonts w:hint="eastAsia" w:ascii="Times New Roman" w:hAnsi="Times New Roman" w:eastAsia="仿宋"/>
          <w:sz w:val="32"/>
          <w:szCs w:val="32"/>
        </w:rPr>
        <w:t>（二）连续</w:t>
      </w:r>
      <w:r>
        <w:rPr>
          <w:rFonts w:ascii="Times New Roman" w:hAnsi="Times New Roman" w:eastAsia="仿宋"/>
          <w:sz w:val="32"/>
          <w:szCs w:val="32"/>
        </w:rPr>
        <w:t>20</w:t>
      </w:r>
      <w:r>
        <w:rPr>
          <w:rFonts w:hint="eastAsia" w:ascii="Times New Roman" w:hAnsi="Times New Roman" w:eastAsia="仿宋"/>
          <w:sz w:val="32"/>
          <w:szCs w:val="32"/>
        </w:rPr>
        <w:t>个交易日内公司股票收盘价格跌幅累计达到20</w:t>
      </w:r>
      <w:r>
        <w:rPr>
          <w:rFonts w:ascii="Times New Roman" w:hAnsi="Times New Roman" w:eastAsia="仿宋"/>
          <w:sz w:val="32"/>
          <w:szCs w:val="32"/>
        </w:rPr>
        <w:t>%</w:t>
      </w:r>
      <w:r>
        <w:rPr>
          <w:rFonts w:hint="eastAsia" w:ascii="Times New Roman" w:hAnsi="Times New Roman" w:eastAsia="仿宋"/>
          <w:sz w:val="32"/>
          <w:szCs w:val="32"/>
        </w:rPr>
        <w:t>；</w:t>
      </w:r>
    </w:p>
    <w:p>
      <w:pPr>
        <w:spacing w:line="600" w:lineRule="exact"/>
        <w:ind w:firstLine="640" w:firstLineChars="200"/>
        <w:rPr>
          <w:rFonts w:ascii="Times New Roman" w:hAnsi="Times New Roman" w:eastAsia="仿宋"/>
          <w:sz w:val="32"/>
          <w:szCs w:val="32"/>
        </w:rPr>
      </w:pPr>
      <w:r>
        <w:rPr>
          <w:rFonts w:hint="eastAsia" w:ascii="Times New Roman" w:hAnsi="Times New Roman" w:eastAsia="仿宋"/>
          <w:sz w:val="32"/>
          <w:szCs w:val="32"/>
        </w:rPr>
        <w:t>（三）公司股票收盘价格低于最近一年股票最高收盘价格的50%；</w:t>
      </w:r>
    </w:p>
    <w:p>
      <w:pPr>
        <w:tabs>
          <w:tab w:val="left" w:pos="6213"/>
        </w:tabs>
        <w:spacing w:line="600" w:lineRule="exact"/>
        <w:ind w:firstLine="640" w:firstLineChars="200"/>
        <w:rPr>
          <w:rFonts w:ascii="Times New Roman" w:hAnsi="Times New Roman" w:eastAsia="仿宋"/>
          <w:sz w:val="32"/>
          <w:szCs w:val="32"/>
        </w:rPr>
      </w:pPr>
      <w:r>
        <w:rPr>
          <w:rFonts w:hint="eastAsia" w:ascii="Times New Roman" w:hAnsi="Times New Roman" w:eastAsia="仿宋"/>
          <w:sz w:val="32"/>
          <w:szCs w:val="32"/>
        </w:rPr>
        <w:t>（四）中国证券监督管理委员会（以下简称中国证监会）规定的其他条件。</w:t>
      </w:r>
    </w:p>
    <w:p>
      <w:pPr>
        <w:spacing w:line="600" w:lineRule="exact"/>
        <w:ind w:firstLine="640" w:firstLineChars="200"/>
        <w:rPr>
          <w:rFonts w:ascii="Times New Roman" w:hAnsi="Times New Roman" w:eastAsia="仿宋"/>
          <w:sz w:val="32"/>
          <w:szCs w:val="32"/>
        </w:rPr>
      </w:pPr>
      <w:r>
        <w:rPr>
          <w:rFonts w:ascii="黑体" w:hAnsi="黑体" w:eastAsia="黑体"/>
          <w:sz w:val="32"/>
          <w:szCs w:val="32"/>
        </w:rPr>
        <w:t>第五条</w:t>
      </w:r>
      <w:r>
        <w:rPr>
          <w:rFonts w:hint="eastAsia" w:ascii="黑体" w:hAnsi="黑体" w:eastAsia="黑体"/>
          <w:sz w:val="32"/>
          <w:szCs w:val="32"/>
        </w:rPr>
        <w:t xml:space="preserve"> </w:t>
      </w:r>
      <w:r>
        <w:rPr>
          <w:rFonts w:ascii="黑体" w:hAnsi="黑体" w:eastAsia="黑体"/>
          <w:sz w:val="32"/>
          <w:szCs w:val="32"/>
        </w:rPr>
        <w:t xml:space="preserve"> </w:t>
      </w:r>
      <w:r>
        <w:rPr>
          <w:rFonts w:ascii="Times New Roman" w:hAnsi="Times New Roman" w:eastAsia="仿宋"/>
          <w:sz w:val="32"/>
          <w:szCs w:val="32"/>
        </w:rPr>
        <w:t>上市公司回购股份，应当</w:t>
      </w:r>
      <w:r>
        <w:rPr>
          <w:rFonts w:hint="eastAsia" w:ascii="Times New Roman" w:hAnsi="Times New Roman" w:eastAsia="仿宋"/>
          <w:sz w:val="32"/>
          <w:szCs w:val="32"/>
        </w:rPr>
        <w:t>依据《回购规则》和本指引的规定履行决策程序和信息披露义务。</w:t>
      </w:r>
    </w:p>
    <w:p>
      <w:pPr>
        <w:spacing w:line="600" w:lineRule="exact"/>
        <w:ind w:firstLine="640" w:firstLineChars="200"/>
        <w:rPr>
          <w:rFonts w:ascii="Times New Roman" w:hAnsi="Times New Roman" w:eastAsia="仿宋"/>
          <w:sz w:val="32"/>
          <w:szCs w:val="32"/>
        </w:rPr>
      </w:pPr>
      <w:r>
        <w:rPr>
          <w:rFonts w:hint="eastAsia" w:ascii="Times New Roman" w:hAnsi="Times New Roman" w:eastAsia="仿宋"/>
          <w:sz w:val="32"/>
          <w:szCs w:val="32"/>
        </w:rPr>
        <w:t>上市公司及其董事</w:t>
      </w:r>
      <w:r>
        <w:rPr>
          <w:rFonts w:hint="eastAsia" w:ascii="Times New Roman" w:hAnsi="Times New Roman" w:eastAsia="仿宋"/>
          <w:sz w:val="32"/>
          <w:szCs w:val="32"/>
          <w:lang w:eastAsia="zh-CN"/>
        </w:rPr>
        <w:t>、高级管理人员</w:t>
      </w:r>
      <w:r>
        <w:rPr>
          <w:rFonts w:hint="eastAsia" w:ascii="Times New Roman" w:hAnsi="Times New Roman" w:eastAsia="仿宋"/>
          <w:sz w:val="32"/>
          <w:szCs w:val="32"/>
        </w:rPr>
        <w:t>应当保证所披露信息的</w:t>
      </w:r>
      <w:r>
        <w:rPr>
          <w:rFonts w:ascii="Times New Roman" w:hAnsi="Times New Roman" w:eastAsia="仿宋"/>
          <w:sz w:val="32"/>
          <w:szCs w:val="32"/>
        </w:rPr>
        <w:t>真实、准确、完整，</w:t>
      </w:r>
      <w:r>
        <w:rPr>
          <w:rFonts w:hint="eastAsia" w:ascii="Times New Roman" w:hAnsi="Times New Roman" w:eastAsia="仿宋"/>
          <w:sz w:val="32"/>
          <w:szCs w:val="32"/>
        </w:rPr>
        <w:t>无</w:t>
      </w:r>
      <w:r>
        <w:rPr>
          <w:rFonts w:ascii="Times New Roman" w:hAnsi="Times New Roman" w:eastAsia="仿宋"/>
          <w:sz w:val="32"/>
          <w:szCs w:val="32"/>
        </w:rPr>
        <w:t>虚假记载、误导性陈述或者重大遗漏。</w:t>
      </w:r>
    </w:p>
    <w:p>
      <w:pPr>
        <w:spacing w:line="600" w:lineRule="exact"/>
        <w:ind w:firstLine="640" w:firstLineChars="200"/>
        <w:rPr>
          <w:rFonts w:ascii="Times New Roman" w:hAnsi="Times New Roman" w:eastAsia="仿宋"/>
          <w:sz w:val="32"/>
          <w:szCs w:val="32"/>
        </w:rPr>
      </w:pPr>
      <w:r>
        <w:rPr>
          <w:rFonts w:ascii="黑体" w:hAnsi="黑体" w:eastAsia="黑体"/>
          <w:sz w:val="32"/>
          <w:szCs w:val="32"/>
        </w:rPr>
        <w:t>第六条</w:t>
      </w:r>
      <w:r>
        <w:rPr>
          <w:rFonts w:hint="eastAsia" w:ascii="黑体" w:hAnsi="黑体" w:eastAsia="黑体"/>
          <w:sz w:val="32"/>
          <w:szCs w:val="32"/>
        </w:rPr>
        <w:t xml:space="preserve"> </w:t>
      </w:r>
      <w:r>
        <w:rPr>
          <w:rFonts w:ascii="黑体" w:hAnsi="黑体" w:eastAsia="黑体"/>
          <w:sz w:val="32"/>
          <w:szCs w:val="32"/>
        </w:rPr>
        <w:t xml:space="preserve"> </w:t>
      </w:r>
      <w:r>
        <w:rPr>
          <w:rFonts w:ascii="Times New Roman" w:hAnsi="Times New Roman" w:eastAsia="仿宋"/>
          <w:sz w:val="32"/>
          <w:szCs w:val="32"/>
        </w:rPr>
        <w:t>上市公司回购股份，应当充分关注公司的债务履行能力和持续经营能力，审慎制定、实施回购股份方案，回购股份的规模、价格等应当与公司的实际财务状况相匹配。</w:t>
      </w:r>
    </w:p>
    <w:p>
      <w:pPr>
        <w:spacing w:line="600" w:lineRule="exact"/>
        <w:ind w:firstLine="640" w:firstLineChars="200"/>
        <w:rPr>
          <w:rFonts w:ascii="Times New Roman" w:hAnsi="Times New Roman" w:eastAsia="仿宋"/>
          <w:sz w:val="32"/>
          <w:szCs w:val="32"/>
        </w:rPr>
      </w:pPr>
      <w:r>
        <w:rPr>
          <w:rFonts w:hint="eastAsia" w:ascii="Times New Roman" w:hAnsi="Times New Roman" w:eastAsia="仿宋"/>
          <w:sz w:val="32"/>
          <w:szCs w:val="32"/>
        </w:rPr>
        <w:t>上市公司回购股份，应当建立规范有效的内部控制制度，制定具体的操作方案，防范内幕交易及其他不公平交易行为，不得利用回购股份操纵本公司股价，或者向公司董事</w:t>
      </w:r>
      <w:r>
        <w:rPr>
          <w:rFonts w:hint="eastAsia" w:ascii="Times New Roman" w:hAnsi="Times New Roman" w:eastAsia="仿宋"/>
          <w:sz w:val="32"/>
          <w:szCs w:val="32"/>
          <w:lang w:eastAsia="zh-CN"/>
        </w:rPr>
        <w:t>、高级管理人员</w:t>
      </w:r>
      <w:r>
        <w:rPr>
          <w:rFonts w:hint="eastAsia" w:ascii="Times New Roman" w:hAnsi="Times New Roman" w:eastAsia="仿宋"/>
          <w:sz w:val="32"/>
          <w:szCs w:val="32"/>
        </w:rPr>
        <w:t>、控股股东、实际控制人等进行利益输送。</w:t>
      </w:r>
    </w:p>
    <w:p>
      <w:pPr>
        <w:spacing w:line="600" w:lineRule="exact"/>
        <w:ind w:firstLine="640" w:firstLineChars="200"/>
        <w:rPr>
          <w:rFonts w:ascii="Times New Roman" w:hAnsi="Times New Roman" w:eastAsia="仿宋"/>
          <w:sz w:val="32"/>
          <w:szCs w:val="32"/>
        </w:rPr>
      </w:pPr>
      <w:r>
        <w:rPr>
          <w:rFonts w:hint="eastAsia" w:ascii="Times New Roman" w:hAnsi="Times New Roman" w:eastAsia="仿宋"/>
          <w:sz w:val="32"/>
          <w:szCs w:val="32"/>
        </w:rPr>
        <w:t>本所鼓励上市公司在章程或其他治理文件中完善股份回购机制，明确股份回购的触发条件、回购流程等具体安排。</w:t>
      </w:r>
    </w:p>
    <w:p>
      <w:pPr>
        <w:spacing w:line="600" w:lineRule="exact"/>
        <w:ind w:firstLine="640" w:firstLineChars="200"/>
        <w:rPr>
          <w:rFonts w:ascii="Times New Roman" w:hAnsi="Times New Roman" w:eastAsia="仿宋"/>
          <w:sz w:val="32"/>
          <w:szCs w:val="32"/>
        </w:rPr>
      </w:pPr>
      <w:r>
        <w:rPr>
          <w:rFonts w:ascii="黑体" w:hAnsi="黑体" w:eastAsia="黑体"/>
          <w:sz w:val="32"/>
          <w:szCs w:val="32"/>
        </w:rPr>
        <w:t>第七条</w:t>
      </w:r>
      <w:r>
        <w:rPr>
          <w:rFonts w:hint="eastAsia" w:ascii="黑体" w:hAnsi="黑体" w:eastAsia="黑体"/>
          <w:sz w:val="32"/>
          <w:szCs w:val="32"/>
        </w:rPr>
        <w:t xml:space="preserve"> </w:t>
      </w:r>
      <w:r>
        <w:rPr>
          <w:rFonts w:ascii="黑体" w:hAnsi="黑体" w:eastAsia="黑体"/>
          <w:sz w:val="32"/>
          <w:szCs w:val="32"/>
        </w:rPr>
        <w:t xml:space="preserve"> </w:t>
      </w:r>
      <w:r>
        <w:rPr>
          <w:rFonts w:ascii="Times New Roman" w:hAnsi="Times New Roman" w:eastAsia="仿宋"/>
          <w:sz w:val="32"/>
          <w:szCs w:val="32"/>
        </w:rPr>
        <w:t>任何人不得利用上市公司回购股份从事内幕交易、操纵市场和</w:t>
      </w:r>
      <w:r>
        <w:rPr>
          <w:rFonts w:hint="eastAsia" w:ascii="Times New Roman" w:hAnsi="Times New Roman" w:eastAsia="仿宋"/>
          <w:sz w:val="32"/>
          <w:szCs w:val="32"/>
        </w:rPr>
        <w:t>证券欺诈</w:t>
      </w:r>
      <w:r>
        <w:rPr>
          <w:rFonts w:ascii="Times New Roman" w:hAnsi="Times New Roman" w:eastAsia="仿宋"/>
          <w:sz w:val="32"/>
          <w:szCs w:val="32"/>
        </w:rPr>
        <w:t>等</w:t>
      </w:r>
      <w:r>
        <w:rPr>
          <w:rFonts w:hint="eastAsia" w:ascii="Times New Roman" w:hAnsi="Times New Roman" w:eastAsia="仿宋"/>
          <w:sz w:val="32"/>
          <w:szCs w:val="32"/>
        </w:rPr>
        <w:t>违法违规</w:t>
      </w:r>
      <w:r>
        <w:rPr>
          <w:rFonts w:ascii="Times New Roman" w:hAnsi="Times New Roman" w:eastAsia="仿宋"/>
          <w:sz w:val="32"/>
          <w:szCs w:val="32"/>
        </w:rPr>
        <w:t>活动。</w:t>
      </w:r>
    </w:p>
    <w:p>
      <w:pPr>
        <w:spacing w:line="600" w:lineRule="exact"/>
        <w:ind w:firstLine="640" w:firstLineChars="200"/>
        <w:rPr>
          <w:rFonts w:ascii="Times New Roman" w:hAnsi="Times New Roman" w:eastAsia="仿宋"/>
          <w:sz w:val="32"/>
          <w:szCs w:val="32"/>
        </w:rPr>
      </w:pPr>
      <w:r>
        <w:rPr>
          <w:rFonts w:ascii="黑体" w:hAnsi="黑体" w:eastAsia="黑体"/>
          <w:sz w:val="32"/>
          <w:szCs w:val="32"/>
        </w:rPr>
        <w:t>第八条</w:t>
      </w:r>
      <w:r>
        <w:rPr>
          <w:rFonts w:hint="eastAsia" w:ascii="黑体" w:hAnsi="黑体" w:eastAsia="黑体"/>
          <w:sz w:val="32"/>
          <w:szCs w:val="32"/>
        </w:rPr>
        <w:t xml:space="preserve"> </w:t>
      </w:r>
      <w:r>
        <w:rPr>
          <w:rFonts w:ascii="黑体" w:hAnsi="黑体" w:eastAsia="黑体"/>
          <w:sz w:val="32"/>
          <w:szCs w:val="32"/>
        </w:rPr>
        <w:t xml:space="preserve"> </w:t>
      </w:r>
      <w:r>
        <w:rPr>
          <w:rFonts w:ascii="Times New Roman" w:hAnsi="Times New Roman" w:eastAsia="仿宋"/>
          <w:sz w:val="32"/>
          <w:szCs w:val="32"/>
        </w:rPr>
        <w:t>上市公司回购股份应当使用在中国证券登记结算有限责任公司（以下简称中国结算）开立的上市公司回购专用证券账户（以下简称回购专户）。回购专户只能用于</w:t>
      </w:r>
      <w:r>
        <w:rPr>
          <w:rFonts w:hint="eastAsia" w:ascii="Times New Roman" w:hAnsi="Times New Roman" w:eastAsia="仿宋"/>
          <w:sz w:val="32"/>
          <w:szCs w:val="32"/>
        </w:rPr>
        <w:t>存放已回购的</w:t>
      </w:r>
      <w:r>
        <w:rPr>
          <w:rFonts w:ascii="Times New Roman" w:hAnsi="Times New Roman" w:eastAsia="仿宋"/>
          <w:sz w:val="32"/>
          <w:szCs w:val="32"/>
        </w:rPr>
        <w:t>股份。</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上市公司不得使用公司普通证券账户买卖本公司股份。</w:t>
      </w:r>
    </w:p>
    <w:p>
      <w:pPr>
        <w:spacing w:line="600" w:lineRule="exact"/>
        <w:ind w:firstLine="636"/>
        <w:rPr>
          <w:rFonts w:ascii="Times New Roman" w:hAnsi="Times New Roman" w:eastAsia="仿宋"/>
          <w:sz w:val="32"/>
          <w:szCs w:val="32"/>
        </w:rPr>
      </w:pPr>
      <w:r>
        <w:rPr>
          <w:rFonts w:ascii="黑体" w:hAnsi="黑体" w:eastAsia="黑体"/>
          <w:sz w:val="32"/>
          <w:szCs w:val="32"/>
        </w:rPr>
        <w:t>第九条</w:t>
      </w:r>
      <w:r>
        <w:rPr>
          <w:rFonts w:hint="eastAsia" w:ascii="黑体" w:hAnsi="黑体" w:eastAsia="黑体"/>
          <w:sz w:val="32"/>
          <w:szCs w:val="32"/>
        </w:rPr>
        <w:t xml:space="preserve"> </w:t>
      </w:r>
      <w:r>
        <w:rPr>
          <w:rFonts w:ascii="黑体" w:hAnsi="黑体" w:eastAsia="黑体"/>
          <w:sz w:val="32"/>
          <w:szCs w:val="32"/>
        </w:rPr>
        <w:t xml:space="preserve"> </w:t>
      </w:r>
      <w:r>
        <w:rPr>
          <w:rFonts w:ascii="Times New Roman" w:hAnsi="Times New Roman" w:eastAsia="仿宋"/>
          <w:sz w:val="32"/>
          <w:szCs w:val="32"/>
        </w:rPr>
        <w:t>上市公司回购专户中的股份，不享有股东会表决权、利润分配、</w:t>
      </w:r>
      <w:r>
        <w:rPr>
          <w:rFonts w:hint="eastAsia" w:ascii="Times New Roman" w:hAnsi="Times New Roman" w:eastAsia="仿宋"/>
          <w:sz w:val="32"/>
          <w:szCs w:val="32"/>
        </w:rPr>
        <w:t>公积金转增股本、认购新股和可转换公司债券</w:t>
      </w:r>
      <w:r>
        <w:rPr>
          <w:rFonts w:ascii="Times New Roman" w:hAnsi="Times New Roman" w:eastAsia="仿宋"/>
          <w:sz w:val="32"/>
          <w:szCs w:val="32"/>
        </w:rPr>
        <w:t>等权利</w:t>
      </w:r>
      <w:r>
        <w:rPr>
          <w:rFonts w:hint="eastAsia" w:ascii="Times New Roman" w:hAnsi="Times New Roman" w:eastAsia="仿宋"/>
          <w:sz w:val="32"/>
          <w:szCs w:val="32"/>
        </w:rPr>
        <w:t>，不得质押和出借</w:t>
      </w:r>
      <w:r>
        <w:rPr>
          <w:rFonts w:ascii="Times New Roman" w:hAnsi="Times New Roman" w:eastAsia="仿宋"/>
          <w:sz w:val="32"/>
          <w:szCs w:val="32"/>
        </w:rPr>
        <w:t>。</w:t>
      </w:r>
    </w:p>
    <w:p>
      <w:pPr>
        <w:spacing w:line="600" w:lineRule="exact"/>
        <w:ind w:firstLine="636"/>
        <w:rPr>
          <w:rFonts w:ascii="Times New Roman" w:hAnsi="Times New Roman" w:eastAsia="仿宋"/>
          <w:sz w:val="32"/>
          <w:szCs w:val="32"/>
        </w:rPr>
      </w:pPr>
      <w:r>
        <w:rPr>
          <w:rFonts w:hint="eastAsia" w:ascii="Times New Roman" w:hAnsi="Times New Roman" w:eastAsia="仿宋"/>
          <w:sz w:val="32"/>
          <w:szCs w:val="32"/>
        </w:rPr>
        <w:t>上市公司在计算相关指标时，应当从总股本中扣减已回购的股份数量。</w:t>
      </w:r>
    </w:p>
    <w:p>
      <w:pPr>
        <w:spacing w:line="600" w:lineRule="exact"/>
        <w:ind w:firstLine="636"/>
        <w:rPr>
          <w:rFonts w:ascii="Times New Roman" w:hAnsi="Times New Roman" w:eastAsia="仿宋"/>
          <w:sz w:val="32"/>
          <w:szCs w:val="32"/>
        </w:rPr>
      </w:pPr>
      <w:r>
        <w:rPr>
          <w:rFonts w:ascii="黑体" w:hAnsi="黑体" w:eastAsia="黑体"/>
          <w:sz w:val="32"/>
          <w:szCs w:val="32"/>
        </w:rPr>
        <w:t>第十条</w:t>
      </w:r>
      <w:r>
        <w:rPr>
          <w:rFonts w:hint="eastAsia" w:ascii="黑体" w:hAnsi="黑体" w:eastAsia="黑体"/>
          <w:sz w:val="32"/>
          <w:szCs w:val="32"/>
        </w:rPr>
        <w:t xml:space="preserve"> </w:t>
      </w:r>
      <w:r>
        <w:rPr>
          <w:rFonts w:ascii="黑体" w:hAnsi="黑体" w:eastAsia="黑体"/>
          <w:sz w:val="32"/>
          <w:szCs w:val="32"/>
        </w:rPr>
        <w:t xml:space="preserve"> </w:t>
      </w:r>
      <w:r>
        <w:rPr>
          <w:rFonts w:ascii="Times New Roman" w:hAnsi="Times New Roman" w:eastAsia="仿宋"/>
          <w:sz w:val="32"/>
          <w:szCs w:val="32"/>
        </w:rPr>
        <w:t>上市公司不得</w:t>
      </w:r>
      <w:r>
        <w:rPr>
          <w:rFonts w:hint="eastAsia" w:ascii="Times New Roman" w:hAnsi="Times New Roman" w:eastAsia="仿宋"/>
          <w:sz w:val="32"/>
          <w:szCs w:val="32"/>
        </w:rPr>
        <w:t>同时实施股份回购和股份发行行为</w:t>
      </w:r>
      <w:r>
        <w:rPr>
          <w:rFonts w:ascii="Times New Roman" w:hAnsi="Times New Roman" w:eastAsia="仿宋"/>
          <w:sz w:val="32"/>
          <w:szCs w:val="32"/>
        </w:rPr>
        <w:t>，但依照有关规定</w:t>
      </w:r>
      <w:r>
        <w:rPr>
          <w:rFonts w:hint="eastAsia" w:ascii="Times New Roman" w:hAnsi="Times New Roman" w:eastAsia="仿宋"/>
          <w:sz w:val="32"/>
          <w:szCs w:val="32"/>
        </w:rPr>
        <w:t>实施</w:t>
      </w:r>
      <w:r>
        <w:rPr>
          <w:rFonts w:ascii="Times New Roman" w:hAnsi="Times New Roman" w:eastAsia="仿宋"/>
          <w:sz w:val="32"/>
          <w:szCs w:val="32"/>
        </w:rPr>
        <w:t>优先股</w:t>
      </w:r>
      <w:r>
        <w:rPr>
          <w:rFonts w:hint="eastAsia" w:ascii="Times New Roman" w:hAnsi="Times New Roman" w:eastAsia="仿宋"/>
          <w:sz w:val="32"/>
          <w:szCs w:val="32"/>
        </w:rPr>
        <w:t>发行行为</w:t>
      </w:r>
      <w:r>
        <w:rPr>
          <w:rFonts w:ascii="Times New Roman" w:hAnsi="Times New Roman" w:eastAsia="仿宋"/>
          <w:sz w:val="32"/>
          <w:szCs w:val="32"/>
        </w:rPr>
        <w:t>的除外。</w:t>
      </w:r>
    </w:p>
    <w:p>
      <w:pPr>
        <w:spacing w:line="600" w:lineRule="exact"/>
        <w:ind w:firstLine="636"/>
        <w:rPr>
          <w:rFonts w:ascii="Times New Roman" w:hAnsi="Times New Roman" w:eastAsia="仿宋"/>
          <w:sz w:val="32"/>
          <w:szCs w:val="32"/>
        </w:rPr>
      </w:pPr>
      <w:r>
        <w:rPr>
          <w:rFonts w:hint="eastAsia" w:ascii="Times New Roman" w:hAnsi="Times New Roman" w:eastAsia="仿宋"/>
          <w:sz w:val="32"/>
          <w:szCs w:val="32"/>
        </w:rPr>
        <w:t>前款所称实施股份回购行为，是指上市公司股东会或者董事会通过回购股份方案后，上市公司收购本公司股份的行为。实施股份发行行为，是指上市公司自向特定对象发送认购邀请书或者取得注册批复并启动向不特定对象发行股份之日起至新增股份完成登记之日止的股份发行行为。</w:t>
      </w:r>
    </w:p>
    <w:p>
      <w:pPr>
        <w:spacing w:line="600" w:lineRule="exact"/>
        <w:ind w:firstLine="636"/>
        <w:rPr>
          <w:rFonts w:ascii="Times New Roman" w:hAnsi="Times New Roman" w:eastAsia="仿宋"/>
          <w:sz w:val="32"/>
          <w:szCs w:val="32"/>
        </w:rPr>
      </w:pPr>
      <w:r>
        <w:rPr>
          <w:rFonts w:hint="eastAsia" w:ascii="Times New Roman" w:hAnsi="Times New Roman" w:eastAsia="仿宋"/>
          <w:sz w:val="32"/>
          <w:szCs w:val="32"/>
        </w:rPr>
        <w:t>股东会授权董事会实施股份回购的，可以依法一并授权董事会实施再融资。上市公司实施股份回购的，可以同时申请发行可转换公司债券，募集时间由上市公司按照有关规定予以确定。</w:t>
      </w:r>
    </w:p>
    <w:p>
      <w:pPr>
        <w:spacing w:line="600" w:lineRule="exact"/>
        <w:ind w:firstLine="636"/>
        <w:rPr>
          <w:rFonts w:ascii="Times New Roman" w:hAnsi="Times New Roman" w:eastAsia="仿宋"/>
          <w:sz w:val="32"/>
          <w:szCs w:val="32"/>
        </w:rPr>
      </w:pPr>
      <w:r>
        <w:rPr>
          <w:rFonts w:ascii="黑体" w:hAnsi="黑体" w:eastAsia="黑体"/>
          <w:sz w:val="32"/>
          <w:szCs w:val="32"/>
        </w:rPr>
        <w:t>第十</w:t>
      </w:r>
      <w:r>
        <w:rPr>
          <w:rFonts w:hint="eastAsia" w:ascii="黑体" w:hAnsi="黑体" w:eastAsia="黑体"/>
          <w:sz w:val="32"/>
          <w:szCs w:val="32"/>
        </w:rPr>
        <w:t>一</w:t>
      </w:r>
      <w:r>
        <w:rPr>
          <w:rFonts w:ascii="黑体" w:hAnsi="黑体" w:eastAsia="黑体"/>
          <w:sz w:val="32"/>
          <w:szCs w:val="32"/>
        </w:rPr>
        <w:t>条</w:t>
      </w:r>
      <w:r>
        <w:rPr>
          <w:rFonts w:hint="eastAsia" w:ascii="黑体" w:hAnsi="黑体" w:eastAsia="黑体"/>
          <w:sz w:val="32"/>
          <w:szCs w:val="32"/>
        </w:rPr>
        <w:t xml:space="preserve"> </w:t>
      </w:r>
      <w:r>
        <w:rPr>
          <w:rFonts w:ascii="黑体" w:hAnsi="黑体" w:eastAsia="黑体"/>
          <w:sz w:val="32"/>
          <w:szCs w:val="32"/>
        </w:rPr>
        <w:t xml:space="preserve"> </w:t>
      </w:r>
      <w:r>
        <w:rPr>
          <w:rFonts w:hint="eastAsia" w:ascii="Times New Roman" w:hAnsi="Times New Roman" w:eastAsia="仿宋"/>
          <w:sz w:val="32"/>
          <w:szCs w:val="32"/>
        </w:rPr>
        <w:t>上市公司触及本指引第四条规定条件的，董事会应当及时了解是否存在对股价可能产生较大影响的重大事件和其他因素，通过多种渠道主动与股东特别是中小股东进行沟通和交流，充分听取股东关于公司是否应实施股份回购的意见和诉求。</w:t>
      </w:r>
    </w:p>
    <w:p>
      <w:pPr>
        <w:spacing w:line="600" w:lineRule="exact"/>
        <w:ind w:firstLine="636"/>
        <w:rPr>
          <w:rFonts w:ascii="Times New Roman" w:hAnsi="Times New Roman" w:eastAsia="仿宋"/>
          <w:sz w:val="32"/>
          <w:szCs w:val="32"/>
        </w:rPr>
      </w:pPr>
      <w:r>
        <w:rPr>
          <w:rFonts w:ascii="黑体" w:hAnsi="黑体" w:eastAsia="黑体"/>
          <w:sz w:val="32"/>
          <w:szCs w:val="32"/>
        </w:rPr>
        <w:t>第十</w:t>
      </w:r>
      <w:r>
        <w:rPr>
          <w:rFonts w:hint="eastAsia" w:ascii="黑体" w:hAnsi="黑体" w:eastAsia="黑体"/>
          <w:sz w:val="32"/>
          <w:szCs w:val="32"/>
        </w:rPr>
        <w:t>二</w:t>
      </w:r>
      <w:r>
        <w:rPr>
          <w:rFonts w:ascii="黑体" w:hAnsi="黑体" w:eastAsia="黑体"/>
          <w:sz w:val="32"/>
          <w:szCs w:val="32"/>
        </w:rPr>
        <w:t>条</w:t>
      </w:r>
      <w:r>
        <w:rPr>
          <w:rFonts w:hint="eastAsia" w:ascii="黑体" w:hAnsi="黑体" w:eastAsia="黑体"/>
          <w:sz w:val="32"/>
          <w:szCs w:val="32"/>
        </w:rPr>
        <w:t xml:space="preserve"> </w:t>
      </w:r>
      <w:r>
        <w:rPr>
          <w:rFonts w:ascii="黑体" w:hAnsi="黑体" w:eastAsia="黑体"/>
          <w:sz w:val="32"/>
          <w:szCs w:val="32"/>
        </w:rPr>
        <w:t xml:space="preserve"> </w:t>
      </w:r>
      <w:r>
        <w:rPr>
          <w:rFonts w:hint="eastAsia" w:ascii="Times New Roman" w:hAnsi="Times New Roman" w:eastAsia="仿宋"/>
          <w:sz w:val="32"/>
          <w:szCs w:val="32"/>
        </w:rPr>
        <w:t>因上市公司回购股份，导致投资者持有或者通过协议、其他安排与他人共同持有该公司已发行的有表决权股份超过30%的，投资者可以免于发出要约。</w:t>
      </w:r>
    </w:p>
    <w:p>
      <w:pPr>
        <w:suppressAutoHyphens/>
        <w:spacing w:before="240" w:after="240" w:line="600" w:lineRule="exact"/>
        <w:jc w:val="center"/>
        <w:rPr>
          <w:rFonts w:ascii="黑体" w:hAnsi="黑体" w:eastAsia="黑体"/>
          <w:sz w:val="32"/>
          <w:szCs w:val="32"/>
        </w:rPr>
      </w:pPr>
      <w:r>
        <w:rPr>
          <w:rFonts w:hint="eastAsia" w:ascii="黑体" w:hAnsi="黑体" w:eastAsia="黑体"/>
          <w:sz w:val="32"/>
          <w:szCs w:val="32"/>
        </w:rPr>
        <w:t>第二章  竞价回购</w:t>
      </w:r>
    </w:p>
    <w:p>
      <w:pPr>
        <w:pStyle w:val="16"/>
        <w:numPr>
          <w:ilvl w:val="0"/>
          <w:numId w:val="1"/>
        </w:numPr>
        <w:spacing w:line="600" w:lineRule="exact"/>
        <w:ind w:firstLineChars="0"/>
        <w:jc w:val="center"/>
        <w:outlineLvl w:val="1"/>
        <w:rPr>
          <w:rFonts w:ascii="楷体" w:hAnsi="楷体" w:eastAsia="楷体"/>
          <w:sz w:val="32"/>
          <w:szCs w:val="32"/>
        </w:rPr>
      </w:pPr>
      <w:r>
        <w:rPr>
          <w:rFonts w:hint="eastAsia" w:ascii="楷体" w:hAnsi="楷体" w:eastAsia="楷体"/>
          <w:sz w:val="32"/>
          <w:szCs w:val="32"/>
        </w:rPr>
        <w:t>一般规定</w:t>
      </w:r>
    </w:p>
    <w:p>
      <w:pPr>
        <w:spacing w:line="600" w:lineRule="exact"/>
        <w:ind w:firstLine="640" w:firstLineChars="200"/>
        <w:rPr>
          <w:rFonts w:ascii="Times New Roman" w:hAnsi="Times New Roman" w:eastAsia="仿宋"/>
          <w:sz w:val="32"/>
          <w:szCs w:val="32"/>
        </w:rPr>
      </w:pPr>
      <w:r>
        <w:rPr>
          <w:rFonts w:ascii="黑体" w:hAnsi="黑体" w:eastAsia="黑体"/>
          <w:sz w:val="32"/>
          <w:szCs w:val="32"/>
        </w:rPr>
        <w:t>第十</w:t>
      </w:r>
      <w:r>
        <w:rPr>
          <w:rFonts w:hint="eastAsia" w:ascii="黑体" w:hAnsi="黑体" w:eastAsia="黑体"/>
          <w:sz w:val="32"/>
          <w:szCs w:val="32"/>
        </w:rPr>
        <w:t>三</w:t>
      </w:r>
      <w:r>
        <w:rPr>
          <w:rFonts w:ascii="黑体" w:hAnsi="黑体" w:eastAsia="黑体"/>
          <w:sz w:val="32"/>
          <w:szCs w:val="32"/>
        </w:rPr>
        <w:t>条</w:t>
      </w:r>
      <w:r>
        <w:rPr>
          <w:rFonts w:hint="eastAsia" w:ascii="黑体" w:hAnsi="黑体" w:eastAsia="黑体"/>
          <w:sz w:val="32"/>
          <w:szCs w:val="32"/>
        </w:rPr>
        <w:t xml:space="preserve"> </w:t>
      </w:r>
      <w:r>
        <w:rPr>
          <w:rFonts w:ascii="黑体" w:hAnsi="黑体" w:eastAsia="黑体"/>
          <w:sz w:val="32"/>
          <w:szCs w:val="32"/>
        </w:rPr>
        <w:t xml:space="preserve"> </w:t>
      </w:r>
      <w:r>
        <w:rPr>
          <w:rFonts w:ascii="Times New Roman" w:hAnsi="Times New Roman" w:eastAsia="仿宋"/>
          <w:sz w:val="32"/>
          <w:szCs w:val="32"/>
        </w:rPr>
        <w:t>上市公司实施竞价回购应当符合以下条件：</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（一）</w:t>
      </w:r>
      <w:r>
        <w:rPr>
          <w:rFonts w:hint="eastAsia" w:ascii="Times New Roman" w:hAnsi="Times New Roman" w:eastAsia="仿宋"/>
          <w:sz w:val="32"/>
          <w:szCs w:val="32"/>
        </w:rPr>
        <w:t>公司股票上市已满6个月；</w:t>
      </w:r>
    </w:p>
    <w:p>
      <w:pPr>
        <w:spacing w:line="600" w:lineRule="exact"/>
        <w:ind w:firstLine="640" w:firstLineChars="200"/>
        <w:rPr>
          <w:rFonts w:ascii="Times New Roman" w:hAnsi="Times New Roman" w:eastAsia="仿宋"/>
          <w:sz w:val="32"/>
          <w:szCs w:val="32"/>
        </w:rPr>
      </w:pPr>
      <w:r>
        <w:rPr>
          <w:rFonts w:hint="eastAsia" w:ascii="Times New Roman" w:hAnsi="Times New Roman" w:eastAsia="仿宋"/>
          <w:sz w:val="32"/>
          <w:szCs w:val="32"/>
        </w:rPr>
        <w:t>（二）公司最近1年无重大违法行为；</w:t>
      </w:r>
    </w:p>
    <w:p>
      <w:pPr>
        <w:spacing w:line="600" w:lineRule="exact"/>
        <w:ind w:firstLine="640" w:firstLineChars="200"/>
        <w:rPr>
          <w:rFonts w:ascii="Times New Roman" w:hAnsi="Times New Roman" w:eastAsia="仿宋"/>
          <w:sz w:val="32"/>
          <w:szCs w:val="32"/>
        </w:rPr>
      </w:pPr>
      <w:r>
        <w:rPr>
          <w:rFonts w:hint="eastAsia" w:ascii="Times New Roman" w:hAnsi="Times New Roman" w:eastAsia="仿宋"/>
          <w:sz w:val="32"/>
          <w:szCs w:val="32"/>
        </w:rPr>
        <w:t>（三）</w:t>
      </w:r>
      <w:r>
        <w:rPr>
          <w:rFonts w:ascii="Times New Roman" w:hAnsi="Times New Roman" w:eastAsia="仿宋"/>
          <w:sz w:val="32"/>
          <w:szCs w:val="32"/>
        </w:rPr>
        <w:t>回购股份后，公司具备债务履行能力和持续经营能力；</w:t>
      </w:r>
    </w:p>
    <w:p>
      <w:pPr>
        <w:spacing w:line="600" w:lineRule="exact"/>
        <w:ind w:firstLine="640" w:firstLineChars="200"/>
        <w:rPr>
          <w:rFonts w:ascii="Times New Roman" w:hAnsi="Times New Roman" w:eastAsia="仿宋"/>
          <w:sz w:val="32"/>
          <w:szCs w:val="32"/>
        </w:rPr>
      </w:pPr>
      <w:r>
        <w:rPr>
          <w:rFonts w:hint="eastAsia" w:ascii="Times New Roman" w:hAnsi="Times New Roman" w:eastAsia="仿宋"/>
          <w:sz w:val="32"/>
          <w:szCs w:val="32"/>
        </w:rPr>
        <w:t>（四）回购股份后，公司的股权分布原则上应当符合上市条件；公司拟通过回购股份终止其股票上市交易的，应当符合相关规定；</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w:t>
      </w:r>
      <w:r>
        <w:rPr>
          <w:rFonts w:hint="eastAsia" w:ascii="Times New Roman" w:hAnsi="Times New Roman" w:eastAsia="仿宋"/>
          <w:sz w:val="32"/>
          <w:szCs w:val="32"/>
        </w:rPr>
        <w:t>五</w:t>
      </w:r>
      <w:r>
        <w:rPr>
          <w:rFonts w:ascii="Times New Roman" w:hAnsi="Times New Roman" w:eastAsia="仿宋"/>
          <w:sz w:val="32"/>
          <w:szCs w:val="32"/>
        </w:rPr>
        <w:t>）中国证监会规定的其他条件。</w:t>
      </w:r>
    </w:p>
    <w:p>
      <w:pPr>
        <w:spacing w:line="600" w:lineRule="exact"/>
        <w:ind w:firstLine="640" w:firstLineChars="200"/>
        <w:rPr>
          <w:rFonts w:ascii="Times New Roman" w:hAnsi="Times New Roman" w:eastAsia="仿宋"/>
          <w:sz w:val="32"/>
          <w:szCs w:val="32"/>
        </w:rPr>
      </w:pPr>
      <w:r>
        <w:rPr>
          <w:rFonts w:hint="eastAsia" w:ascii="Times New Roman" w:hAnsi="Times New Roman" w:eastAsia="仿宋"/>
          <w:sz w:val="32"/>
          <w:szCs w:val="32"/>
        </w:rPr>
        <w:t>上市公司因触及本指引第四条规定条件而启动回购并减少注册资本的，不适用前款第一项的规定。</w:t>
      </w:r>
    </w:p>
    <w:p>
      <w:pPr>
        <w:spacing w:line="600" w:lineRule="exact"/>
        <w:ind w:firstLine="636"/>
        <w:rPr>
          <w:rFonts w:ascii="仿宋" w:hAnsi="仿宋" w:eastAsia="仿宋"/>
          <w:sz w:val="32"/>
          <w:szCs w:val="32"/>
        </w:rPr>
      </w:pPr>
      <w:r>
        <w:rPr>
          <w:rFonts w:ascii="黑体" w:hAnsi="黑体" w:eastAsia="黑体"/>
          <w:sz w:val="32"/>
          <w:szCs w:val="32"/>
        </w:rPr>
        <w:t>第十</w:t>
      </w:r>
      <w:r>
        <w:rPr>
          <w:rFonts w:hint="eastAsia" w:ascii="黑体" w:hAnsi="黑体" w:eastAsia="黑体"/>
          <w:sz w:val="32"/>
          <w:szCs w:val="32"/>
        </w:rPr>
        <w:t>四</w:t>
      </w:r>
      <w:r>
        <w:rPr>
          <w:rFonts w:ascii="黑体" w:hAnsi="黑体" w:eastAsia="黑体"/>
          <w:sz w:val="32"/>
          <w:szCs w:val="32"/>
        </w:rPr>
        <w:t>条</w:t>
      </w:r>
      <w:r>
        <w:rPr>
          <w:rFonts w:hint="eastAsia" w:ascii="黑体" w:hAnsi="黑体" w:eastAsia="黑体"/>
          <w:sz w:val="32"/>
          <w:szCs w:val="32"/>
        </w:rPr>
        <w:t xml:space="preserve"> </w:t>
      </w:r>
      <w:r>
        <w:rPr>
          <w:rFonts w:ascii="黑体" w:hAnsi="黑体" w:eastAsia="黑体"/>
          <w:sz w:val="32"/>
          <w:szCs w:val="32"/>
        </w:rPr>
        <w:t xml:space="preserve"> </w:t>
      </w:r>
      <w:r>
        <w:rPr>
          <w:rFonts w:hint="eastAsia" w:ascii="仿宋" w:hAnsi="仿宋" w:eastAsia="仿宋"/>
          <w:sz w:val="32"/>
          <w:szCs w:val="32"/>
        </w:rPr>
        <w:t>上市公司可以使用下列资金回购股份：</w:t>
      </w:r>
    </w:p>
    <w:p>
      <w:pPr>
        <w:spacing w:line="600" w:lineRule="exact"/>
        <w:ind w:firstLine="636"/>
        <w:rPr>
          <w:rFonts w:ascii="仿宋" w:hAnsi="仿宋" w:eastAsia="仿宋"/>
          <w:sz w:val="32"/>
          <w:szCs w:val="32"/>
        </w:rPr>
      </w:pPr>
      <w:r>
        <w:rPr>
          <w:rFonts w:hint="eastAsia" w:ascii="仿宋" w:hAnsi="仿宋" w:eastAsia="仿宋"/>
          <w:sz w:val="32"/>
          <w:szCs w:val="32"/>
        </w:rPr>
        <w:t>（一）自有资金；</w:t>
      </w:r>
    </w:p>
    <w:p>
      <w:pPr>
        <w:spacing w:line="600" w:lineRule="exact"/>
        <w:ind w:firstLine="636"/>
        <w:rPr>
          <w:rFonts w:ascii="仿宋" w:hAnsi="仿宋" w:eastAsia="仿宋"/>
          <w:sz w:val="32"/>
          <w:szCs w:val="32"/>
        </w:rPr>
      </w:pPr>
      <w:r>
        <w:rPr>
          <w:rFonts w:hint="eastAsia" w:ascii="仿宋" w:hAnsi="仿宋" w:eastAsia="仿宋"/>
          <w:sz w:val="32"/>
          <w:szCs w:val="32"/>
        </w:rPr>
        <w:t>（二）发行优先股、债券募集的资金；</w:t>
      </w:r>
    </w:p>
    <w:p>
      <w:pPr>
        <w:spacing w:line="600" w:lineRule="exact"/>
        <w:ind w:firstLine="636"/>
        <w:rPr>
          <w:rFonts w:ascii="仿宋" w:hAnsi="仿宋" w:eastAsia="仿宋"/>
          <w:sz w:val="32"/>
          <w:szCs w:val="32"/>
        </w:rPr>
      </w:pPr>
      <w:r>
        <w:rPr>
          <w:rFonts w:hint="eastAsia" w:ascii="仿宋" w:hAnsi="仿宋" w:eastAsia="仿宋"/>
          <w:sz w:val="32"/>
          <w:szCs w:val="32"/>
        </w:rPr>
        <w:t>（三）发行普通股取得的超募资金、募投项目节余资金和已依法变更为永久补充流动资金的募集资金；</w:t>
      </w:r>
    </w:p>
    <w:p>
      <w:pPr>
        <w:spacing w:line="600" w:lineRule="exact"/>
        <w:ind w:firstLine="636"/>
        <w:rPr>
          <w:rFonts w:ascii="仿宋" w:hAnsi="仿宋" w:eastAsia="仿宋"/>
          <w:sz w:val="32"/>
          <w:szCs w:val="32"/>
        </w:rPr>
      </w:pPr>
      <w:r>
        <w:rPr>
          <w:rFonts w:hint="eastAsia" w:ascii="仿宋" w:hAnsi="仿宋" w:eastAsia="仿宋"/>
          <w:sz w:val="32"/>
          <w:szCs w:val="32"/>
        </w:rPr>
        <w:t>（四）金融机构借款；</w:t>
      </w:r>
    </w:p>
    <w:p>
      <w:pPr>
        <w:spacing w:line="600" w:lineRule="exact"/>
        <w:ind w:firstLine="636"/>
        <w:rPr>
          <w:rFonts w:ascii="仿宋" w:hAnsi="仿宋" w:eastAsia="仿宋"/>
          <w:sz w:val="32"/>
          <w:szCs w:val="32"/>
        </w:rPr>
      </w:pPr>
      <w:r>
        <w:rPr>
          <w:rFonts w:hint="eastAsia" w:ascii="仿宋" w:hAnsi="仿宋" w:eastAsia="仿宋"/>
          <w:sz w:val="32"/>
          <w:szCs w:val="32"/>
        </w:rPr>
        <w:t>（五）其他合法资金。</w:t>
      </w:r>
    </w:p>
    <w:p>
      <w:pPr>
        <w:spacing w:line="600" w:lineRule="exact"/>
        <w:ind w:firstLine="636"/>
        <w:rPr>
          <w:rFonts w:ascii="Times New Roman" w:hAnsi="Times New Roman" w:eastAsia="仿宋"/>
          <w:sz w:val="32"/>
          <w:szCs w:val="32"/>
        </w:rPr>
      </w:pPr>
      <w:r>
        <w:rPr>
          <w:rFonts w:ascii="黑体" w:hAnsi="黑体" w:eastAsia="黑体"/>
          <w:sz w:val="32"/>
          <w:szCs w:val="32"/>
        </w:rPr>
        <w:t>第十</w:t>
      </w:r>
      <w:r>
        <w:rPr>
          <w:rFonts w:hint="eastAsia" w:ascii="黑体" w:hAnsi="黑体" w:eastAsia="黑体"/>
          <w:sz w:val="32"/>
          <w:szCs w:val="32"/>
        </w:rPr>
        <w:t>五</w:t>
      </w:r>
      <w:r>
        <w:rPr>
          <w:rFonts w:ascii="黑体" w:hAnsi="黑体" w:eastAsia="黑体"/>
          <w:sz w:val="32"/>
          <w:szCs w:val="32"/>
        </w:rPr>
        <w:t>条</w:t>
      </w:r>
      <w:r>
        <w:rPr>
          <w:rFonts w:hint="eastAsia" w:ascii="仿宋" w:hAnsi="仿宋" w:eastAsia="仿宋"/>
          <w:sz w:val="32"/>
          <w:szCs w:val="32"/>
        </w:rPr>
        <w:t xml:space="preserve"> </w:t>
      </w:r>
      <w:r>
        <w:rPr>
          <w:rFonts w:ascii="仿宋" w:hAnsi="仿宋" w:eastAsia="仿宋"/>
          <w:sz w:val="32"/>
          <w:szCs w:val="32"/>
        </w:rPr>
        <w:t xml:space="preserve"> 上市公司应</w:t>
      </w:r>
      <w:r>
        <w:rPr>
          <w:rFonts w:ascii="Times New Roman" w:hAnsi="Times New Roman" w:eastAsia="仿宋"/>
          <w:sz w:val="32"/>
          <w:szCs w:val="32"/>
        </w:rPr>
        <w:t>当合理安排回购规模和回购资金，并在回购股份方案中明确拟回购股份数量或者资金总额的上下限，且下限不得低于上限的50%。</w:t>
      </w:r>
    </w:p>
    <w:p>
      <w:pPr>
        <w:spacing w:line="600" w:lineRule="exact"/>
        <w:ind w:firstLine="636"/>
        <w:rPr>
          <w:rFonts w:ascii="仿宋_GB2312" w:hAnsi="微软雅黑" w:eastAsia="仿宋_GB2312"/>
          <w:sz w:val="30"/>
          <w:szCs w:val="30"/>
        </w:rPr>
      </w:pPr>
      <w:r>
        <w:rPr>
          <w:rFonts w:ascii="黑体" w:hAnsi="黑体" w:eastAsia="黑体"/>
          <w:sz w:val="32"/>
          <w:szCs w:val="32"/>
        </w:rPr>
        <w:t>第十</w:t>
      </w:r>
      <w:r>
        <w:rPr>
          <w:rFonts w:hint="eastAsia" w:ascii="黑体" w:hAnsi="黑体" w:eastAsia="黑体"/>
          <w:sz w:val="32"/>
          <w:szCs w:val="32"/>
        </w:rPr>
        <w:t>六</w:t>
      </w:r>
      <w:r>
        <w:rPr>
          <w:rFonts w:ascii="黑体" w:hAnsi="黑体" w:eastAsia="黑体"/>
          <w:sz w:val="32"/>
          <w:szCs w:val="32"/>
        </w:rPr>
        <w:t>条</w:t>
      </w:r>
      <w:r>
        <w:rPr>
          <w:rFonts w:hint="eastAsia" w:ascii="黑体" w:hAnsi="黑体" w:eastAsia="黑体"/>
          <w:sz w:val="32"/>
          <w:szCs w:val="32"/>
        </w:rPr>
        <w:t xml:space="preserve"> </w:t>
      </w:r>
      <w:r>
        <w:rPr>
          <w:rFonts w:ascii="黑体" w:hAnsi="黑体" w:eastAsia="黑体"/>
          <w:sz w:val="32"/>
          <w:szCs w:val="32"/>
        </w:rPr>
        <w:t xml:space="preserve"> </w:t>
      </w:r>
      <w:r>
        <w:rPr>
          <w:rFonts w:ascii="Times New Roman" w:hAnsi="Times New Roman" w:eastAsia="仿宋"/>
          <w:sz w:val="32"/>
          <w:szCs w:val="32"/>
        </w:rPr>
        <w:t>竞价回购的价格上限原则上不应高于董事会审议通过回购股份决议前30个</w:t>
      </w:r>
      <w:r>
        <w:rPr>
          <w:rFonts w:hint="eastAsia" w:ascii="Times New Roman" w:hAnsi="Times New Roman" w:eastAsia="仿宋"/>
          <w:sz w:val="32"/>
          <w:szCs w:val="32"/>
        </w:rPr>
        <w:t>交易</w:t>
      </w:r>
      <w:r>
        <w:rPr>
          <w:rFonts w:ascii="Times New Roman" w:hAnsi="Times New Roman" w:eastAsia="仿宋"/>
          <w:sz w:val="32"/>
          <w:szCs w:val="32"/>
        </w:rPr>
        <w:t>日</w:t>
      </w:r>
      <w:r>
        <w:rPr>
          <w:rFonts w:hint="eastAsia" w:ascii="Times New Roman" w:hAnsi="Times New Roman" w:eastAsia="仿宋"/>
          <w:sz w:val="32"/>
          <w:szCs w:val="32"/>
        </w:rPr>
        <w:t>（不含停牌日）交易</w:t>
      </w:r>
      <w:r>
        <w:rPr>
          <w:rFonts w:ascii="Times New Roman" w:hAnsi="Times New Roman" w:eastAsia="仿宋"/>
          <w:sz w:val="32"/>
          <w:szCs w:val="32"/>
        </w:rPr>
        <w:t>均价的200%；确有必要超过这一上限的，</w:t>
      </w:r>
      <w:r>
        <w:rPr>
          <w:rFonts w:hint="eastAsia" w:ascii="Times New Roman" w:hAnsi="Times New Roman" w:eastAsia="仿宋"/>
          <w:sz w:val="32"/>
          <w:szCs w:val="32"/>
        </w:rPr>
        <w:t>应当在回购股份方案中充分说明其合理性。</w:t>
      </w:r>
    </w:p>
    <w:p>
      <w:pPr>
        <w:spacing w:line="600" w:lineRule="exact"/>
        <w:ind w:firstLine="636"/>
        <w:rPr>
          <w:rFonts w:ascii="Times New Roman" w:hAnsi="Times New Roman" w:eastAsia="仿宋"/>
          <w:sz w:val="32"/>
          <w:szCs w:val="32"/>
        </w:rPr>
      </w:pPr>
      <w:r>
        <w:rPr>
          <w:rFonts w:ascii="黑体" w:hAnsi="黑体" w:eastAsia="黑体"/>
          <w:sz w:val="32"/>
          <w:szCs w:val="32"/>
        </w:rPr>
        <w:t>第十</w:t>
      </w:r>
      <w:r>
        <w:rPr>
          <w:rFonts w:hint="eastAsia" w:ascii="黑体" w:hAnsi="黑体" w:eastAsia="黑体"/>
          <w:sz w:val="32"/>
          <w:szCs w:val="32"/>
        </w:rPr>
        <w:t>七</w:t>
      </w:r>
      <w:r>
        <w:rPr>
          <w:rFonts w:ascii="黑体" w:hAnsi="黑体" w:eastAsia="黑体"/>
          <w:sz w:val="32"/>
          <w:szCs w:val="32"/>
        </w:rPr>
        <w:t>条</w:t>
      </w:r>
      <w:r>
        <w:rPr>
          <w:rFonts w:hint="eastAsia" w:ascii="黑体" w:hAnsi="黑体" w:eastAsia="黑体"/>
          <w:sz w:val="32"/>
          <w:szCs w:val="32"/>
        </w:rPr>
        <w:t xml:space="preserve"> </w:t>
      </w:r>
      <w:r>
        <w:rPr>
          <w:rFonts w:ascii="黑体" w:hAnsi="黑体" w:eastAsia="黑体"/>
          <w:sz w:val="32"/>
          <w:szCs w:val="32"/>
        </w:rPr>
        <w:t xml:space="preserve"> </w:t>
      </w:r>
      <w:r>
        <w:rPr>
          <w:rFonts w:ascii="Times New Roman" w:hAnsi="Times New Roman" w:eastAsia="仿宋"/>
          <w:sz w:val="32"/>
          <w:szCs w:val="32"/>
        </w:rPr>
        <w:t>上市公司在下列期间不得回购股份：</w:t>
      </w:r>
    </w:p>
    <w:p>
      <w:pPr>
        <w:spacing w:line="600" w:lineRule="exact"/>
        <w:ind w:firstLine="636"/>
        <w:rPr>
          <w:rFonts w:ascii="Times New Roman" w:hAnsi="Times New Roman" w:eastAsia="仿宋"/>
          <w:sz w:val="32"/>
          <w:szCs w:val="32"/>
        </w:rPr>
      </w:pPr>
      <w:r>
        <w:rPr>
          <w:rFonts w:ascii="Times New Roman" w:hAnsi="Times New Roman" w:eastAsia="仿宋"/>
          <w:sz w:val="32"/>
          <w:szCs w:val="32"/>
        </w:rPr>
        <w:t>（一）自可能对本公司</w:t>
      </w:r>
      <w:r>
        <w:rPr>
          <w:rFonts w:hint="eastAsia" w:ascii="Times New Roman" w:hAnsi="Times New Roman" w:eastAsia="仿宋"/>
          <w:sz w:val="32"/>
          <w:szCs w:val="32"/>
        </w:rPr>
        <w:t>证券及其衍生品种交易</w:t>
      </w:r>
      <w:r>
        <w:rPr>
          <w:rFonts w:ascii="Times New Roman" w:hAnsi="Times New Roman" w:eastAsia="仿宋"/>
          <w:sz w:val="32"/>
          <w:szCs w:val="32"/>
        </w:rPr>
        <w:t>价格产生重大影响的重大事项发生之日或者在决策过程中至依法披露</w:t>
      </w:r>
      <w:r>
        <w:rPr>
          <w:rFonts w:hint="eastAsia" w:ascii="Times New Roman" w:hAnsi="Times New Roman" w:eastAsia="仿宋"/>
          <w:sz w:val="32"/>
          <w:szCs w:val="32"/>
        </w:rPr>
        <w:t>之</w:t>
      </w:r>
      <w:r>
        <w:rPr>
          <w:rFonts w:ascii="Times New Roman" w:hAnsi="Times New Roman" w:eastAsia="仿宋"/>
          <w:sz w:val="32"/>
          <w:szCs w:val="32"/>
        </w:rPr>
        <w:t>日内；</w:t>
      </w:r>
    </w:p>
    <w:p>
      <w:pPr>
        <w:spacing w:line="600" w:lineRule="exact"/>
        <w:ind w:firstLine="636"/>
        <w:rPr>
          <w:rFonts w:ascii="Times New Roman" w:hAnsi="Times New Roman" w:eastAsia="仿宋"/>
          <w:sz w:val="32"/>
          <w:szCs w:val="32"/>
        </w:rPr>
      </w:pPr>
      <w:r>
        <w:rPr>
          <w:rFonts w:ascii="Times New Roman" w:hAnsi="Times New Roman" w:eastAsia="仿宋"/>
          <w:sz w:val="32"/>
          <w:szCs w:val="32"/>
        </w:rPr>
        <w:t>（</w:t>
      </w:r>
      <w:r>
        <w:rPr>
          <w:rFonts w:hint="eastAsia" w:ascii="Times New Roman" w:hAnsi="Times New Roman" w:eastAsia="仿宋"/>
          <w:sz w:val="32"/>
          <w:szCs w:val="32"/>
        </w:rPr>
        <w:t>二</w:t>
      </w:r>
      <w:r>
        <w:rPr>
          <w:rFonts w:ascii="Times New Roman" w:hAnsi="Times New Roman" w:eastAsia="仿宋"/>
          <w:sz w:val="32"/>
          <w:szCs w:val="32"/>
        </w:rPr>
        <w:t>）中国证监会和本所规定的其他情形。</w:t>
      </w:r>
    </w:p>
    <w:p>
      <w:pPr>
        <w:spacing w:line="600" w:lineRule="exact"/>
        <w:ind w:firstLine="636"/>
        <w:rPr>
          <w:rFonts w:ascii="Times New Roman" w:hAnsi="Times New Roman" w:eastAsia="仿宋"/>
          <w:sz w:val="32"/>
          <w:szCs w:val="32"/>
        </w:rPr>
      </w:pPr>
      <w:r>
        <w:rPr>
          <w:rFonts w:hint="eastAsia" w:ascii="Times New Roman" w:hAnsi="Times New Roman" w:eastAsia="仿宋"/>
          <w:sz w:val="32"/>
          <w:szCs w:val="32"/>
        </w:rPr>
        <w:t>上市公司因维护公司价值及股东权益所必需而实施股份回购并减少注册资本的，不适用前款规定。</w:t>
      </w:r>
    </w:p>
    <w:p>
      <w:pPr>
        <w:spacing w:line="600" w:lineRule="exact"/>
        <w:ind w:firstLine="640" w:firstLineChars="200"/>
        <w:rPr>
          <w:rFonts w:ascii="Times New Roman" w:hAnsi="Times New Roman" w:eastAsia="仿宋"/>
          <w:sz w:val="32"/>
          <w:szCs w:val="32"/>
        </w:rPr>
      </w:pPr>
      <w:r>
        <w:rPr>
          <w:rFonts w:ascii="黑体" w:hAnsi="黑体" w:eastAsia="黑体"/>
          <w:sz w:val="32"/>
          <w:szCs w:val="32"/>
        </w:rPr>
        <w:t>第十</w:t>
      </w:r>
      <w:r>
        <w:rPr>
          <w:rFonts w:hint="eastAsia" w:ascii="黑体" w:hAnsi="黑体" w:eastAsia="黑体"/>
          <w:sz w:val="32"/>
          <w:szCs w:val="32"/>
        </w:rPr>
        <w:t>八</w:t>
      </w:r>
      <w:r>
        <w:rPr>
          <w:rFonts w:ascii="黑体" w:hAnsi="黑体" w:eastAsia="黑体"/>
          <w:sz w:val="32"/>
          <w:szCs w:val="32"/>
        </w:rPr>
        <w:t>条</w:t>
      </w:r>
      <w:r>
        <w:rPr>
          <w:rFonts w:hint="eastAsia" w:ascii="黑体" w:hAnsi="黑体" w:eastAsia="黑体"/>
          <w:sz w:val="32"/>
          <w:szCs w:val="32"/>
        </w:rPr>
        <w:t xml:space="preserve"> </w:t>
      </w:r>
      <w:r>
        <w:rPr>
          <w:rFonts w:ascii="黑体" w:hAnsi="黑体" w:eastAsia="黑体"/>
          <w:sz w:val="32"/>
          <w:szCs w:val="32"/>
        </w:rPr>
        <w:t xml:space="preserve"> </w:t>
      </w:r>
      <w:r>
        <w:rPr>
          <w:rFonts w:ascii="Times New Roman" w:hAnsi="Times New Roman" w:eastAsia="仿宋"/>
          <w:sz w:val="32"/>
          <w:szCs w:val="32"/>
        </w:rPr>
        <w:t>上市公司应当合理发出回购股份的申报指令，防范发生内幕交易及其他不公平交易行为，不得利用回购股份操纵本公司股价或者进行利益输送，</w:t>
      </w:r>
      <w:r>
        <w:rPr>
          <w:rFonts w:hint="eastAsia" w:ascii="Times New Roman" w:hAnsi="Times New Roman" w:eastAsia="仿宋"/>
          <w:sz w:val="32"/>
          <w:szCs w:val="32"/>
        </w:rPr>
        <w:t>不得实施异常交易行为</w:t>
      </w:r>
      <w:r>
        <w:rPr>
          <w:rFonts w:ascii="Times New Roman" w:hAnsi="Times New Roman" w:eastAsia="仿宋"/>
          <w:sz w:val="32"/>
          <w:szCs w:val="32"/>
        </w:rPr>
        <w:t>，</w:t>
      </w:r>
      <w:r>
        <w:rPr>
          <w:rFonts w:hint="eastAsia" w:ascii="Times New Roman" w:hAnsi="Times New Roman" w:eastAsia="仿宋"/>
          <w:sz w:val="32"/>
          <w:szCs w:val="32"/>
        </w:rPr>
        <w:t>不得影响股票交易正常秩序</w:t>
      </w:r>
      <w:r>
        <w:rPr>
          <w:rFonts w:ascii="Times New Roman" w:hAnsi="Times New Roman" w:eastAsia="仿宋"/>
          <w:sz w:val="32"/>
          <w:szCs w:val="32"/>
        </w:rPr>
        <w:t>。</w:t>
      </w:r>
    </w:p>
    <w:p>
      <w:pPr>
        <w:spacing w:line="600" w:lineRule="exact"/>
        <w:ind w:firstLine="636"/>
        <w:rPr>
          <w:rFonts w:ascii="Times New Roman" w:hAnsi="Times New Roman" w:eastAsia="仿宋"/>
          <w:sz w:val="32"/>
          <w:szCs w:val="32"/>
        </w:rPr>
      </w:pPr>
      <w:r>
        <w:rPr>
          <w:rFonts w:ascii="Times New Roman" w:hAnsi="Times New Roman" w:eastAsia="仿宋"/>
          <w:sz w:val="32"/>
          <w:szCs w:val="32"/>
        </w:rPr>
        <w:t>上市公司</w:t>
      </w:r>
      <w:r>
        <w:rPr>
          <w:rFonts w:hint="eastAsia" w:ascii="Times New Roman" w:hAnsi="Times New Roman" w:eastAsia="仿宋"/>
          <w:sz w:val="32"/>
          <w:szCs w:val="32"/>
        </w:rPr>
        <w:t>不得在本所开盘集合竞价、收盘集合竞价及股票价格无涨跌幅限制的交易日内进行股份回购的申报，申报价格不得为公司股票当日交易涨幅限制的价格。</w:t>
      </w:r>
    </w:p>
    <w:p>
      <w:pPr>
        <w:spacing w:line="600" w:lineRule="exact"/>
        <w:ind w:firstLine="636"/>
        <w:rPr>
          <w:rFonts w:ascii="Times New Roman" w:hAnsi="Times New Roman" w:eastAsia="仿宋"/>
          <w:sz w:val="32"/>
          <w:szCs w:val="32"/>
        </w:rPr>
      </w:pPr>
      <w:r>
        <w:rPr>
          <w:rFonts w:ascii="黑体" w:hAnsi="黑体" w:eastAsia="黑体"/>
          <w:sz w:val="32"/>
          <w:szCs w:val="32"/>
        </w:rPr>
        <w:t>第十</w:t>
      </w:r>
      <w:r>
        <w:rPr>
          <w:rFonts w:hint="eastAsia" w:ascii="黑体" w:hAnsi="黑体" w:eastAsia="黑体"/>
          <w:sz w:val="32"/>
          <w:szCs w:val="32"/>
        </w:rPr>
        <w:t>九</w:t>
      </w:r>
      <w:r>
        <w:rPr>
          <w:rFonts w:ascii="黑体" w:hAnsi="黑体" w:eastAsia="黑体"/>
          <w:sz w:val="32"/>
          <w:szCs w:val="32"/>
        </w:rPr>
        <w:t>条</w:t>
      </w:r>
      <w:r>
        <w:rPr>
          <w:rFonts w:hint="eastAsia" w:ascii="黑体" w:hAnsi="黑体" w:eastAsia="黑体"/>
          <w:sz w:val="32"/>
          <w:szCs w:val="32"/>
        </w:rPr>
        <w:t xml:space="preserve"> </w:t>
      </w:r>
      <w:r>
        <w:rPr>
          <w:rFonts w:ascii="黑体" w:hAnsi="黑体" w:eastAsia="黑体"/>
          <w:sz w:val="32"/>
          <w:szCs w:val="32"/>
        </w:rPr>
        <w:t xml:space="preserve"> </w:t>
      </w:r>
      <w:r>
        <w:rPr>
          <w:rFonts w:ascii="Times New Roman" w:hAnsi="Times New Roman" w:eastAsia="仿宋"/>
          <w:sz w:val="32"/>
          <w:szCs w:val="32"/>
        </w:rPr>
        <w:t>竞价回购的实施期限不超过12个月，自董事会或股东会（如须）审议通过回购股份决议之日起算。</w:t>
      </w:r>
    </w:p>
    <w:p>
      <w:pPr>
        <w:spacing w:line="600" w:lineRule="exact"/>
        <w:ind w:firstLine="636"/>
        <w:rPr>
          <w:rFonts w:ascii="Times New Roman" w:hAnsi="Times New Roman" w:eastAsia="仿宋"/>
          <w:sz w:val="32"/>
          <w:szCs w:val="32"/>
        </w:rPr>
      </w:pPr>
      <w:r>
        <w:rPr>
          <w:rFonts w:hint="eastAsia" w:ascii="Times New Roman" w:hAnsi="Times New Roman" w:eastAsia="仿宋"/>
          <w:sz w:val="32"/>
          <w:szCs w:val="32"/>
        </w:rPr>
        <w:t>上市公司因维护公司价值及股东权益所必需回购股份的，回购实施期限自股东会或者董事会审议通过最终回购股份方案之日起不超过3个月。</w:t>
      </w:r>
    </w:p>
    <w:p>
      <w:pPr>
        <w:spacing w:line="600" w:lineRule="exact"/>
        <w:ind w:firstLine="640" w:firstLineChars="200"/>
        <w:rPr>
          <w:rFonts w:ascii="Times New Roman" w:hAnsi="Times New Roman" w:eastAsia="仿宋"/>
          <w:sz w:val="32"/>
          <w:szCs w:val="32"/>
        </w:rPr>
      </w:pPr>
      <w:r>
        <w:rPr>
          <w:rFonts w:ascii="黑体" w:hAnsi="黑体" w:eastAsia="黑体"/>
          <w:sz w:val="32"/>
          <w:szCs w:val="32"/>
        </w:rPr>
        <w:t>第</w:t>
      </w:r>
      <w:r>
        <w:rPr>
          <w:rFonts w:hint="eastAsia" w:ascii="黑体" w:hAnsi="黑体" w:eastAsia="黑体"/>
          <w:sz w:val="32"/>
          <w:szCs w:val="32"/>
        </w:rPr>
        <w:t>二十</w:t>
      </w:r>
      <w:r>
        <w:rPr>
          <w:rFonts w:ascii="黑体" w:hAnsi="黑体" w:eastAsia="黑体"/>
          <w:sz w:val="32"/>
          <w:szCs w:val="32"/>
        </w:rPr>
        <w:t>条</w:t>
      </w:r>
      <w:r>
        <w:rPr>
          <w:rFonts w:hint="eastAsia" w:ascii="黑体" w:hAnsi="黑体" w:eastAsia="黑体"/>
          <w:sz w:val="32"/>
          <w:szCs w:val="32"/>
        </w:rPr>
        <w:t xml:space="preserve"> </w:t>
      </w:r>
      <w:r>
        <w:rPr>
          <w:rFonts w:ascii="黑体" w:hAnsi="黑体" w:eastAsia="黑体"/>
          <w:sz w:val="32"/>
          <w:szCs w:val="32"/>
        </w:rPr>
        <w:t xml:space="preserve"> </w:t>
      </w:r>
      <w:r>
        <w:rPr>
          <w:rFonts w:ascii="Times New Roman" w:hAnsi="Times New Roman" w:eastAsia="仿宋"/>
          <w:sz w:val="32"/>
          <w:szCs w:val="32"/>
        </w:rPr>
        <w:t>上市公司</w:t>
      </w:r>
      <w:r>
        <w:rPr>
          <w:rFonts w:hint="eastAsia" w:ascii="Times New Roman" w:hAnsi="Times New Roman" w:eastAsia="仿宋"/>
          <w:sz w:val="32"/>
          <w:szCs w:val="32"/>
        </w:rPr>
        <w:t>因维护公司价值及股东权益所必需回购股份的，其控股股东、实际控制人、董事</w:t>
      </w:r>
      <w:r>
        <w:rPr>
          <w:rFonts w:hint="eastAsia" w:ascii="Times New Roman" w:hAnsi="Times New Roman" w:eastAsia="仿宋"/>
          <w:sz w:val="32"/>
          <w:szCs w:val="32"/>
          <w:lang w:eastAsia="zh-CN"/>
        </w:rPr>
        <w:t>、高级管理人员</w:t>
      </w:r>
      <w:r>
        <w:rPr>
          <w:rFonts w:hint="eastAsia" w:ascii="Times New Roman" w:hAnsi="Times New Roman" w:eastAsia="仿宋"/>
          <w:sz w:val="32"/>
          <w:szCs w:val="32"/>
        </w:rPr>
        <w:t>和回购股份提议人自公司首次披露回购股份事项之日起至发布回购结果公告期间，不得直接或间接减持本公司股份。</w:t>
      </w:r>
    </w:p>
    <w:p>
      <w:pPr>
        <w:spacing w:line="600" w:lineRule="exact"/>
        <w:ind w:firstLine="640" w:firstLineChars="200"/>
        <w:rPr>
          <w:rFonts w:ascii="Times New Roman" w:hAnsi="Times New Roman" w:eastAsia="仿宋"/>
          <w:sz w:val="32"/>
          <w:szCs w:val="32"/>
        </w:rPr>
      </w:pPr>
      <w:r>
        <w:rPr>
          <w:rFonts w:ascii="黑体" w:hAnsi="黑体" w:eastAsia="黑体"/>
          <w:sz w:val="32"/>
          <w:szCs w:val="32"/>
        </w:rPr>
        <w:t>第</w:t>
      </w:r>
      <w:r>
        <w:rPr>
          <w:rFonts w:hint="eastAsia" w:ascii="黑体" w:hAnsi="黑体" w:eastAsia="黑体"/>
          <w:sz w:val="32"/>
          <w:szCs w:val="32"/>
        </w:rPr>
        <w:t>二十一</w:t>
      </w:r>
      <w:r>
        <w:rPr>
          <w:rFonts w:ascii="黑体" w:hAnsi="黑体" w:eastAsia="黑体"/>
          <w:sz w:val="32"/>
          <w:szCs w:val="32"/>
        </w:rPr>
        <w:t>条</w:t>
      </w:r>
      <w:r>
        <w:rPr>
          <w:rFonts w:hint="eastAsia" w:ascii="黑体" w:hAnsi="黑体" w:eastAsia="黑体"/>
          <w:sz w:val="32"/>
          <w:szCs w:val="32"/>
        </w:rPr>
        <w:t xml:space="preserve"> </w:t>
      </w:r>
      <w:r>
        <w:rPr>
          <w:rFonts w:ascii="黑体" w:hAnsi="黑体" w:eastAsia="黑体"/>
          <w:sz w:val="32"/>
          <w:szCs w:val="32"/>
        </w:rPr>
        <w:t xml:space="preserve"> </w:t>
      </w:r>
      <w:r>
        <w:rPr>
          <w:rFonts w:hint="eastAsia" w:ascii="Times New Roman" w:hAnsi="Times New Roman" w:eastAsia="仿宋"/>
          <w:sz w:val="32"/>
          <w:szCs w:val="32"/>
        </w:rPr>
        <w:t>上市公司回购股份用于减少公司注册资本的，应当自回购之日起10日内注销；上市公司回购股份用于股权激励或者员工持股计划、转换上市公司发行的可转换为股票的公司债券、维护公司价值及股东权益所必需的，合计持有的本公司股份数不得超过本公司已发行股份总数的10%，并应当在发布回购结果公告后3年内转让或者注销。</w:t>
      </w:r>
    </w:p>
    <w:p>
      <w:pPr>
        <w:spacing w:line="600" w:lineRule="exact"/>
        <w:jc w:val="center"/>
        <w:outlineLvl w:val="1"/>
        <w:rPr>
          <w:rFonts w:ascii="楷体" w:hAnsi="楷体" w:eastAsia="楷体"/>
          <w:sz w:val="32"/>
          <w:szCs w:val="32"/>
        </w:rPr>
      </w:pPr>
      <w:r>
        <w:rPr>
          <w:rFonts w:hint="eastAsia" w:ascii="楷体" w:hAnsi="楷体" w:eastAsia="楷体"/>
          <w:sz w:val="32"/>
          <w:szCs w:val="32"/>
        </w:rPr>
        <w:t>第二节  实施</w:t>
      </w:r>
      <w:r>
        <w:rPr>
          <w:rFonts w:ascii="楷体" w:hAnsi="楷体" w:eastAsia="楷体"/>
          <w:sz w:val="32"/>
          <w:szCs w:val="32"/>
        </w:rPr>
        <w:t>程序和信息披露</w:t>
      </w:r>
    </w:p>
    <w:p>
      <w:pPr>
        <w:spacing w:line="600" w:lineRule="exact"/>
        <w:ind w:firstLine="640" w:firstLineChars="200"/>
        <w:rPr>
          <w:rFonts w:ascii="Times New Roman" w:hAnsi="Times New Roman" w:eastAsia="仿宋"/>
          <w:sz w:val="32"/>
          <w:szCs w:val="32"/>
        </w:rPr>
      </w:pPr>
      <w:r>
        <w:rPr>
          <w:rFonts w:ascii="黑体" w:hAnsi="黑体" w:eastAsia="黑体"/>
          <w:sz w:val="32"/>
          <w:szCs w:val="32"/>
        </w:rPr>
        <w:t>第二十</w:t>
      </w:r>
      <w:r>
        <w:rPr>
          <w:rFonts w:hint="eastAsia" w:ascii="黑体" w:hAnsi="黑体" w:eastAsia="黑体"/>
          <w:sz w:val="32"/>
          <w:szCs w:val="32"/>
        </w:rPr>
        <w:t>二</w:t>
      </w:r>
      <w:r>
        <w:rPr>
          <w:rFonts w:ascii="黑体" w:hAnsi="黑体" w:eastAsia="黑体"/>
          <w:sz w:val="32"/>
          <w:szCs w:val="32"/>
        </w:rPr>
        <w:t>条</w:t>
      </w:r>
      <w:r>
        <w:rPr>
          <w:rFonts w:hint="eastAsia" w:ascii="黑体" w:hAnsi="黑体" w:eastAsia="黑体"/>
          <w:sz w:val="32"/>
          <w:szCs w:val="32"/>
        </w:rPr>
        <w:t xml:space="preserve"> </w:t>
      </w:r>
      <w:r>
        <w:rPr>
          <w:rFonts w:ascii="黑体" w:hAnsi="黑体" w:eastAsia="黑体"/>
          <w:sz w:val="32"/>
          <w:szCs w:val="32"/>
        </w:rPr>
        <w:t xml:space="preserve"> </w:t>
      </w:r>
      <w:r>
        <w:rPr>
          <w:rFonts w:hint="eastAsia" w:ascii="Times New Roman" w:hAnsi="Times New Roman" w:eastAsia="仿宋"/>
          <w:sz w:val="32"/>
          <w:szCs w:val="32"/>
        </w:rPr>
        <w:t>根据相关法律法规及公司章程等享有提案权的提议人可以向上市公司董事会提议回购股份。提议人的提议应当明确具体，符合公司实际情况，具有合理性和可行性，并至少包括本指引第二十三条第二</w:t>
      </w:r>
      <w:r>
        <w:rPr>
          <w:rFonts w:hint="eastAsia" w:ascii="Times New Roman" w:hAnsi="Times New Roman" w:eastAsia="仿宋"/>
          <w:sz w:val="32"/>
          <w:szCs w:val="32"/>
          <w:lang w:eastAsia="zh-CN"/>
        </w:rPr>
        <w:t>项</w:t>
      </w:r>
      <w:r>
        <w:rPr>
          <w:rFonts w:hint="eastAsia" w:ascii="Times New Roman" w:hAnsi="Times New Roman" w:eastAsia="仿宋"/>
          <w:sz w:val="32"/>
          <w:szCs w:val="32"/>
        </w:rPr>
        <w:t>至第四项规定的内容。</w:t>
      </w:r>
    </w:p>
    <w:p>
      <w:pPr>
        <w:spacing w:line="600" w:lineRule="exact"/>
        <w:ind w:firstLine="640" w:firstLineChars="200"/>
        <w:rPr>
          <w:rFonts w:ascii="Times New Roman" w:hAnsi="Times New Roman" w:eastAsia="仿宋"/>
          <w:sz w:val="32"/>
          <w:szCs w:val="32"/>
        </w:rPr>
      </w:pPr>
      <w:r>
        <w:rPr>
          <w:rFonts w:hint="eastAsia" w:ascii="Times New Roman" w:hAnsi="Times New Roman" w:eastAsia="仿宋"/>
          <w:sz w:val="32"/>
          <w:szCs w:val="32"/>
        </w:rPr>
        <w:t>提议人拟提议公司因本指引第四条情形回购股份的，应当在相关事实发生之日起10个交易日内向上市公司董事会提出。</w:t>
      </w:r>
    </w:p>
    <w:p>
      <w:pPr>
        <w:spacing w:line="600" w:lineRule="exact"/>
        <w:ind w:firstLine="640" w:firstLineChars="200"/>
        <w:rPr>
          <w:rFonts w:ascii="Times New Roman" w:hAnsi="Times New Roman" w:eastAsia="仿宋"/>
          <w:sz w:val="32"/>
          <w:szCs w:val="32"/>
        </w:rPr>
      </w:pPr>
      <w:r>
        <w:rPr>
          <w:rFonts w:ascii="黑体" w:hAnsi="黑体" w:eastAsia="黑体"/>
          <w:sz w:val="32"/>
          <w:szCs w:val="32"/>
        </w:rPr>
        <w:t>第二十</w:t>
      </w:r>
      <w:r>
        <w:rPr>
          <w:rFonts w:hint="eastAsia" w:ascii="黑体" w:hAnsi="黑体" w:eastAsia="黑体"/>
          <w:sz w:val="32"/>
          <w:szCs w:val="32"/>
        </w:rPr>
        <w:t>三</w:t>
      </w:r>
      <w:r>
        <w:rPr>
          <w:rFonts w:ascii="黑体" w:hAnsi="黑体" w:eastAsia="黑体"/>
          <w:sz w:val="32"/>
          <w:szCs w:val="32"/>
        </w:rPr>
        <w:t>条</w:t>
      </w:r>
      <w:r>
        <w:rPr>
          <w:rFonts w:hint="eastAsia" w:ascii="黑体" w:hAnsi="黑体" w:eastAsia="黑体"/>
          <w:sz w:val="32"/>
          <w:szCs w:val="32"/>
        </w:rPr>
        <w:t xml:space="preserve"> </w:t>
      </w:r>
      <w:r>
        <w:rPr>
          <w:rFonts w:ascii="黑体" w:hAnsi="黑体" w:eastAsia="黑体"/>
          <w:sz w:val="32"/>
          <w:szCs w:val="32"/>
        </w:rPr>
        <w:t xml:space="preserve"> </w:t>
      </w:r>
      <w:r>
        <w:rPr>
          <w:rFonts w:hint="eastAsia" w:ascii="Times New Roman" w:hAnsi="Times New Roman" w:eastAsia="仿宋"/>
          <w:sz w:val="32"/>
          <w:szCs w:val="32"/>
        </w:rPr>
        <w:t>上市公司收到符合规定的回购股份提议后，应当尽快召开董事会审议，并将回购股份提议与董事会决议同时公告。公告的内容应当包括：</w:t>
      </w:r>
    </w:p>
    <w:p>
      <w:pPr>
        <w:spacing w:line="600" w:lineRule="exact"/>
        <w:ind w:firstLine="640" w:firstLineChars="200"/>
        <w:rPr>
          <w:rFonts w:ascii="Times New Roman" w:hAnsi="Times New Roman" w:eastAsia="仿宋"/>
          <w:sz w:val="32"/>
          <w:szCs w:val="32"/>
        </w:rPr>
      </w:pPr>
      <w:r>
        <w:rPr>
          <w:rFonts w:hint="eastAsia" w:ascii="Times New Roman" w:hAnsi="Times New Roman" w:eastAsia="仿宋"/>
          <w:sz w:val="32"/>
          <w:szCs w:val="32"/>
        </w:rPr>
        <w:t>（一）提议人基本情况及提议时间；</w:t>
      </w:r>
    </w:p>
    <w:p>
      <w:pPr>
        <w:spacing w:line="600" w:lineRule="exact"/>
        <w:ind w:firstLine="640" w:firstLineChars="200"/>
        <w:rPr>
          <w:rFonts w:ascii="Times New Roman" w:hAnsi="Times New Roman" w:eastAsia="仿宋"/>
          <w:sz w:val="32"/>
          <w:szCs w:val="32"/>
        </w:rPr>
      </w:pPr>
      <w:r>
        <w:rPr>
          <w:rFonts w:hint="eastAsia" w:ascii="Times New Roman" w:hAnsi="Times New Roman" w:eastAsia="仿宋"/>
          <w:sz w:val="32"/>
          <w:szCs w:val="32"/>
        </w:rPr>
        <w:t>（二）提议人提议回购股份的原因和目的；</w:t>
      </w:r>
    </w:p>
    <w:p>
      <w:pPr>
        <w:spacing w:line="600" w:lineRule="exact"/>
        <w:ind w:firstLine="640" w:firstLineChars="200"/>
        <w:rPr>
          <w:rFonts w:ascii="Times New Roman" w:hAnsi="Times New Roman" w:eastAsia="仿宋"/>
          <w:sz w:val="32"/>
          <w:szCs w:val="32"/>
        </w:rPr>
      </w:pPr>
      <w:r>
        <w:rPr>
          <w:rFonts w:hint="eastAsia" w:ascii="Times New Roman" w:hAnsi="Times New Roman" w:eastAsia="仿宋"/>
          <w:sz w:val="32"/>
          <w:szCs w:val="32"/>
        </w:rPr>
        <w:t>（三）提议人提议回购股份的种类、用途、方式、价格区间、数量、占公司总股本的比例及拟用于回购的资金总额；回购股份数量、资金总额至少有一项明确上下限，且下限不得低于上限的50%；</w:t>
      </w:r>
    </w:p>
    <w:p>
      <w:pPr>
        <w:spacing w:line="600" w:lineRule="exact"/>
        <w:ind w:firstLine="640" w:firstLineChars="200"/>
        <w:rPr>
          <w:rFonts w:ascii="Times New Roman" w:hAnsi="Times New Roman" w:eastAsia="仿宋"/>
          <w:sz w:val="32"/>
          <w:szCs w:val="32"/>
        </w:rPr>
      </w:pPr>
      <w:r>
        <w:rPr>
          <w:rFonts w:hint="eastAsia" w:ascii="Times New Roman" w:hAnsi="Times New Roman" w:eastAsia="仿宋"/>
          <w:sz w:val="32"/>
          <w:szCs w:val="32"/>
        </w:rPr>
        <w:t>（四）提议人在提前6个月内买卖本公司股份的情况，以及提议人在回购期间的增减持计划；</w:t>
      </w:r>
    </w:p>
    <w:p>
      <w:pPr>
        <w:spacing w:line="600" w:lineRule="exact"/>
        <w:ind w:firstLine="640" w:firstLineChars="200"/>
        <w:rPr>
          <w:rFonts w:ascii="Times New Roman" w:hAnsi="Times New Roman" w:eastAsia="仿宋"/>
          <w:sz w:val="32"/>
          <w:szCs w:val="32"/>
        </w:rPr>
      </w:pPr>
      <w:r>
        <w:rPr>
          <w:rFonts w:hint="eastAsia" w:ascii="Times New Roman" w:hAnsi="Times New Roman" w:eastAsia="仿宋"/>
          <w:sz w:val="32"/>
          <w:szCs w:val="32"/>
        </w:rPr>
        <w:t>（五）提议人将推动公司尽快召开董事会或者股东会审议回购股份事项，并对公司回购股份议案投赞成票的承诺（如适用）；</w:t>
      </w:r>
    </w:p>
    <w:p>
      <w:pPr>
        <w:spacing w:line="600" w:lineRule="exact"/>
        <w:ind w:firstLine="640" w:firstLineChars="200"/>
        <w:rPr>
          <w:rFonts w:ascii="Times New Roman" w:hAnsi="Times New Roman" w:eastAsia="仿宋"/>
          <w:sz w:val="32"/>
          <w:szCs w:val="32"/>
        </w:rPr>
      </w:pPr>
      <w:r>
        <w:rPr>
          <w:rFonts w:hint="eastAsia" w:ascii="Times New Roman" w:hAnsi="Times New Roman" w:eastAsia="仿宋"/>
          <w:sz w:val="32"/>
          <w:szCs w:val="32"/>
        </w:rPr>
        <w:t>（六）公司董事会对回购股份提议的意见及后续安排；</w:t>
      </w:r>
    </w:p>
    <w:p>
      <w:pPr>
        <w:spacing w:line="600" w:lineRule="exact"/>
        <w:ind w:firstLine="640" w:firstLineChars="200"/>
        <w:rPr>
          <w:rFonts w:ascii="Times New Roman" w:hAnsi="Times New Roman" w:eastAsia="仿宋"/>
          <w:sz w:val="32"/>
          <w:szCs w:val="32"/>
        </w:rPr>
      </w:pPr>
      <w:r>
        <w:rPr>
          <w:rFonts w:hint="eastAsia" w:ascii="Times New Roman" w:hAnsi="Times New Roman" w:eastAsia="仿宋"/>
          <w:sz w:val="32"/>
          <w:szCs w:val="32"/>
        </w:rPr>
        <w:t>（七）中国证监会和本所认为需要披露的其他内容。</w:t>
      </w:r>
    </w:p>
    <w:p>
      <w:pPr>
        <w:spacing w:line="600" w:lineRule="exact"/>
        <w:ind w:firstLine="640" w:firstLineChars="200"/>
        <w:rPr>
          <w:rFonts w:ascii="Times New Roman" w:hAnsi="Times New Roman" w:eastAsia="仿宋"/>
          <w:sz w:val="32"/>
          <w:szCs w:val="32"/>
        </w:rPr>
      </w:pPr>
      <w:r>
        <w:rPr>
          <w:rFonts w:ascii="黑体" w:hAnsi="黑体" w:eastAsia="黑体"/>
          <w:sz w:val="32"/>
          <w:szCs w:val="32"/>
        </w:rPr>
        <w:t>第二十</w:t>
      </w:r>
      <w:r>
        <w:rPr>
          <w:rFonts w:hint="eastAsia" w:ascii="黑体" w:hAnsi="黑体" w:eastAsia="黑体"/>
          <w:sz w:val="32"/>
          <w:szCs w:val="32"/>
        </w:rPr>
        <w:t>四</w:t>
      </w:r>
      <w:r>
        <w:rPr>
          <w:rFonts w:ascii="黑体" w:hAnsi="黑体" w:eastAsia="黑体"/>
          <w:sz w:val="32"/>
          <w:szCs w:val="32"/>
        </w:rPr>
        <w:t>条</w:t>
      </w:r>
      <w:r>
        <w:rPr>
          <w:rFonts w:hint="eastAsia" w:ascii="黑体" w:hAnsi="黑体" w:eastAsia="黑体"/>
          <w:sz w:val="32"/>
          <w:szCs w:val="32"/>
        </w:rPr>
        <w:t xml:space="preserve"> </w:t>
      </w:r>
      <w:r>
        <w:rPr>
          <w:rFonts w:ascii="黑体" w:hAnsi="黑体" w:eastAsia="黑体"/>
          <w:sz w:val="32"/>
          <w:szCs w:val="32"/>
        </w:rPr>
        <w:t xml:space="preserve"> </w:t>
      </w:r>
      <w:r>
        <w:rPr>
          <w:rFonts w:ascii="Times New Roman" w:hAnsi="Times New Roman" w:eastAsia="仿宋"/>
          <w:sz w:val="32"/>
          <w:szCs w:val="32"/>
        </w:rPr>
        <w:t>上市公司董事会在审议通过回购股份决议后，应当及时披露董事会决议和回购股份方案。</w:t>
      </w:r>
      <w:r>
        <w:rPr>
          <w:rFonts w:hint="eastAsia" w:ascii="Times New Roman" w:hAnsi="Times New Roman" w:eastAsia="仿宋"/>
          <w:sz w:val="32"/>
          <w:szCs w:val="32"/>
        </w:rPr>
        <w:t>回购方案须经股东会决议的，上市公司应当及时发布召开股东会的通知，并在股东会审议回购方案时对披露事项进行逐项表决。</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上市公司因</w:t>
      </w:r>
      <w:r>
        <w:rPr>
          <w:rFonts w:hint="eastAsia" w:ascii="Times New Roman" w:hAnsi="Times New Roman" w:eastAsia="仿宋"/>
          <w:sz w:val="32"/>
          <w:szCs w:val="32"/>
        </w:rPr>
        <w:t>维护公司价值及股东权益所必需而回购的，应当在本指引第四条规定的相关事实发生之日起10个交易日内或者收到该情形回购股份提议之日起10个交易日内，召开董事会审议回购股份方案。</w:t>
      </w:r>
    </w:p>
    <w:p>
      <w:pPr>
        <w:spacing w:line="600" w:lineRule="exact"/>
        <w:ind w:firstLine="640" w:firstLineChars="200"/>
        <w:rPr>
          <w:rFonts w:ascii="Times New Roman" w:hAnsi="Times New Roman" w:eastAsia="仿宋"/>
          <w:sz w:val="32"/>
          <w:szCs w:val="32"/>
        </w:rPr>
      </w:pPr>
      <w:r>
        <w:rPr>
          <w:rFonts w:ascii="黑体" w:hAnsi="黑体" w:eastAsia="黑体"/>
          <w:sz w:val="32"/>
          <w:szCs w:val="32"/>
        </w:rPr>
        <w:t>第二十五条</w:t>
      </w:r>
      <w:r>
        <w:rPr>
          <w:rFonts w:hint="eastAsia" w:ascii="Times New Roman" w:hAnsi="Times New Roman" w:eastAsia="仿宋"/>
          <w:sz w:val="32"/>
          <w:szCs w:val="32"/>
        </w:rPr>
        <w:t xml:space="preserve">  上市公司</w:t>
      </w:r>
      <w:r>
        <w:rPr>
          <w:rFonts w:ascii="Times New Roman" w:hAnsi="Times New Roman" w:eastAsia="仿宋"/>
          <w:sz w:val="32"/>
          <w:szCs w:val="32"/>
        </w:rPr>
        <w:t>回购股份用于股权激励或者员工持股计划，</w:t>
      </w:r>
      <w:r>
        <w:rPr>
          <w:rFonts w:hint="eastAsia" w:ascii="Times New Roman" w:hAnsi="Times New Roman" w:eastAsia="仿宋"/>
          <w:sz w:val="32"/>
          <w:szCs w:val="32"/>
        </w:rPr>
        <w:t>用于转换上市公司发行的可转换为股票的公司债券</w:t>
      </w:r>
      <w:r>
        <w:rPr>
          <w:rFonts w:ascii="Times New Roman" w:hAnsi="Times New Roman" w:eastAsia="仿宋"/>
          <w:sz w:val="32"/>
          <w:szCs w:val="32"/>
        </w:rPr>
        <w:t>，或</w:t>
      </w:r>
      <w:r>
        <w:rPr>
          <w:rFonts w:hint="eastAsia" w:ascii="Times New Roman" w:hAnsi="Times New Roman" w:eastAsia="仿宋"/>
          <w:sz w:val="32"/>
          <w:szCs w:val="32"/>
        </w:rPr>
        <w:t>因维护公司价值及股东权益所必需而回购的，可以依照公司章程的规定或者股东会的授权，</w:t>
      </w:r>
      <w:r>
        <w:rPr>
          <w:rFonts w:ascii="Times New Roman" w:hAnsi="Times New Roman" w:eastAsia="仿宋"/>
          <w:sz w:val="32"/>
          <w:szCs w:val="32"/>
        </w:rPr>
        <w:t>回购股份方案经三分之二以上董事出席的董事会决议通过后无须再提交股东会审议。</w:t>
      </w:r>
      <w:r>
        <w:rPr>
          <w:rFonts w:hint="eastAsia" w:ascii="Times New Roman" w:hAnsi="Times New Roman" w:eastAsia="仿宋"/>
          <w:sz w:val="32"/>
          <w:szCs w:val="32"/>
        </w:rPr>
        <w:t>上市公司股东会对董事会作出授权的，应当在提交股东会审议的授权议案及股东会决议中明确授权的具体情形和授权期限等内容。</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回购股份以减少注册资本等情形的，回购股份方案应当提交股东会审议，并经出席会议的股东所持表决权的三分之二以上通过。</w:t>
      </w:r>
    </w:p>
    <w:p>
      <w:pPr>
        <w:spacing w:line="600" w:lineRule="exact"/>
        <w:ind w:firstLine="640" w:firstLineChars="200"/>
        <w:rPr>
          <w:rFonts w:ascii="Times New Roman" w:hAnsi="Times New Roman" w:eastAsia="仿宋"/>
          <w:sz w:val="32"/>
          <w:szCs w:val="32"/>
        </w:rPr>
      </w:pPr>
      <w:r>
        <w:rPr>
          <w:rFonts w:ascii="黑体" w:hAnsi="黑体" w:eastAsia="黑体"/>
          <w:sz w:val="32"/>
          <w:szCs w:val="32"/>
        </w:rPr>
        <w:t>第二十</w:t>
      </w:r>
      <w:r>
        <w:rPr>
          <w:rFonts w:hint="eastAsia" w:ascii="黑体" w:hAnsi="黑体" w:eastAsia="黑体"/>
          <w:sz w:val="32"/>
          <w:szCs w:val="32"/>
        </w:rPr>
        <w:t>六</w:t>
      </w:r>
      <w:r>
        <w:rPr>
          <w:rFonts w:ascii="黑体" w:hAnsi="黑体" w:eastAsia="黑体"/>
          <w:sz w:val="32"/>
          <w:szCs w:val="32"/>
        </w:rPr>
        <w:t>条</w:t>
      </w:r>
      <w:r>
        <w:rPr>
          <w:rFonts w:hint="eastAsia" w:ascii="黑体" w:hAnsi="黑体" w:eastAsia="黑体"/>
          <w:sz w:val="32"/>
          <w:szCs w:val="32"/>
        </w:rPr>
        <w:t xml:space="preserve"> </w:t>
      </w:r>
      <w:r>
        <w:rPr>
          <w:rFonts w:ascii="黑体" w:hAnsi="黑体" w:eastAsia="黑体"/>
          <w:sz w:val="32"/>
          <w:szCs w:val="32"/>
        </w:rPr>
        <w:t xml:space="preserve"> </w:t>
      </w:r>
      <w:r>
        <w:rPr>
          <w:rFonts w:ascii="Times New Roman" w:hAnsi="Times New Roman" w:eastAsia="仿宋"/>
          <w:sz w:val="32"/>
          <w:szCs w:val="32"/>
        </w:rPr>
        <w:t>回购股份方案应当包括以下内容：</w:t>
      </w:r>
    </w:p>
    <w:p>
      <w:pPr>
        <w:spacing w:line="600" w:lineRule="exact"/>
        <w:ind w:firstLine="636"/>
        <w:rPr>
          <w:rFonts w:ascii="Times New Roman" w:hAnsi="Times New Roman" w:eastAsia="仿宋"/>
          <w:sz w:val="32"/>
          <w:szCs w:val="32"/>
        </w:rPr>
      </w:pPr>
      <w:r>
        <w:rPr>
          <w:rFonts w:ascii="Times New Roman" w:hAnsi="Times New Roman" w:eastAsia="仿宋"/>
          <w:sz w:val="32"/>
          <w:szCs w:val="32"/>
        </w:rPr>
        <w:t>（一）回购股份的目的；</w:t>
      </w:r>
    </w:p>
    <w:p>
      <w:pPr>
        <w:spacing w:line="600" w:lineRule="exact"/>
        <w:ind w:firstLine="636"/>
        <w:rPr>
          <w:rFonts w:ascii="Times New Roman" w:hAnsi="Times New Roman" w:eastAsia="仿宋"/>
          <w:sz w:val="32"/>
          <w:szCs w:val="32"/>
        </w:rPr>
      </w:pPr>
      <w:r>
        <w:rPr>
          <w:rFonts w:ascii="Times New Roman" w:hAnsi="Times New Roman" w:eastAsia="仿宋"/>
          <w:sz w:val="32"/>
          <w:szCs w:val="32"/>
        </w:rPr>
        <w:t>（二）回购股份的方式；</w:t>
      </w:r>
    </w:p>
    <w:p>
      <w:pPr>
        <w:spacing w:line="600" w:lineRule="exact"/>
        <w:ind w:firstLine="636"/>
        <w:rPr>
          <w:rFonts w:ascii="Times New Roman" w:hAnsi="Times New Roman" w:eastAsia="仿宋"/>
          <w:sz w:val="32"/>
          <w:szCs w:val="32"/>
        </w:rPr>
      </w:pPr>
      <w:r>
        <w:rPr>
          <w:rFonts w:ascii="Times New Roman" w:hAnsi="Times New Roman" w:eastAsia="仿宋"/>
          <w:sz w:val="32"/>
          <w:szCs w:val="32"/>
        </w:rPr>
        <w:t>（三）回购股份的价格或价格区间、定价原则及合理性；</w:t>
      </w:r>
    </w:p>
    <w:p>
      <w:pPr>
        <w:spacing w:line="600" w:lineRule="exact"/>
        <w:ind w:firstLine="636"/>
        <w:rPr>
          <w:rFonts w:ascii="Times New Roman" w:hAnsi="Times New Roman" w:eastAsia="仿宋"/>
          <w:sz w:val="32"/>
          <w:szCs w:val="32"/>
        </w:rPr>
      </w:pPr>
      <w:r>
        <w:rPr>
          <w:rFonts w:ascii="Times New Roman" w:hAnsi="Times New Roman" w:eastAsia="仿宋"/>
          <w:sz w:val="32"/>
          <w:szCs w:val="32"/>
        </w:rPr>
        <w:t>（四）拟回购股份的数量及占总股本的比例</w:t>
      </w:r>
      <w:r>
        <w:rPr>
          <w:rFonts w:hint="eastAsia" w:ascii="Times New Roman" w:hAnsi="Times New Roman" w:eastAsia="仿宋"/>
          <w:sz w:val="32"/>
          <w:szCs w:val="32"/>
        </w:rPr>
        <w:t>，</w:t>
      </w:r>
      <w:r>
        <w:rPr>
          <w:rFonts w:ascii="Times New Roman" w:hAnsi="Times New Roman" w:eastAsia="仿宋"/>
          <w:sz w:val="32"/>
          <w:szCs w:val="32"/>
        </w:rPr>
        <w:t>上市公司回购股份拟用于多种用途的，应当分别载明不同用途所对应的拟回购股份数量、比例及资金金额；</w:t>
      </w:r>
    </w:p>
    <w:p>
      <w:pPr>
        <w:spacing w:line="600" w:lineRule="exact"/>
        <w:ind w:firstLine="636"/>
        <w:rPr>
          <w:rFonts w:ascii="Times New Roman" w:hAnsi="Times New Roman" w:eastAsia="仿宋"/>
          <w:sz w:val="32"/>
          <w:szCs w:val="32"/>
        </w:rPr>
      </w:pPr>
      <w:r>
        <w:rPr>
          <w:rFonts w:ascii="Times New Roman" w:hAnsi="Times New Roman" w:eastAsia="仿宋"/>
          <w:sz w:val="32"/>
          <w:szCs w:val="32"/>
        </w:rPr>
        <w:t>（五）拟用于回购的资金总额及资金来源；</w:t>
      </w:r>
    </w:p>
    <w:p>
      <w:pPr>
        <w:spacing w:line="600" w:lineRule="exact"/>
        <w:ind w:firstLine="636"/>
        <w:rPr>
          <w:rFonts w:ascii="Times New Roman" w:hAnsi="Times New Roman" w:eastAsia="仿宋"/>
          <w:sz w:val="32"/>
          <w:szCs w:val="32"/>
        </w:rPr>
      </w:pPr>
      <w:r>
        <w:rPr>
          <w:rFonts w:ascii="Times New Roman" w:hAnsi="Times New Roman" w:eastAsia="仿宋"/>
          <w:sz w:val="32"/>
          <w:szCs w:val="32"/>
        </w:rPr>
        <w:t>（六）回购股份的实施期限；</w:t>
      </w:r>
    </w:p>
    <w:p>
      <w:pPr>
        <w:spacing w:line="600" w:lineRule="exact"/>
        <w:ind w:firstLine="636"/>
        <w:rPr>
          <w:rFonts w:ascii="Times New Roman" w:hAnsi="Times New Roman" w:eastAsia="仿宋"/>
          <w:sz w:val="32"/>
          <w:szCs w:val="32"/>
        </w:rPr>
      </w:pPr>
      <w:r>
        <w:rPr>
          <w:rFonts w:ascii="Times New Roman" w:hAnsi="Times New Roman" w:eastAsia="仿宋"/>
          <w:sz w:val="32"/>
          <w:szCs w:val="32"/>
        </w:rPr>
        <w:t>（七）预计回购后公司股本及股权结构的变动情况；</w:t>
      </w:r>
    </w:p>
    <w:p>
      <w:pPr>
        <w:spacing w:line="600" w:lineRule="exact"/>
        <w:ind w:firstLine="636"/>
        <w:rPr>
          <w:rFonts w:ascii="Times New Roman" w:hAnsi="Times New Roman" w:eastAsia="仿宋"/>
          <w:sz w:val="32"/>
          <w:szCs w:val="32"/>
        </w:rPr>
      </w:pPr>
      <w:r>
        <w:rPr>
          <w:rFonts w:ascii="Times New Roman" w:hAnsi="Times New Roman" w:eastAsia="仿宋"/>
          <w:sz w:val="32"/>
          <w:szCs w:val="32"/>
        </w:rPr>
        <w:t>（八）管理层关于本次回购股份对公司财务状况、债务履行能力、持续经营能力</w:t>
      </w:r>
      <w:r>
        <w:rPr>
          <w:rFonts w:hint="eastAsia" w:ascii="Times New Roman" w:hAnsi="Times New Roman" w:eastAsia="仿宋"/>
          <w:sz w:val="32"/>
          <w:szCs w:val="32"/>
        </w:rPr>
        <w:t>及维持上市地位等可能产生</w:t>
      </w:r>
      <w:r>
        <w:rPr>
          <w:rFonts w:ascii="Times New Roman" w:hAnsi="Times New Roman" w:eastAsia="仿宋"/>
          <w:sz w:val="32"/>
          <w:szCs w:val="32"/>
        </w:rPr>
        <w:t>的影响分析；</w:t>
      </w:r>
    </w:p>
    <w:p>
      <w:pPr>
        <w:spacing w:line="600" w:lineRule="exact"/>
        <w:ind w:firstLine="636"/>
        <w:rPr>
          <w:rFonts w:ascii="Times New Roman" w:hAnsi="Times New Roman" w:eastAsia="仿宋"/>
          <w:sz w:val="32"/>
          <w:szCs w:val="32"/>
        </w:rPr>
      </w:pPr>
      <w:r>
        <w:rPr>
          <w:rFonts w:hint="eastAsia" w:ascii="Times New Roman" w:hAnsi="Times New Roman" w:eastAsia="仿宋"/>
          <w:sz w:val="32"/>
          <w:szCs w:val="32"/>
        </w:rPr>
        <w:t>（九）上市公司董事</w:t>
      </w:r>
      <w:r>
        <w:rPr>
          <w:rFonts w:hint="eastAsia" w:ascii="Times New Roman" w:hAnsi="Times New Roman" w:eastAsia="仿宋"/>
          <w:sz w:val="32"/>
          <w:szCs w:val="32"/>
          <w:lang w:eastAsia="zh-CN"/>
        </w:rPr>
        <w:t>、高级管理人员</w:t>
      </w:r>
      <w:r>
        <w:rPr>
          <w:rFonts w:hint="eastAsia" w:ascii="Times New Roman" w:hAnsi="Times New Roman" w:eastAsia="仿宋"/>
          <w:sz w:val="32"/>
          <w:szCs w:val="32"/>
        </w:rPr>
        <w:t>、控股股东、实际控制人在董事会作出回购股份决议前6个月是否存在买卖上市公司股票的行为，是否存在单独或者与他人联合进行内幕交易及市场操纵的说明；</w:t>
      </w:r>
    </w:p>
    <w:p>
      <w:pPr>
        <w:spacing w:line="600" w:lineRule="exact"/>
        <w:ind w:firstLine="636"/>
        <w:rPr>
          <w:rFonts w:ascii="Times New Roman" w:hAnsi="Times New Roman" w:eastAsia="仿宋"/>
          <w:sz w:val="32"/>
          <w:szCs w:val="32"/>
        </w:rPr>
      </w:pPr>
      <w:r>
        <w:rPr>
          <w:rFonts w:hint="eastAsia" w:ascii="Times New Roman" w:hAnsi="Times New Roman" w:eastAsia="仿宋"/>
          <w:sz w:val="32"/>
          <w:szCs w:val="32"/>
        </w:rPr>
        <w:t>（十）本次回购股份方案的提议人、提议时间、提议理由、提议人在提议前6个月内买卖本公司股份的情况，是否存在单独或者与他人联合进行内幕交易及操纵市场行为的说明（如适用）；</w:t>
      </w:r>
    </w:p>
    <w:p>
      <w:pPr>
        <w:spacing w:line="600" w:lineRule="exact"/>
        <w:ind w:firstLine="636"/>
        <w:rPr>
          <w:rFonts w:ascii="Times New Roman" w:hAnsi="Times New Roman" w:eastAsia="仿宋"/>
          <w:sz w:val="32"/>
          <w:szCs w:val="32"/>
        </w:rPr>
      </w:pPr>
      <w:r>
        <w:rPr>
          <w:rFonts w:ascii="Times New Roman" w:hAnsi="Times New Roman" w:eastAsia="仿宋"/>
          <w:sz w:val="32"/>
          <w:szCs w:val="32"/>
        </w:rPr>
        <w:t>（</w:t>
      </w:r>
      <w:r>
        <w:rPr>
          <w:rFonts w:hint="eastAsia" w:ascii="Times New Roman" w:hAnsi="Times New Roman" w:eastAsia="仿宋"/>
          <w:sz w:val="32"/>
          <w:szCs w:val="32"/>
        </w:rPr>
        <w:t>十一</w:t>
      </w:r>
      <w:r>
        <w:rPr>
          <w:rFonts w:ascii="Times New Roman" w:hAnsi="Times New Roman" w:eastAsia="仿宋"/>
          <w:sz w:val="32"/>
          <w:szCs w:val="32"/>
        </w:rPr>
        <w:t>）回购股份的后续处理；</w:t>
      </w:r>
    </w:p>
    <w:p>
      <w:pPr>
        <w:spacing w:line="600" w:lineRule="exact"/>
        <w:ind w:firstLine="636"/>
        <w:rPr>
          <w:rFonts w:ascii="Times New Roman" w:hAnsi="Times New Roman" w:eastAsia="仿宋"/>
          <w:sz w:val="32"/>
          <w:szCs w:val="32"/>
        </w:rPr>
      </w:pPr>
      <w:r>
        <w:rPr>
          <w:rFonts w:ascii="Times New Roman" w:hAnsi="Times New Roman" w:eastAsia="仿宋"/>
          <w:sz w:val="32"/>
          <w:szCs w:val="32"/>
        </w:rPr>
        <w:t>（十</w:t>
      </w:r>
      <w:r>
        <w:rPr>
          <w:rFonts w:hint="eastAsia" w:ascii="Times New Roman" w:hAnsi="Times New Roman" w:eastAsia="仿宋"/>
          <w:sz w:val="32"/>
          <w:szCs w:val="32"/>
        </w:rPr>
        <w:t>二</w:t>
      </w:r>
      <w:r>
        <w:rPr>
          <w:rFonts w:ascii="Times New Roman" w:hAnsi="Times New Roman" w:eastAsia="仿宋"/>
          <w:sz w:val="32"/>
          <w:szCs w:val="32"/>
        </w:rPr>
        <w:t>）防范侵害债权人利益的相关安排；</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（十</w:t>
      </w:r>
      <w:r>
        <w:rPr>
          <w:rFonts w:hint="eastAsia" w:ascii="Times New Roman" w:hAnsi="Times New Roman" w:eastAsia="仿宋"/>
          <w:sz w:val="32"/>
          <w:szCs w:val="32"/>
        </w:rPr>
        <w:t>三</w:t>
      </w:r>
      <w:r>
        <w:rPr>
          <w:rFonts w:ascii="Times New Roman" w:hAnsi="Times New Roman" w:eastAsia="仿宋"/>
          <w:sz w:val="32"/>
          <w:szCs w:val="32"/>
        </w:rPr>
        <w:t>）公司最近12个月是否存在受到中国证监会及其派出机构行政处罚或刑事处罚情形的说明；若存在，说明是否影响公司的债务履行能力和持续经营能力；</w:t>
      </w:r>
    </w:p>
    <w:p>
      <w:pPr>
        <w:spacing w:line="600" w:lineRule="exact"/>
        <w:ind w:firstLine="636"/>
        <w:rPr>
          <w:rFonts w:ascii="Times New Roman" w:hAnsi="Times New Roman" w:eastAsia="仿宋"/>
          <w:sz w:val="32"/>
          <w:szCs w:val="32"/>
        </w:rPr>
      </w:pPr>
      <w:r>
        <w:rPr>
          <w:rFonts w:ascii="Times New Roman" w:hAnsi="Times New Roman" w:eastAsia="仿宋"/>
          <w:sz w:val="32"/>
          <w:szCs w:val="32"/>
        </w:rPr>
        <w:t>（十</w:t>
      </w:r>
      <w:r>
        <w:rPr>
          <w:rFonts w:hint="eastAsia" w:ascii="Times New Roman" w:hAnsi="Times New Roman" w:eastAsia="仿宋"/>
          <w:sz w:val="32"/>
          <w:szCs w:val="32"/>
        </w:rPr>
        <w:t>四</w:t>
      </w:r>
      <w:r>
        <w:rPr>
          <w:rFonts w:ascii="Times New Roman" w:hAnsi="Times New Roman" w:eastAsia="仿宋"/>
          <w:sz w:val="32"/>
          <w:szCs w:val="32"/>
        </w:rPr>
        <w:t xml:space="preserve">）公司控股股东、实际控制人最近12个月内是否存在因交易违规受到本所限制证券账户交易的自律监管措施或纪律处分，因内幕交易或操纵市场受到中国证监会及其派出机构行政处罚或刑事处罚情形的说明； </w:t>
      </w:r>
    </w:p>
    <w:p>
      <w:pPr>
        <w:spacing w:line="600" w:lineRule="exact"/>
        <w:ind w:firstLine="636"/>
        <w:rPr>
          <w:rFonts w:ascii="Times New Roman" w:hAnsi="Times New Roman" w:eastAsia="仿宋"/>
          <w:sz w:val="32"/>
          <w:szCs w:val="32"/>
        </w:rPr>
      </w:pPr>
      <w:r>
        <w:rPr>
          <w:rFonts w:ascii="Times New Roman" w:hAnsi="Times New Roman" w:eastAsia="仿宋"/>
          <w:sz w:val="32"/>
          <w:szCs w:val="32"/>
        </w:rPr>
        <w:t>（十</w:t>
      </w:r>
      <w:r>
        <w:rPr>
          <w:rFonts w:hint="eastAsia" w:ascii="Times New Roman" w:hAnsi="Times New Roman" w:eastAsia="仿宋"/>
          <w:sz w:val="32"/>
          <w:szCs w:val="32"/>
        </w:rPr>
        <w:t>五</w:t>
      </w:r>
      <w:r>
        <w:rPr>
          <w:rFonts w:ascii="Times New Roman" w:hAnsi="Times New Roman" w:eastAsia="仿宋"/>
          <w:sz w:val="32"/>
          <w:szCs w:val="32"/>
        </w:rPr>
        <w:t>）上市</w:t>
      </w:r>
      <w:r>
        <w:rPr>
          <w:rFonts w:hint="eastAsia" w:ascii="Times New Roman" w:hAnsi="Times New Roman" w:eastAsia="仿宋"/>
          <w:sz w:val="32"/>
          <w:szCs w:val="32"/>
        </w:rPr>
        <w:t>公司应当披露向</w:t>
      </w:r>
      <w:r>
        <w:rPr>
          <w:rFonts w:ascii="Times New Roman" w:hAnsi="Times New Roman" w:eastAsia="仿宋"/>
          <w:sz w:val="32"/>
          <w:szCs w:val="32"/>
        </w:rPr>
        <w:t>董事</w:t>
      </w:r>
      <w:r>
        <w:rPr>
          <w:rFonts w:hint="eastAsia" w:ascii="Times New Roman" w:hAnsi="Times New Roman" w:eastAsia="仿宋"/>
          <w:sz w:val="32"/>
          <w:szCs w:val="32"/>
          <w:lang w:eastAsia="zh-CN"/>
        </w:rPr>
        <w:t>、高级管理人员</w:t>
      </w:r>
      <w:r>
        <w:rPr>
          <w:rFonts w:hint="eastAsia" w:ascii="Times New Roman" w:hAnsi="Times New Roman" w:eastAsia="仿宋"/>
          <w:sz w:val="32"/>
          <w:szCs w:val="32"/>
        </w:rPr>
        <w:t>、持股5</w:t>
      </w:r>
      <w:r>
        <w:rPr>
          <w:rFonts w:ascii="Times New Roman" w:hAnsi="Times New Roman" w:eastAsia="仿宋"/>
          <w:sz w:val="32"/>
          <w:szCs w:val="32"/>
        </w:rPr>
        <w:t>%以上的股东、</w:t>
      </w:r>
      <w:r>
        <w:rPr>
          <w:rFonts w:hint="eastAsia" w:ascii="Times New Roman" w:hAnsi="Times New Roman" w:eastAsia="仿宋"/>
          <w:sz w:val="32"/>
          <w:szCs w:val="32"/>
        </w:rPr>
        <w:t>控股股东、实际控制人、回购股份提议人问询其回购期间减持计划的具体情况，包括拟卖出股份的数量和减持原因等，并披露相关股东的回复。相关股东未回复的，公司应当在公告中提示可能存在的减持风险；</w:t>
      </w:r>
    </w:p>
    <w:p>
      <w:pPr>
        <w:spacing w:line="600" w:lineRule="exact"/>
        <w:ind w:firstLine="636"/>
        <w:rPr>
          <w:rFonts w:ascii="Times New Roman" w:hAnsi="Times New Roman" w:eastAsia="仿宋"/>
          <w:sz w:val="32"/>
          <w:szCs w:val="32"/>
        </w:rPr>
      </w:pPr>
      <w:r>
        <w:rPr>
          <w:rFonts w:ascii="Times New Roman" w:hAnsi="Times New Roman" w:eastAsia="仿宋"/>
          <w:sz w:val="32"/>
          <w:szCs w:val="32"/>
        </w:rPr>
        <w:t>（十</w:t>
      </w:r>
      <w:r>
        <w:rPr>
          <w:rFonts w:hint="eastAsia" w:ascii="Times New Roman" w:hAnsi="Times New Roman" w:eastAsia="仿宋"/>
          <w:sz w:val="32"/>
          <w:szCs w:val="32"/>
        </w:rPr>
        <w:t>六</w:t>
      </w:r>
      <w:r>
        <w:rPr>
          <w:rFonts w:ascii="Times New Roman" w:hAnsi="Times New Roman" w:eastAsia="仿宋"/>
          <w:sz w:val="32"/>
          <w:szCs w:val="32"/>
        </w:rPr>
        <w:t>）股东会对董事会办理本次回购股份事宜的具体授权（如有）；</w:t>
      </w:r>
    </w:p>
    <w:p>
      <w:pPr>
        <w:spacing w:line="600" w:lineRule="exact"/>
        <w:ind w:firstLine="636"/>
        <w:rPr>
          <w:rFonts w:ascii="Times New Roman" w:hAnsi="Times New Roman" w:eastAsia="仿宋"/>
          <w:sz w:val="32"/>
          <w:szCs w:val="32"/>
        </w:rPr>
      </w:pPr>
      <w:r>
        <w:rPr>
          <w:rFonts w:ascii="Times New Roman" w:hAnsi="Times New Roman" w:eastAsia="仿宋"/>
          <w:sz w:val="32"/>
          <w:szCs w:val="32"/>
        </w:rPr>
        <w:t>（十</w:t>
      </w:r>
      <w:r>
        <w:rPr>
          <w:rFonts w:hint="eastAsia" w:ascii="Times New Roman" w:hAnsi="Times New Roman" w:eastAsia="仿宋"/>
          <w:sz w:val="32"/>
          <w:szCs w:val="32"/>
        </w:rPr>
        <w:t>七</w:t>
      </w:r>
      <w:r>
        <w:rPr>
          <w:rFonts w:ascii="Times New Roman" w:hAnsi="Times New Roman" w:eastAsia="仿宋"/>
          <w:sz w:val="32"/>
          <w:szCs w:val="32"/>
        </w:rPr>
        <w:t>）中国证监会和本所要求披露的其他内容。</w:t>
      </w:r>
    </w:p>
    <w:p>
      <w:pPr>
        <w:spacing w:line="600" w:lineRule="exact"/>
        <w:ind w:firstLine="636"/>
        <w:rPr>
          <w:rFonts w:ascii="Times New Roman" w:hAnsi="Times New Roman" w:eastAsia="仿宋"/>
          <w:sz w:val="32"/>
          <w:szCs w:val="32"/>
        </w:rPr>
      </w:pPr>
      <w:r>
        <w:rPr>
          <w:rFonts w:ascii="Times New Roman" w:hAnsi="Times New Roman" w:eastAsia="仿宋"/>
          <w:sz w:val="32"/>
          <w:szCs w:val="32"/>
        </w:rPr>
        <w:t>存在</w:t>
      </w:r>
      <w:r>
        <w:rPr>
          <w:rFonts w:hint="eastAsia" w:ascii="Times New Roman" w:hAnsi="Times New Roman" w:eastAsia="仿宋"/>
          <w:sz w:val="32"/>
          <w:szCs w:val="32"/>
        </w:rPr>
        <w:t>前</w:t>
      </w:r>
      <w:r>
        <w:rPr>
          <w:rFonts w:ascii="Times New Roman" w:hAnsi="Times New Roman" w:eastAsia="仿宋"/>
          <w:sz w:val="32"/>
          <w:szCs w:val="32"/>
        </w:rPr>
        <w:t>款第十</w:t>
      </w:r>
      <w:r>
        <w:rPr>
          <w:rFonts w:hint="eastAsia" w:ascii="Times New Roman" w:hAnsi="Times New Roman" w:eastAsia="仿宋"/>
          <w:sz w:val="32"/>
          <w:szCs w:val="32"/>
        </w:rPr>
        <w:t>四</w:t>
      </w:r>
      <w:r>
        <w:rPr>
          <w:rFonts w:ascii="Times New Roman" w:hAnsi="Times New Roman" w:eastAsia="仿宋"/>
          <w:sz w:val="32"/>
          <w:szCs w:val="32"/>
        </w:rPr>
        <w:t>项情形的，公司控股股东、实际控制人应当出具不利用上市公司回购股份从事内幕交易、操纵市场和利益输送等违法违规活动的公开承诺，并与回购股份方案同时披露。</w:t>
      </w:r>
    </w:p>
    <w:p>
      <w:pPr>
        <w:spacing w:line="600" w:lineRule="exact"/>
        <w:ind w:firstLine="636"/>
        <w:rPr>
          <w:rFonts w:ascii="Times New Roman" w:hAnsi="Times New Roman" w:eastAsia="仿宋"/>
          <w:sz w:val="32"/>
          <w:szCs w:val="32"/>
        </w:rPr>
      </w:pPr>
      <w:r>
        <w:rPr>
          <w:rFonts w:ascii="Times New Roman" w:hAnsi="Times New Roman" w:eastAsia="仿宋"/>
          <w:sz w:val="32"/>
          <w:szCs w:val="32"/>
        </w:rPr>
        <w:t>上市公司</w:t>
      </w:r>
      <w:r>
        <w:rPr>
          <w:rFonts w:hint="eastAsia" w:ascii="Times New Roman" w:hAnsi="Times New Roman" w:eastAsia="仿宋"/>
          <w:sz w:val="32"/>
          <w:szCs w:val="32"/>
        </w:rPr>
        <w:t>因维护公司价值及股东权益所必需回购股份，拟用于减少注册资本或者出售的，应当在回购方案中明确披露拟用于减少注册资本或者出售的回购股份数量或者资金总额。回购方案中未明确披露用于出售的，已回购股份不得出售。</w:t>
      </w:r>
    </w:p>
    <w:p>
      <w:pPr>
        <w:spacing w:line="600" w:lineRule="exact"/>
        <w:ind w:firstLine="636"/>
        <w:rPr>
          <w:rFonts w:ascii="Times New Roman" w:hAnsi="Times New Roman" w:eastAsia="仿宋"/>
          <w:sz w:val="32"/>
          <w:szCs w:val="32"/>
        </w:rPr>
      </w:pPr>
      <w:r>
        <w:rPr>
          <w:rFonts w:ascii="黑体" w:hAnsi="黑体" w:eastAsia="黑体"/>
          <w:sz w:val="32"/>
          <w:szCs w:val="32"/>
        </w:rPr>
        <w:t>第二十</w:t>
      </w:r>
      <w:r>
        <w:rPr>
          <w:rFonts w:hint="eastAsia" w:ascii="黑体" w:hAnsi="黑体" w:eastAsia="黑体"/>
          <w:sz w:val="32"/>
          <w:szCs w:val="32"/>
        </w:rPr>
        <w:t>七</w:t>
      </w:r>
      <w:r>
        <w:rPr>
          <w:rFonts w:ascii="黑体" w:hAnsi="黑体" w:eastAsia="黑体"/>
          <w:sz w:val="32"/>
          <w:szCs w:val="32"/>
        </w:rPr>
        <w:t>条</w:t>
      </w:r>
      <w:r>
        <w:rPr>
          <w:rFonts w:hint="eastAsia" w:ascii="黑体" w:hAnsi="黑体" w:eastAsia="黑体"/>
          <w:sz w:val="32"/>
          <w:szCs w:val="32"/>
        </w:rPr>
        <w:t xml:space="preserve"> </w:t>
      </w:r>
      <w:r>
        <w:rPr>
          <w:rFonts w:ascii="黑体" w:hAnsi="黑体" w:eastAsia="黑体"/>
          <w:sz w:val="32"/>
          <w:szCs w:val="32"/>
        </w:rPr>
        <w:t xml:space="preserve"> </w:t>
      </w:r>
      <w:r>
        <w:rPr>
          <w:rFonts w:hint="eastAsia" w:ascii="Times New Roman" w:hAnsi="Times New Roman" w:eastAsia="仿宋"/>
          <w:sz w:val="32"/>
          <w:szCs w:val="32"/>
        </w:rPr>
        <w:t>上市公司应当在披露回购股份方案后5个交易日内，披露董事会公告回购股份决议的前1个交易日登记在册的前10大股东和前10大无限售条件股东的名称及持股数量、比例。</w:t>
      </w:r>
    </w:p>
    <w:p>
      <w:pPr>
        <w:spacing w:line="600" w:lineRule="exact"/>
        <w:ind w:firstLine="636"/>
        <w:rPr>
          <w:rFonts w:ascii="Times New Roman" w:hAnsi="Times New Roman" w:eastAsia="仿宋"/>
          <w:sz w:val="32"/>
          <w:szCs w:val="32"/>
        </w:rPr>
      </w:pPr>
      <w:r>
        <w:rPr>
          <w:rFonts w:hint="eastAsia" w:ascii="Times New Roman" w:hAnsi="Times New Roman" w:eastAsia="仿宋"/>
          <w:sz w:val="32"/>
          <w:szCs w:val="32"/>
        </w:rPr>
        <w:t>回购方案</w:t>
      </w:r>
      <w:r>
        <w:rPr>
          <w:rFonts w:hint="eastAsia" w:ascii="Times New Roman" w:hAnsi="Times New Roman" w:eastAsia="仿宋"/>
          <w:sz w:val="32"/>
          <w:szCs w:val="32"/>
          <w:lang w:eastAsia="zh-CN"/>
        </w:rPr>
        <w:t>须</w:t>
      </w:r>
      <w:r>
        <w:rPr>
          <w:rFonts w:hint="eastAsia" w:ascii="Times New Roman" w:hAnsi="Times New Roman" w:eastAsia="仿宋"/>
          <w:sz w:val="32"/>
          <w:szCs w:val="32"/>
        </w:rPr>
        <w:t>经股东会决议的，上市公司应当在按前款要求披露后，于股东会召开前3个交易日，披露股东会的股权登记日登记在册的前10大股东和前10大无限售条件股东的名称及持股数量、比例。</w:t>
      </w:r>
    </w:p>
    <w:p>
      <w:pPr>
        <w:spacing w:line="600" w:lineRule="exact"/>
        <w:ind w:firstLine="636"/>
        <w:rPr>
          <w:rFonts w:ascii="Times New Roman" w:hAnsi="Times New Roman" w:eastAsia="仿宋"/>
          <w:sz w:val="32"/>
          <w:szCs w:val="32"/>
        </w:rPr>
      </w:pPr>
      <w:r>
        <w:rPr>
          <w:rFonts w:ascii="黑体" w:hAnsi="黑体" w:eastAsia="黑体"/>
          <w:sz w:val="32"/>
          <w:szCs w:val="32"/>
        </w:rPr>
        <w:t>第二十</w:t>
      </w:r>
      <w:r>
        <w:rPr>
          <w:rFonts w:hint="eastAsia" w:ascii="黑体" w:hAnsi="黑体" w:eastAsia="黑体"/>
          <w:sz w:val="32"/>
          <w:szCs w:val="32"/>
        </w:rPr>
        <w:t>八</w:t>
      </w:r>
      <w:r>
        <w:rPr>
          <w:rFonts w:ascii="黑体" w:hAnsi="黑体" w:eastAsia="黑体"/>
          <w:sz w:val="32"/>
          <w:szCs w:val="32"/>
        </w:rPr>
        <w:t>条</w:t>
      </w:r>
      <w:r>
        <w:rPr>
          <w:rFonts w:hint="eastAsia" w:ascii="黑体" w:hAnsi="黑体" w:eastAsia="黑体"/>
          <w:sz w:val="32"/>
          <w:szCs w:val="32"/>
        </w:rPr>
        <w:t xml:space="preserve"> </w:t>
      </w:r>
      <w:r>
        <w:rPr>
          <w:rFonts w:ascii="黑体" w:hAnsi="黑体" w:eastAsia="黑体"/>
          <w:sz w:val="32"/>
          <w:szCs w:val="32"/>
        </w:rPr>
        <w:t xml:space="preserve"> </w:t>
      </w:r>
      <w:r>
        <w:rPr>
          <w:rFonts w:hint="eastAsia" w:ascii="Times New Roman" w:hAnsi="Times New Roman" w:eastAsia="仿宋"/>
          <w:sz w:val="32"/>
          <w:szCs w:val="32"/>
        </w:rPr>
        <w:t>回购股份情况复杂、涉及重大问题专业判断的，上市公司可以聘请财务顾问、律师事务所、会计师事务所等证券服务机构就相关问题出具专业意见，并与回购股份方案一并披露。</w:t>
      </w:r>
    </w:p>
    <w:p>
      <w:pPr>
        <w:spacing w:line="600" w:lineRule="exact"/>
        <w:ind w:firstLine="640" w:firstLineChars="200"/>
        <w:rPr>
          <w:rFonts w:ascii="Times New Roman" w:hAnsi="Times New Roman" w:eastAsia="仿宋"/>
          <w:sz w:val="32"/>
          <w:szCs w:val="32"/>
        </w:rPr>
      </w:pPr>
      <w:r>
        <w:rPr>
          <w:rFonts w:ascii="黑体" w:hAnsi="黑体" w:eastAsia="黑体"/>
          <w:sz w:val="32"/>
          <w:szCs w:val="32"/>
        </w:rPr>
        <w:t>第二十</w:t>
      </w:r>
      <w:r>
        <w:rPr>
          <w:rFonts w:hint="eastAsia" w:ascii="黑体" w:hAnsi="黑体" w:eastAsia="黑体"/>
          <w:sz w:val="32"/>
          <w:szCs w:val="32"/>
        </w:rPr>
        <w:t>九</w:t>
      </w:r>
      <w:r>
        <w:rPr>
          <w:rFonts w:ascii="黑体" w:hAnsi="黑体" w:eastAsia="黑体"/>
          <w:sz w:val="32"/>
          <w:szCs w:val="32"/>
        </w:rPr>
        <w:t>条</w:t>
      </w:r>
      <w:r>
        <w:rPr>
          <w:rFonts w:hint="eastAsia" w:ascii="黑体" w:hAnsi="黑体" w:eastAsia="黑体"/>
          <w:sz w:val="32"/>
          <w:szCs w:val="32"/>
        </w:rPr>
        <w:t xml:space="preserve"> </w:t>
      </w:r>
      <w:r>
        <w:rPr>
          <w:rFonts w:ascii="黑体" w:hAnsi="黑体" w:eastAsia="黑体"/>
          <w:sz w:val="32"/>
          <w:szCs w:val="32"/>
        </w:rPr>
        <w:t xml:space="preserve"> </w:t>
      </w:r>
      <w:r>
        <w:rPr>
          <w:rFonts w:ascii="Times New Roman" w:hAnsi="Times New Roman" w:eastAsia="仿宋"/>
          <w:sz w:val="32"/>
          <w:szCs w:val="32"/>
        </w:rPr>
        <w:t>存在本</w:t>
      </w:r>
      <w:r>
        <w:rPr>
          <w:rFonts w:hint="eastAsia" w:ascii="Times New Roman" w:hAnsi="Times New Roman" w:eastAsia="仿宋"/>
          <w:sz w:val="32"/>
          <w:szCs w:val="32"/>
        </w:rPr>
        <w:t>指引</w:t>
      </w:r>
      <w:r>
        <w:rPr>
          <w:rFonts w:ascii="Times New Roman" w:hAnsi="Times New Roman" w:eastAsia="仿宋"/>
          <w:sz w:val="32"/>
          <w:szCs w:val="32"/>
        </w:rPr>
        <w:t>第二十</w:t>
      </w:r>
      <w:r>
        <w:rPr>
          <w:rFonts w:hint="eastAsia" w:ascii="Times New Roman" w:hAnsi="Times New Roman" w:eastAsia="仿宋"/>
          <w:sz w:val="32"/>
          <w:szCs w:val="32"/>
        </w:rPr>
        <w:t>六</w:t>
      </w:r>
      <w:r>
        <w:rPr>
          <w:rFonts w:ascii="Times New Roman" w:hAnsi="Times New Roman" w:eastAsia="仿宋"/>
          <w:sz w:val="32"/>
          <w:szCs w:val="32"/>
        </w:rPr>
        <w:t>条第一款第十</w:t>
      </w:r>
      <w:r>
        <w:rPr>
          <w:rFonts w:hint="eastAsia" w:ascii="Times New Roman" w:hAnsi="Times New Roman" w:eastAsia="仿宋"/>
          <w:sz w:val="32"/>
          <w:szCs w:val="32"/>
        </w:rPr>
        <w:t>三</w:t>
      </w:r>
      <w:r>
        <w:rPr>
          <w:rFonts w:ascii="Times New Roman" w:hAnsi="Times New Roman" w:eastAsia="仿宋"/>
          <w:sz w:val="32"/>
          <w:szCs w:val="32"/>
        </w:rPr>
        <w:t>、十</w:t>
      </w:r>
      <w:r>
        <w:rPr>
          <w:rFonts w:hint="eastAsia" w:ascii="Times New Roman" w:hAnsi="Times New Roman" w:eastAsia="仿宋"/>
          <w:sz w:val="32"/>
          <w:szCs w:val="32"/>
        </w:rPr>
        <w:t>四</w:t>
      </w:r>
      <w:r>
        <w:rPr>
          <w:rFonts w:ascii="Times New Roman" w:hAnsi="Times New Roman" w:eastAsia="仿宋"/>
          <w:sz w:val="32"/>
          <w:szCs w:val="32"/>
        </w:rPr>
        <w:t>项情形的，上市公司还应当聘请律师事务所就相关违法违规情形是否已消除、是否影响公司的债务履行能力和持续经营能力等出具法律意见书，并与回购股份方案同时披露。</w:t>
      </w:r>
    </w:p>
    <w:p>
      <w:pPr>
        <w:spacing w:line="600" w:lineRule="exact"/>
        <w:ind w:firstLine="640" w:firstLineChars="200"/>
        <w:rPr>
          <w:rFonts w:ascii="Times New Roman" w:hAnsi="Times New Roman" w:eastAsia="仿宋"/>
          <w:sz w:val="32"/>
          <w:szCs w:val="32"/>
        </w:rPr>
      </w:pPr>
      <w:r>
        <w:rPr>
          <w:rFonts w:ascii="黑体" w:hAnsi="黑体" w:eastAsia="黑体"/>
          <w:sz w:val="32"/>
          <w:szCs w:val="32"/>
        </w:rPr>
        <w:t>第</w:t>
      </w:r>
      <w:r>
        <w:rPr>
          <w:rFonts w:hint="eastAsia" w:ascii="黑体" w:hAnsi="黑体" w:eastAsia="黑体"/>
          <w:sz w:val="32"/>
          <w:szCs w:val="32"/>
        </w:rPr>
        <w:t>三十</w:t>
      </w:r>
      <w:r>
        <w:rPr>
          <w:rFonts w:ascii="黑体" w:hAnsi="黑体" w:eastAsia="黑体"/>
          <w:sz w:val="32"/>
          <w:szCs w:val="32"/>
        </w:rPr>
        <w:t>条</w:t>
      </w:r>
      <w:r>
        <w:rPr>
          <w:rFonts w:hint="eastAsia" w:ascii="黑体" w:hAnsi="黑体" w:eastAsia="黑体"/>
          <w:sz w:val="32"/>
          <w:szCs w:val="32"/>
        </w:rPr>
        <w:t xml:space="preserve"> </w:t>
      </w:r>
      <w:r>
        <w:rPr>
          <w:rFonts w:ascii="黑体" w:hAnsi="黑体" w:eastAsia="黑体"/>
          <w:sz w:val="32"/>
          <w:szCs w:val="32"/>
        </w:rPr>
        <w:t xml:space="preserve"> </w:t>
      </w:r>
      <w:r>
        <w:rPr>
          <w:rFonts w:ascii="Times New Roman" w:hAnsi="Times New Roman" w:eastAsia="仿宋"/>
          <w:sz w:val="32"/>
          <w:szCs w:val="32"/>
        </w:rPr>
        <w:t>上市公司应当在董事会或者股东会审议通过最终回购股份方案</w:t>
      </w:r>
      <w:r>
        <w:rPr>
          <w:rFonts w:hint="eastAsia" w:ascii="Times New Roman" w:hAnsi="Times New Roman" w:eastAsia="仿宋"/>
          <w:sz w:val="32"/>
          <w:szCs w:val="32"/>
        </w:rPr>
        <w:t>、开立回购专户</w:t>
      </w:r>
      <w:r>
        <w:rPr>
          <w:rFonts w:ascii="Times New Roman" w:hAnsi="Times New Roman" w:eastAsia="仿宋"/>
          <w:sz w:val="32"/>
          <w:szCs w:val="32"/>
        </w:rPr>
        <w:t>后，按照中国证监会和本所有关规定及时披露回购报告书。</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回购报告书至少应当包括本指引第二十六条回购股份方案所列事项及其他应说明的事项。</w:t>
      </w:r>
    </w:p>
    <w:p>
      <w:pPr>
        <w:spacing w:line="600" w:lineRule="exact"/>
        <w:ind w:firstLine="636"/>
        <w:rPr>
          <w:rFonts w:ascii="Times New Roman" w:hAnsi="Times New Roman" w:eastAsia="仿宋"/>
          <w:sz w:val="32"/>
          <w:szCs w:val="32"/>
        </w:rPr>
      </w:pPr>
      <w:r>
        <w:rPr>
          <w:rFonts w:ascii="黑体" w:hAnsi="黑体" w:eastAsia="黑体"/>
          <w:sz w:val="32"/>
          <w:szCs w:val="32"/>
        </w:rPr>
        <w:t>第</w:t>
      </w:r>
      <w:r>
        <w:rPr>
          <w:rFonts w:hint="eastAsia" w:ascii="黑体" w:hAnsi="黑体" w:eastAsia="黑体"/>
          <w:sz w:val="32"/>
          <w:szCs w:val="32"/>
        </w:rPr>
        <w:t>三十一</w:t>
      </w:r>
      <w:r>
        <w:rPr>
          <w:rFonts w:ascii="黑体" w:hAnsi="黑体" w:eastAsia="黑体"/>
          <w:sz w:val="32"/>
          <w:szCs w:val="32"/>
        </w:rPr>
        <w:t>条</w:t>
      </w:r>
      <w:r>
        <w:rPr>
          <w:rFonts w:hint="eastAsia" w:ascii="黑体" w:hAnsi="黑体" w:eastAsia="黑体"/>
          <w:sz w:val="32"/>
          <w:szCs w:val="32"/>
        </w:rPr>
        <w:t xml:space="preserve"> </w:t>
      </w:r>
      <w:r>
        <w:rPr>
          <w:rFonts w:ascii="黑体" w:hAnsi="黑体" w:eastAsia="黑体"/>
          <w:sz w:val="32"/>
          <w:szCs w:val="32"/>
        </w:rPr>
        <w:t xml:space="preserve"> </w:t>
      </w:r>
      <w:r>
        <w:rPr>
          <w:rFonts w:ascii="Times New Roman" w:hAnsi="Times New Roman" w:eastAsia="仿宋"/>
          <w:sz w:val="32"/>
          <w:szCs w:val="32"/>
        </w:rPr>
        <w:t>上市公司应当在董事会审议通过回购股份决议披露之日起的</w:t>
      </w:r>
      <w:r>
        <w:rPr>
          <w:rFonts w:hint="eastAsia" w:ascii="Times New Roman" w:hAnsi="Times New Roman" w:eastAsia="仿宋"/>
          <w:sz w:val="32"/>
          <w:szCs w:val="32"/>
        </w:rPr>
        <w:t>1</w:t>
      </w:r>
      <w:r>
        <w:rPr>
          <w:rFonts w:ascii="Times New Roman" w:hAnsi="Times New Roman" w:eastAsia="仿宋"/>
          <w:sz w:val="32"/>
          <w:szCs w:val="32"/>
        </w:rPr>
        <w:t>0个交易日内，</w:t>
      </w:r>
      <w:r>
        <w:rPr>
          <w:rFonts w:hint="eastAsia" w:ascii="Times New Roman" w:hAnsi="Times New Roman" w:eastAsia="仿宋"/>
          <w:sz w:val="32"/>
          <w:szCs w:val="32"/>
        </w:rPr>
        <w:t>通过内幕信息知情人报备系统或本所规定的其他方式，</w:t>
      </w:r>
      <w:r>
        <w:rPr>
          <w:rFonts w:ascii="Times New Roman" w:hAnsi="Times New Roman" w:eastAsia="仿宋"/>
          <w:sz w:val="32"/>
          <w:szCs w:val="32"/>
        </w:rPr>
        <w:t>向本所提交下列内幕</w:t>
      </w:r>
      <w:r>
        <w:rPr>
          <w:rFonts w:hint="eastAsia" w:ascii="Times New Roman" w:hAnsi="Times New Roman" w:eastAsia="仿宋"/>
          <w:sz w:val="32"/>
          <w:szCs w:val="32"/>
          <w:lang w:eastAsia="zh-CN"/>
        </w:rPr>
        <w:t>信息</w:t>
      </w:r>
      <w:r>
        <w:rPr>
          <w:rFonts w:ascii="Times New Roman" w:hAnsi="Times New Roman" w:eastAsia="仿宋"/>
          <w:sz w:val="32"/>
          <w:szCs w:val="32"/>
        </w:rPr>
        <w:t>知情人报备文件</w:t>
      </w:r>
      <w:r>
        <w:rPr>
          <w:rFonts w:hint="eastAsia" w:ascii="Times New Roman" w:hAnsi="Times New Roman" w:eastAsia="仿宋"/>
          <w:sz w:val="32"/>
          <w:szCs w:val="32"/>
        </w:rPr>
        <w:t>（附件</w:t>
      </w:r>
      <w:r>
        <w:rPr>
          <w:rFonts w:ascii="Times New Roman" w:hAnsi="Times New Roman" w:eastAsia="仿宋"/>
          <w:sz w:val="32"/>
          <w:szCs w:val="32"/>
        </w:rPr>
        <w:t>1</w:t>
      </w:r>
      <w:r>
        <w:rPr>
          <w:rFonts w:hint="eastAsia" w:ascii="Times New Roman" w:hAnsi="Times New Roman" w:eastAsia="仿宋"/>
          <w:sz w:val="32"/>
          <w:szCs w:val="32"/>
        </w:rPr>
        <w:t>）</w:t>
      </w:r>
      <w:r>
        <w:rPr>
          <w:rFonts w:ascii="Times New Roman" w:hAnsi="Times New Roman" w:eastAsia="仿宋"/>
          <w:sz w:val="32"/>
          <w:szCs w:val="32"/>
        </w:rPr>
        <w:t>：</w:t>
      </w:r>
      <w:bookmarkStart w:id="0" w:name="_GoBack"/>
      <w:bookmarkEnd w:id="0"/>
    </w:p>
    <w:p>
      <w:pPr>
        <w:spacing w:line="600" w:lineRule="exact"/>
        <w:ind w:firstLine="636"/>
        <w:rPr>
          <w:rFonts w:ascii="Times New Roman" w:hAnsi="Times New Roman" w:eastAsia="仿宋"/>
          <w:sz w:val="32"/>
          <w:szCs w:val="32"/>
        </w:rPr>
      </w:pPr>
      <w:r>
        <w:rPr>
          <w:rFonts w:hint="eastAsia" w:ascii="Times New Roman" w:hAnsi="Times New Roman" w:eastAsia="仿宋"/>
          <w:sz w:val="32"/>
          <w:szCs w:val="32"/>
        </w:rPr>
        <w:t>（一）内幕信息知情人登记表；</w:t>
      </w:r>
    </w:p>
    <w:p>
      <w:pPr>
        <w:spacing w:line="600" w:lineRule="exact"/>
        <w:ind w:firstLine="636"/>
        <w:rPr>
          <w:rFonts w:ascii="Times New Roman" w:hAnsi="Times New Roman" w:eastAsia="仿宋"/>
          <w:sz w:val="32"/>
          <w:szCs w:val="32"/>
        </w:rPr>
      </w:pPr>
      <w:r>
        <w:rPr>
          <w:rFonts w:hint="eastAsia" w:ascii="Times New Roman" w:hAnsi="Times New Roman" w:eastAsia="仿宋"/>
          <w:sz w:val="32"/>
          <w:szCs w:val="32"/>
        </w:rPr>
        <w:t>（二）相关人员买卖上市公司股票的自查报告，自查期间为董事会决议公告披露之日的前6个月；</w:t>
      </w:r>
    </w:p>
    <w:p>
      <w:pPr>
        <w:spacing w:line="600" w:lineRule="exact"/>
        <w:ind w:firstLine="636"/>
        <w:rPr>
          <w:rFonts w:ascii="Times New Roman" w:hAnsi="Times New Roman" w:eastAsia="仿宋"/>
          <w:sz w:val="32"/>
          <w:szCs w:val="32"/>
        </w:rPr>
      </w:pPr>
      <w:r>
        <w:rPr>
          <w:rFonts w:hint="eastAsia" w:ascii="Times New Roman" w:hAnsi="Times New Roman" w:eastAsia="仿宋"/>
          <w:sz w:val="32"/>
          <w:szCs w:val="32"/>
        </w:rPr>
        <w:t>（三）进程备忘录；</w:t>
      </w:r>
    </w:p>
    <w:p>
      <w:pPr>
        <w:spacing w:line="600" w:lineRule="exact"/>
        <w:ind w:firstLine="636"/>
        <w:rPr>
          <w:rFonts w:ascii="Times New Roman" w:hAnsi="Times New Roman" w:eastAsia="仿宋"/>
          <w:sz w:val="32"/>
          <w:szCs w:val="32"/>
        </w:rPr>
      </w:pPr>
      <w:r>
        <w:rPr>
          <w:rFonts w:hint="eastAsia" w:ascii="Times New Roman" w:hAnsi="Times New Roman" w:eastAsia="仿宋"/>
          <w:sz w:val="32"/>
          <w:szCs w:val="32"/>
        </w:rPr>
        <w:t>（四）上市公司全体董事对内幕信息知情人报备文件真实性、准确性和完整性的承诺书；</w:t>
      </w:r>
    </w:p>
    <w:p>
      <w:pPr>
        <w:spacing w:line="600" w:lineRule="exact"/>
        <w:ind w:firstLine="636"/>
        <w:rPr>
          <w:rFonts w:ascii="Times New Roman" w:hAnsi="Times New Roman" w:eastAsia="仿宋"/>
          <w:sz w:val="32"/>
          <w:szCs w:val="32"/>
        </w:rPr>
      </w:pPr>
      <w:r>
        <w:rPr>
          <w:rFonts w:hint="eastAsia" w:ascii="Times New Roman" w:hAnsi="Times New Roman" w:eastAsia="仿宋"/>
          <w:sz w:val="32"/>
          <w:szCs w:val="32"/>
        </w:rPr>
        <w:t>（五）本所要求的其他文件。</w:t>
      </w:r>
    </w:p>
    <w:p>
      <w:pPr>
        <w:spacing w:line="600" w:lineRule="exact"/>
        <w:ind w:firstLine="636"/>
        <w:rPr>
          <w:rFonts w:ascii="Times New Roman" w:hAnsi="Times New Roman" w:eastAsia="仿宋"/>
          <w:sz w:val="32"/>
          <w:szCs w:val="32"/>
        </w:rPr>
      </w:pPr>
      <w:r>
        <w:rPr>
          <w:rFonts w:ascii="黑体" w:hAnsi="黑体" w:eastAsia="黑体"/>
          <w:sz w:val="32"/>
          <w:szCs w:val="32"/>
        </w:rPr>
        <w:t>第</w:t>
      </w:r>
      <w:r>
        <w:rPr>
          <w:rFonts w:hint="eastAsia" w:ascii="黑体" w:hAnsi="黑体" w:eastAsia="黑体"/>
          <w:sz w:val="32"/>
          <w:szCs w:val="32"/>
        </w:rPr>
        <w:t>三十二</w:t>
      </w:r>
      <w:r>
        <w:rPr>
          <w:rFonts w:ascii="黑体" w:hAnsi="黑体" w:eastAsia="黑体"/>
          <w:sz w:val="32"/>
          <w:szCs w:val="32"/>
        </w:rPr>
        <w:t>条</w:t>
      </w:r>
      <w:r>
        <w:rPr>
          <w:rFonts w:hint="eastAsia" w:ascii="黑体" w:hAnsi="黑体" w:eastAsia="黑体"/>
          <w:sz w:val="32"/>
          <w:szCs w:val="32"/>
        </w:rPr>
        <w:t xml:space="preserve"> </w:t>
      </w:r>
      <w:r>
        <w:rPr>
          <w:rFonts w:ascii="黑体" w:hAnsi="黑体" w:eastAsia="黑体"/>
          <w:sz w:val="32"/>
          <w:szCs w:val="32"/>
        </w:rPr>
        <w:t xml:space="preserve"> </w:t>
      </w:r>
      <w:r>
        <w:rPr>
          <w:rFonts w:hint="eastAsia" w:ascii="Times New Roman" w:hAnsi="Times New Roman" w:eastAsia="仿宋"/>
          <w:sz w:val="32"/>
          <w:szCs w:val="32"/>
        </w:rPr>
        <w:t>本所对自查期间上市公司股票交易情况进行核查，发现明显异常的，可以要求上市公司提交股票交易情况说明。</w:t>
      </w:r>
    </w:p>
    <w:p>
      <w:pPr>
        <w:spacing w:line="600" w:lineRule="exact"/>
        <w:ind w:firstLine="636"/>
        <w:rPr>
          <w:rFonts w:ascii="Times New Roman" w:hAnsi="Times New Roman" w:eastAsia="仿宋"/>
          <w:sz w:val="32"/>
          <w:szCs w:val="32"/>
        </w:rPr>
      </w:pPr>
      <w:r>
        <w:rPr>
          <w:rFonts w:hint="eastAsia" w:ascii="Times New Roman" w:hAnsi="Times New Roman" w:eastAsia="仿宋"/>
          <w:sz w:val="32"/>
          <w:szCs w:val="32"/>
        </w:rPr>
        <w:t>上市公司决定继续推进本次股份回购事项的，应采取措施消除相关事项对上市公司的影响；无法完全消除的，上市公司应当就股票交易存在明显异常，可能被中国证监会立案调查或司法机关立案侦查，而导致本次股份回购事项出现终止情形披露特别风险提示公告。上市公司</w:t>
      </w:r>
      <w:r>
        <w:rPr>
          <w:rFonts w:ascii="Times New Roman" w:hAnsi="Times New Roman" w:eastAsia="仿宋"/>
          <w:sz w:val="32"/>
          <w:szCs w:val="32"/>
        </w:rPr>
        <w:t>聘请的律师事务所</w:t>
      </w:r>
      <w:r>
        <w:rPr>
          <w:rFonts w:hint="eastAsia" w:ascii="Times New Roman" w:hAnsi="Times New Roman" w:eastAsia="仿宋"/>
          <w:sz w:val="32"/>
          <w:szCs w:val="32"/>
        </w:rPr>
        <w:t>对公司股票交易情况是否涉嫌内幕交易、是否会影响本次股份回购发表明确意见。</w:t>
      </w:r>
    </w:p>
    <w:p>
      <w:pPr>
        <w:spacing w:line="600" w:lineRule="exact"/>
        <w:ind w:firstLine="636"/>
        <w:rPr>
          <w:rFonts w:ascii="Times New Roman" w:hAnsi="Times New Roman" w:eastAsia="仿宋"/>
          <w:sz w:val="32"/>
          <w:szCs w:val="32"/>
        </w:rPr>
      </w:pPr>
      <w:r>
        <w:rPr>
          <w:rFonts w:ascii="Times New Roman" w:hAnsi="Times New Roman" w:eastAsia="仿宋"/>
          <w:sz w:val="32"/>
          <w:szCs w:val="32"/>
        </w:rPr>
        <w:t>上市公司自主决定</w:t>
      </w:r>
      <w:r>
        <w:rPr>
          <w:rFonts w:hint="eastAsia" w:ascii="Times New Roman" w:hAnsi="Times New Roman" w:eastAsia="仿宋"/>
          <w:sz w:val="32"/>
          <w:szCs w:val="32"/>
        </w:rPr>
        <w:t>终止本次股份回购事项的，</w:t>
      </w:r>
      <w:r>
        <w:rPr>
          <w:rFonts w:ascii="Times New Roman" w:hAnsi="Times New Roman" w:eastAsia="仿宋"/>
          <w:sz w:val="32"/>
          <w:szCs w:val="32"/>
        </w:rPr>
        <w:t>应当按照本指引第三十</w:t>
      </w:r>
      <w:r>
        <w:rPr>
          <w:rFonts w:hint="eastAsia" w:ascii="Times New Roman" w:hAnsi="Times New Roman" w:eastAsia="仿宋"/>
          <w:sz w:val="32"/>
          <w:szCs w:val="32"/>
        </w:rPr>
        <w:t>七</w:t>
      </w:r>
      <w:r>
        <w:rPr>
          <w:rFonts w:ascii="Times New Roman" w:hAnsi="Times New Roman" w:eastAsia="仿宋"/>
          <w:sz w:val="32"/>
          <w:szCs w:val="32"/>
        </w:rPr>
        <w:t>条要求</w:t>
      </w:r>
      <w:r>
        <w:rPr>
          <w:rFonts w:hint="eastAsia" w:ascii="Times New Roman" w:hAnsi="Times New Roman" w:eastAsia="仿宋"/>
          <w:sz w:val="32"/>
          <w:szCs w:val="32"/>
        </w:rPr>
        <w:t>履行相关程序，并及时发布终止公告披露终止原因。</w:t>
      </w:r>
    </w:p>
    <w:p>
      <w:pPr>
        <w:spacing w:line="600" w:lineRule="exact"/>
        <w:ind w:firstLine="636"/>
        <w:rPr>
          <w:rFonts w:ascii="Times New Roman" w:hAnsi="Times New Roman" w:eastAsia="仿宋"/>
          <w:sz w:val="32"/>
          <w:szCs w:val="32"/>
        </w:rPr>
      </w:pPr>
      <w:r>
        <w:rPr>
          <w:rFonts w:ascii="黑体" w:hAnsi="黑体" w:eastAsia="黑体"/>
          <w:sz w:val="32"/>
          <w:szCs w:val="32"/>
        </w:rPr>
        <w:t>第</w:t>
      </w:r>
      <w:r>
        <w:rPr>
          <w:rFonts w:hint="eastAsia" w:ascii="黑体" w:hAnsi="黑体" w:eastAsia="黑体"/>
          <w:sz w:val="32"/>
          <w:szCs w:val="32"/>
        </w:rPr>
        <w:t>三十三</w:t>
      </w:r>
      <w:r>
        <w:rPr>
          <w:rFonts w:ascii="黑体" w:hAnsi="黑体" w:eastAsia="黑体"/>
          <w:sz w:val="32"/>
          <w:szCs w:val="32"/>
        </w:rPr>
        <w:t>条</w:t>
      </w:r>
      <w:r>
        <w:rPr>
          <w:rFonts w:hint="eastAsia" w:ascii="黑体" w:hAnsi="黑体" w:eastAsia="黑体"/>
          <w:sz w:val="32"/>
          <w:szCs w:val="32"/>
        </w:rPr>
        <w:t xml:space="preserve"> </w:t>
      </w:r>
      <w:r>
        <w:rPr>
          <w:rFonts w:ascii="黑体" w:hAnsi="黑体" w:eastAsia="黑体"/>
          <w:sz w:val="32"/>
          <w:szCs w:val="32"/>
        </w:rPr>
        <w:t xml:space="preserve"> </w:t>
      </w:r>
      <w:r>
        <w:rPr>
          <w:rFonts w:ascii="Times New Roman" w:hAnsi="Times New Roman" w:eastAsia="仿宋"/>
          <w:sz w:val="32"/>
          <w:szCs w:val="32"/>
        </w:rPr>
        <w:t>回购股份以减少注册资本的，上市公司应当在股东会审议通过回购股份决议后，按照《公司法》相关规定通知债权人，并及时披露通知情况。</w:t>
      </w:r>
    </w:p>
    <w:p>
      <w:pPr>
        <w:spacing w:line="600" w:lineRule="exact"/>
        <w:ind w:firstLine="640" w:firstLineChars="200"/>
        <w:rPr>
          <w:rFonts w:ascii="Times New Roman" w:hAnsi="Times New Roman" w:eastAsia="仿宋"/>
          <w:sz w:val="32"/>
          <w:szCs w:val="32"/>
        </w:rPr>
      </w:pPr>
      <w:r>
        <w:rPr>
          <w:rFonts w:ascii="黑体" w:hAnsi="黑体" w:eastAsia="黑体"/>
          <w:sz w:val="32"/>
          <w:szCs w:val="32"/>
        </w:rPr>
        <w:t>第三十</w:t>
      </w:r>
      <w:r>
        <w:rPr>
          <w:rFonts w:hint="eastAsia" w:ascii="黑体" w:hAnsi="黑体" w:eastAsia="黑体"/>
          <w:sz w:val="32"/>
          <w:szCs w:val="32"/>
        </w:rPr>
        <w:t>四</w:t>
      </w:r>
      <w:r>
        <w:rPr>
          <w:rFonts w:ascii="黑体" w:hAnsi="黑体" w:eastAsia="黑体"/>
          <w:sz w:val="32"/>
          <w:szCs w:val="32"/>
        </w:rPr>
        <w:t>条</w:t>
      </w:r>
      <w:r>
        <w:rPr>
          <w:rFonts w:hint="eastAsia" w:ascii="黑体" w:hAnsi="黑体" w:eastAsia="黑体"/>
          <w:sz w:val="32"/>
          <w:szCs w:val="32"/>
        </w:rPr>
        <w:t xml:space="preserve"> </w:t>
      </w:r>
      <w:r>
        <w:rPr>
          <w:rFonts w:ascii="黑体" w:hAnsi="黑体" w:eastAsia="黑体"/>
          <w:sz w:val="32"/>
          <w:szCs w:val="32"/>
        </w:rPr>
        <w:t xml:space="preserve"> </w:t>
      </w:r>
      <w:r>
        <w:rPr>
          <w:rFonts w:ascii="Times New Roman" w:hAnsi="Times New Roman" w:eastAsia="仿宋"/>
          <w:sz w:val="32"/>
          <w:szCs w:val="32"/>
        </w:rPr>
        <w:t>上市公司应当在董事会或股东会（如须）审议通过回购股份方案后，按照中国结算有关规定申请开立回购专户，并按照回购股份方案开始实施回购。</w:t>
      </w:r>
    </w:p>
    <w:p>
      <w:pPr>
        <w:spacing w:line="600" w:lineRule="exact"/>
        <w:ind w:firstLine="636"/>
        <w:rPr>
          <w:rFonts w:ascii="Times New Roman" w:hAnsi="Times New Roman" w:eastAsia="仿宋"/>
          <w:sz w:val="32"/>
          <w:szCs w:val="32"/>
        </w:rPr>
      </w:pPr>
      <w:r>
        <w:rPr>
          <w:rFonts w:ascii="黑体" w:hAnsi="黑体" w:eastAsia="黑体"/>
          <w:sz w:val="32"/>
          <w:szCs w:val="32"/>
        </w:rPr>
        <w:t>第三十</w:t>
      </w:r>
      <w:r>
        <w:rPr>
          <w:rFonts w:hint="eastAsia" w:ascii="黑体" w:hAnsi="黑体" w:eastAsia="黑体"/>
          <w:sz w:val="32"/>
          <w:szCs w:val="32"/>
        </w:rPr>
        <w:t>五</w:t>
      </w:r>
      <w:r>
        <w:rPr>
          <w:rFonts w:ascii="黑体" w:hAnsi="黑体" w:eastAsia="黑体"/>
          <w:sz w:val="32"/>
          <w:szCs w:val="32"/>
        </w:rPr>
        <w:t>条</w:t>
      </w:r>
      <w:r>
        <w:rPr>
          <w:rFonts w:hint="eastAsia" w:ascii="黑体" w:hAnsi="黑体" w:eastAsia="黑体"/>
          <w:sz w:val="32"/>
          <w:szCs w:val="32"/>
        </w:rPr>
        <w:t xml:space="preserve"> </w:t>
      </w:r>
      <w:r>
        <w:rPr>
          <w:rFonts w:ascii="黑体" w:hAnsi="黑体" w:eastAsia="黑体"/>
          <w:sz w:val="32"/>
          <w:szCs w:val="32"/>
        </w:rPr>
        <w:t xml:space="preserve"> </w:t>
      </w:r>
      <w:r>
        <w:rPr>
          <w:rFonts w:ascii="Times New Roman" w:hAnsi="Times New Roman" w:eastAsia="仿宋"/>
          <w:sz w:val="32"/>
          <w:szCs w:val="32"/>
        </w:rPr>
        <w:t>上市公司股份回购期间，应当在以下时间披露回购进展情况公告，并在各定期报告中披露回购进展情况：</w:t>
      </w:r>
    </w:p>
    <w:p>
      <w:pPr>
        <w:spacing w:line="600" w:lineRule="exact"/>
        <w:ind w:firstLine="636"/>
        <w:rPr>
          <w:rFonts w:ascii="Times New Roman" w:hAnsi="Times New Roman" w:eastAsia="仿宋"/>
          <w:sz w:val="32"/>
          <w:szCs w:val="32"/>
        </w:rPr>
      </w:pPr>
      <w:r>
        <w:rPr>
          <w:rFonts w:ascii="Times New Roman" w:hAnsi="Times New Roman" w:eastAsia="仿宋"/>
          <w:sz w:val="32"/>
          <w:szCs w:val="32"/>
        </w:rPr>
        <w:t>（一）首次回购股份事实发生后，应当在</w:t>
      </w:r>
      <w:r>
        <w:rPr>
          <w:rFonts w:hint="eastAsia" w:ascii="Times New Roman" w:hAnsi="Times New Roman" w:eastAsia="仿宋"/>
          <w:sz w:val="32"/>
          <w:szCs w:val="32"/>
        </w:rPr>
        <w:t>次1个</w:t>
      </w:r>
      <w:r>
        <w:rPr>
          <w:rFonts w:ascii="Times New Roman" w:hAnsi="Times New Roman" w:eastAsia="仿宋"/>
          <w:sz w:val="32"/>
          <w:szCs w:val="32"/>
        </w:rPr>
        <w:t>交易日内披露；</w:t>
      </w:r>
    </w:p>
    <w:p>
      <w:pPr>
        <w:spacing w:line="600" w:lineRule="exact"/>
        <w:ind w:firstLine="636"/>
        <w:rPr>
          <w:rFonts w:ascii="Times New Roman" w:hAnsi="Times New Roman" w:eastAsia="仿宋"/>
          <w:sz w:val="32"/>
          <w:szCs w:val="32"/>
        </w:rPr>
      </w:pPr>
      <w:r>
        <w:rPr>
          <w:rFonts w:ascii="Times New Roman" w:hAnsi="Times New Roman" w:eastAsia="仿宋"/>
          <w:sz w:val="32"/>
          <w:szCs w:val="32"/>
        </w:rPr>
        <w:t>（二）已回购股份占上市公司总股本的比例每增加1%的，应当在事实发生</w:t>
      </w:r>
      <w:r>
        <w:rPr>
          <w:rFonts w:hint="eastAsia" w:ascii="Times New Roman" w:hAnsi="Times New Roman" w:eastAsia="仿宋"/>
          <w:sz w:val="32"/>
          <w:szCs w:val="32"/>
        </w:rPr>
        <w:t>之日起3个交易</w:t>
      </w:r>
      <w:r>
        <w:rPr>
          <w:rFonts w:ascii="Times New Roman" w:hAnsi="Times New Roman" w:eastAsia="仿宋"/>
          <w:sz w:val="32"/>
          <w:szCs w:val="32"/>
        </w:rPr>
        <w:t>日内披露；</w:t>
      </w:r>
    </w:p>
    <w:p>
      <w:pPr>
        <w:spacing w:line="600" w:lineRule="exact"/>
        <w:ind w:firstLine="636"/>
        <w:rPr>
          <w:rFonts w:ascii="Times New Roman" w:hAnsi="Times New Roman" w:eastAsia="仿宋"/>
          <w:sz w:val="32"/>
          <w:szCs w:val="32"/>
        </w:rPr>
      </w:pPr>
      <w:r>
        <w:rPr>
          <w:rFonts w:ascii="Times New Roman" w:hAnsi="Times New Roman" w:eastAsia="仿宋"/>
          <w:sz w:val="32"/>
          <w:szCs w:val="32"/>
        </w:rPr>
        <w:t>（三）每个月的前</w:t>
      </w:r>
      <w:r>
        <w:rPr>
          <w:rFonts w:hint="eastAsia" w:ascii="Times New Roman" w:hAnsi="Times New Roman" w:eastAsia="仿宋"/>
          <w:sz w:val="32"/>
          <w:szCs w:val="32"/>
        </w:rPr>
        <w:t>3个交易</w:t>
      </w:r>
      <w:r>
        <w:rPr>
          <w:rFonts w:ascii="Times New Roman" w:hAnsi="Times New Roman" w:eastAsia="仿宋"/>
          <w:sz w:val="32"/>
          <w:szCs w:val="32"/>
        </w:rPr>
        <w:t>日内，应当披露截至上月末的回购进展情况。</w:t>
      </w:r>
    </w:p>
    <w:p>
      <w:pPr>
        <w:spacing w:line="600" w:lineRule="exact"/>
        <w:ind w:firstLine="636"/>
        <w:rPr>
          <w:rFonts w:ascii="Times New Roman" w:hAnsi="Times New Roman" w:eastAsia="仿宋"/>
          <w:sz w:val="32"/>
          <w:szCs w:val="32"/>
        </w:rPr>
      </w:pPr>
      <w:r>
        <w:rPr>
          <w:rFonts w:ascii="Times New Roman" w:hAnsi="Times New Roman" w:eastAsia="仿宋"/>
          <w:sz w:val="32"/>
          <w:szCs w:val="32"/>
        </w:rPr>
        <w:t>回购进展情况公告应当包括公告前已回购股份数量、占总股本及拟回购总数量的比例、回购的最高价和最低价、已支付的总金额等。</w:t>
      </w:r>
    </w:p>
    <w:p>
      <w:pPr>
        <w:spacing w:line="600" w:lineRule="exact"/>
        <w:ind w:firstLine="636"/>
        <w:rPr>
          <w:rFonts w:ascii="Times New Roman" w:hAnsi="Times New Roman" w:eastAsia="仿宋"/>
          <w:sz w:val="32"/>
          <w:szCs w:val="32"/>
        </w:rPr>
      </w:pPr>
      <w:r>
        <w:rPr>
          <w:rFonts w:ascii="Times New Roman" w:hAnsi="Times New Roman" w:eastAsia="仿宋"/>
          <w:sz w:val="32"/>
          <w:szCs w:val="32"/>
        </w:rPr>
        <w:t>公告期间上市公司无须停止回购行为。</w:t>
      </w:r>
    </w:p>
    <w:p>
      <w:pPr>
        <w:spacing w:line="600" w:lineRule="exact"/>
        <w:ind w:firstLine="636"/>
        <w:rPr>
          <w:rFonts w:ascii="Times New Roman" w:hAnsi="Times New Roman" w:eastAsia="仿宋"/>
          <w:sz w:val="32"/>
          <w:szCs w:val="32"/>
        </w:rPr>
      </w:pPr>
      <w:r>
        <w:rPr>
          <w:rFonts w:ascii="黑体" w:hAnsi="黑体" w:eastAsia="黑体"/>
          <w:sz w:val="32"/>
          <w:szCs w:val="32"/>
        </w:rPr>
        <w:t>第三十</w:t>
      </w:r>
      <w:r>
        <w:rPr>
          <w:rFonts w:hint="eastAsia" w:ascii="黑体" w:hAnsi="黑体" w:eastAsia="黑体"/>
          <w:sz w:val="32"/>
          <w:szCs w:val="32"/>
        </w:rPr>
        <w:t>六</w:t>
      </w:r>
      <w:r>
        <w:rPr>
          <w:rFonts w:ascii="黑体" w:hAnsi="黑体" w:eastAsia="黑体"/>
          <w:sz w:val="32"/>
          <w:szCs w:val="32"/>
        </w:rPr>
        <w:t>条</w:t>
      </w:r>
      <w:r>
        <w:rPr>
          <w:rFonts w:hint="eastAsia" w:ascii="黑体" w:hAnsi="黑体" w:eastAsia="黑体"/>
          <w:sz w:val="32"/>
          <w:szCs w:val="32"/>
        </w:rPr>
        <w:t xml:space="preserve"> </w:t>
      </w:r>
      <w:r>
        <w:rPr>
          <w:rFonts w:ascii="黑体" w:hAnsi="黑体" w:eastAsia="黑体"/>
          <w:sz w:val="32"/>
          <w:szCs w:val="32"/>
        </w:rPr>
        <w:t xml:space="preserve"> </w:t>
      </w:r>
      <w:r>
        <w:rPr>
          <w:rFonts w:ascii="Times New Roman" w:hAnsi="Times New Roman" w:eastAsia="仿宋"/>
          <w:sz w:val="32"/>
          <w:szCs w:val="32"/>
        </w:rPr>
        <w:t>上市公司在回购实施期限过半仍未实施回购的，应当及时披露未能实施回购的原因和后续回购安排，说明是否存在利用回购信息进行市场操纵或内幕交易的情形。</w:t>
      </w:r>
    </w:p>
    <w:p>
      <w:pPr>
        <w:spacing w:line="600" w:lineRule="exact"/>
        <w:ind w:firstLine="636"/>
        <w:rPr>
          <w:rFonts w:ascii="Times New Roman" w:hAnsi="Times New Roman" w:eastAsia="仿宋"/>
          <w:sz w:val="32"/>
          <w:szCs w:val="32"/>
        </w:rPr>
      </w:pPr>
      <w:r>
        <w:rPr>
          <w:rFonts w:ascii="黑体" w:hAnsi="黑体" w:eastAsia="黑体"/>
          <w:sz w:val="32"/>
          <w:szCs w:val="32"/>
        </w:rPr>
        <w:t>第三十</w:t>
      </w:r>
      <w:r>
        <w:rPr>
          <w:rFonts w:hint="eastAsia" w:ascii="黑体" w:hAnsi="黑体" w:eastAsia="黑体"/>
          <w:sz w:val="32"/>
          <w:szCs w:val="32"/>
        </w:rPr>
        <w:t>七</w:t>
      </w:r>
      <w:r>
        <w:rPr>
          <w:rFonts w:ascii="黑体" w:hAnsi="黑体" w:eastAsia="黑体"/>
          <w:sz w:val="32"/>
          <w:szCs w:val="32"/>
        </w:rPr>
        <w:t>条</w:t>
      </w:r>
      <w:r>
        <w:rPr>
          <w:rFonts w:hint="eastAsia" w:ascii="黑体" w:hAnsi="黑体" w:eastAsia="黑体"/>
          <w:sz w:val="32"/>
          <w:szCs w:val="32"/>
        </w:rPr>
        <w:t xml:space="preserve"> </w:t>
      </w:r>
      <w:r>
        <w:rPr>
          <w:rFonts w:ascii="黑体" w:hAnsi="黑体" w:eastAsia="黑体"/>
          <w:sz w:val="32"/>
          <w:szCs w:val="32"/>
        </w:rPr>
        <w:t xml:space="preserve"> </w:t>
      </w:r>
      <w:r>
        <w:rPr>
          <w:rFonts w:ascii="Times New Roman" w:hAnsi="Times New Roman" w:eastAsia="仿宋"/>
          <w:sz w:val="32"/>
          <w:szCs w:val="32"/>
        </w:rPr>
        <w:t>上市公司回购股份方案披露后，无充分正当事由不得变更或者终止。</w:t>
      </w:r>
    </w:p>
    <w:p>
      <w:pPr>
        <w:spacing w:line="600" w:lineRule="exact"/>
        <w:ind w:firstLine="636"/>
        <w:rPr>
          <w:rFonts w:ascii="Times New Roman" w:hAnsi="Times New Roman" w:eastAsia="仿宋"/>
          <w:sz w:val="32"/>
          <w:szCs w:val="32"/>
        </w:rPr>
      </w:pPr>
      <w:r>
        <w:rPr>
          <w:rFonts w:ascii="Times New Roman" w:hAnsi="Times New Roman" w:eastAsia="仿宋"/>
          <w:sz w:val="32"/>
          <w:szCs w:val="32"/>
        </w:rPr>
        <w:t>因公司生产经营、财务状况发生重大变化</w:t>
      </w:r>
      <w:r>
        <w:rPr>
          <w:rFonts w:hint="eastAsia" w:ascii="Times New Roman" w:hAnsi="Times New Roman" w:eastAsia="仿宋"/>
          <w:sz w:val="32"/>
          <w:szCs w:val="32"/>
        </w:rPr>
        <w:t>，</w:t>
      </w:r>
      <w:r>
        <w:rPr>
          <w:rFonts w:ascii="Times New Roman" w:hAnsi="Times New Roman" w:eastAsia="仿宋"/>
          <w:sz w:val="32"/>
          <w:szCs w:val="32"/>
        </w:rPr>
        <w:t>回购方案已无法履行或者履行将不利于维护上市公司权益等原因，确需变更或者终止的，应当按照公司制定本次回购股份方案的决策程序提交董事会或者股东会审议，并及时披露变更或终止回购股份方案的公告。公告内容应当包括拟变更或者终止的原因、变更的事项内容，说明变更或者终止的合理性、必要性和可行性，以及可能对公司债务履行能力、持续经营能力及股东权益等产生的影响。</w:t>
      </w:r>
    </w:p>
    <w:p>
      <w:pPr>
        <w:spacing w:line="600" w:lineRule="exact"/>
        <w:ind w:firstLine="636"/>
        <w:rPr>
          <w:rFonts w:ascii="Times New Roman" w:hAnsi="Times New Roman" w:eastAsia="仿宋"/>
          <w:sz w:val="32"/>
          <w:szCs w:val="32"/>
        </w:rPr>
      </w:pPr>
      <w:r>
        <w:rPr>
          <w:rFonts w:hint="eastAsia" w:ascii="Times New Roman" w:hAnsi="Times New Roman" w:eastAsia="仿宋"/>
          <w:sz w:val="32"/>
          <w:szCs w:val="32"/>
        </w:rPr>
        <w:t>上市公司回购股份用于注销的，不得变更为其他用途。</w:t>
      </w:r>
    </w:p>
    <w:p>
      <w:pPr>
        <w:spacing w:line="600" w:lineRule="exact"/>
        <w:ind w:firstLine="636"/>
        <w:rPr>
          <w:rFonts w:ascii="Times New Roman" w:hAnsi="Times New Roman" w:eastAsia="仿宋"/>
          <w:sz w:val="32"/>
          <w:szCs w:val="32"/>
        </w:rPr>
      </w:pPr>
      <w:r>
        <w:rPr>
          <w:rFonts w:ascii="黑体" w:hAnsi="黑体" w:eastAsia="黑体"/>
          <w:sz w:val="32"/>
          <w:szCs w:val="32"/>
        </w:rPr>
        <w:t>第三十</w:t>
      </w:r>
      <w:r>
        <w:rPr>
          <w:rFonts w:hint="eastAsia" w:ascii="黑体" w:hAnsi="黑体" w:eastAsia="黑体"/>
          <w:sz w:val="32"/>
          <w:szCs w:val="32"/>
        </w:rPr>
        <w:t>八</w:t>
      </w:r>
      <w:r>
        <w:rPr>
          <w:rFonts w:ascii="黑体" w:hAnsi="黑体" w:eastAsia="黑体"/>
          <w:sz w:val="32"/>
          <w:szCs w:val="32"/>
        </w:rPr>
        <w:t>条</w:t>
      </w:r>
      <w:r>
        <w:rPr>
          <w:rFonts w:hint="eastAsia" w:ascii="黑体" w:hAnsi="黑体" w:eastAsia="黑体"/>
          <w:sz w:val="32"/>
          <w:szCs w:val="32"/>
        </w:rPr>
        <w:t xml:space="preserve"> </w:t>
      </w:r>
      <w:r>
        <w:rPr>
          <w:rFonts w:ascii="黑体" w:hAnsi="黑体" w:eastAsia="黑体"/>
          <w:sz w:val="32"/>
          <w:szCs w:val="32"/>
        </w:rPr>
        <w:t xml:space="preserve"> </w:t>
      </w:r>
      <w:r>
        <w:rPr>
          <w:rFonts w:ascii="Times New Roman" w:hAnsi="Times New Roman" w:eastAsia="仿宋"/>
          <w:sz w:val="32"/>
          <w:szCs w:val="32"/>
        </w:rPr>
        <w:t>回购期间，上市公司实施权益分派的</w:t>
      </w:r>
      <w:r>
        <w:rPr>
          <w:rFonts w:hint="eastAsia" w:ascii="Times New Roman" w:hAnsi="Times New Roman" w:eastAsia="仿宋"/>
          <w:sz w:val="32"/>
          <w:szCs w:val="32"/>
        </w:rPr>
        <w:t>，</w:t>
      </w:r>
      <w:r>
        <w:rPr>
          <w:rFonts w:ascii="Times New Roman" w:hAnsi="Times New Roman" w:eastAsia="仿宋"/>
          <w:sz w:val="32"/>
          <w:szCs w:val="32"/>
        </w:rPr>
        <w:t>应当对回购价格上限、回购</w:t>
      </w:r>
      <w:r>
        <w:rPr>
          <w:rFonts w:hint="eastAsia" w:ascii="Times New Roman" w:hAnsi="Times New Roman" w:eastAsia="仿宋"/>
          <w:sz w:val="32"/>
          <w:szCs w:val="32"/>
        </w:rPr>
        <w:t>规模</w:t>
      </w:r>
      <w:r>
        <w:rPr>
          <w:rFonts w:ascii="Times New Roman" w:hAnsi="Times New Roman" w:eastAsia="仿宋"/>
          <w:sz w:val="32"/>
          <w:szCs w:val="32"/>
        </w:rPr>
        <w:t>等进行相应调整</w:t>
      </w:r>
      <w:r>
        <w:rPr>
          <w:rFonts w:hint="eastAsia" w:ascii="Times New Roman" w:hAnsi="Times New Roman" w:eastAsia="仿宋"/>
          <w:sz w:val="32"/>
          <w:szCs w:val="32"/>
        </w:rPr>
        <w:t>，并</w:t>
      </w:r>
      <w:r>
        <w:rPr>
          <w:rFonts w:ascii="仿宋" w:hAnsi="仿宋" w:eastAsia="仿宋"/>
          <w:color w:val="000000" w:themeColor="text1"/>
          <w:sz w:val="32"/>
          <w:szCs w:val="32"/>
          <w14:textFill>
            <w14:solidFill>
              <w14:schemeClr w14:val="tx1"/>
            </w14:solidFill>
          </w14:textFill>
        </w:rPr>
        <w:t>在权益分派实施公告</w:t>
      </w:r>
      <w:r>
        <w:rPr>
          <w:rFonts w:hint="eastAsia" w:ascii="仿宋" w:hAnsi="仿宋" w:eastAsia="仿宋"/>
          <w:color w:val="000000" w:themeColor="text1"/>
          <w:sz w:val="32"/>
          <w:szCs w:val="32"/>
          <w14:textFill>
            <w14:solidFill>
              <w14:schemeClr w14:val="tx1"/>
            </w14:solidFill>
          </w14:textFill>
        </w:rPr>
        <w:t>披露</w:t>
      </w:r>
      <w:r>
        <w:rPr>
          <w:rFonts w:ascii="仿宋" w:hAnsi="仿宋" w:eastAsia="仿宋"/>
          <w:color w:val="000000" w:themeColor="text1"/>
          <w:sz w:val="32"/>
          <w:szCs w:val="32"/>
          <w14:textFill>
            <w14:solidFill>
              <w14:schemeClr w14:val="tx1"/>
            </w14:solidFill>
          </w14:textFill>
        </w:rPr>
        <w:t>的</w:t>
      </w:r>
      <w:r>
        <w:rPr>
          <w:rFonts w:hint="eastAsia" w:ascii="仿宋" w:hAnsi="仿宋" w:eastAsia="仿宋"/>
          <w:color w:val="000000" w:themeColor="text1"/>
          <w:sz w:val="32"/>
          <w:szCs w:val="32"/>
          <w14:textFill>
            <w14:solidFill>
              <w14:schemeClr w14:val="tx1"/>
            </w14:solidFill>
          </w14:textFill>
        </w:rPr>
        <w:t>同时</w:t>
      </w:r>
      <w:r>
        <w:rPr>
          <w:rFonts w:ascii="仿宋" w:hAnsi="仿宋" w:eastAsia="仿宋"/>
          <w:color w:val="000000" w:themeColor="text1"/>
          <w:sz w:val="32"/>
          <w:szCs w:val="32"/>
          <w14:textFill>
            <w14:solidFill>
              <w14:schemeClr w14:val="tx1"/>
            </w14:solidFill>
          </w14:textFill>
        </w:rPr>
        <w:t>披露</w:t>
      </w:r>
      <w:r>
        <w:rPr>
          <w:rFonts w:hint="eastAsia" w:ascii="仿宋" w:hAnsi="仿宋" w:eastAsia="仿宋"/>
          <w:color w:val="000000" w:themeColor="text1"/>
          <w:sz w:val="32"/>
          <w:szCs w:val="32"/>
          <w14:textFill>
            <w14:solidFill>
              <w14:schemeClr w14:val="tx1"/>
            </w14:solidFill>
          </w14:textFill>
        </w:rPr>
        <w:t>因权益分派</w:t>
      </w:r>
      <w:r>
        <w:rPr>
          <w:rFonts w:ascii="仿宋" w:hAnsi="仿宋" w:eastAsia="仿宋"/>
          <w:color w:val="000000" w:themeColor="text1"/>
          <w:sz w:val="32"/>
          <w:szCs w:val="32"/>
          <w14:textFill>
            <w14:solidFill>
              <w14:schemeClr w14:val="tx1"/>
            </w14:solidFill>
          </w14:textFill>
        </w:rPr>
        <w:t>导致调整</w:t>
      </w:r>
      <w:r>
        <w:rPr>
          <w:rFonts w:hint="eastAsia" w:ascii="仿宋" w:hAnsi="仿宋" w:eastAsia="仿宋"/>
          <w:color w:val="000000" w:themeColor="text1"/>
          <w:sz w:val="32"/>
          <w:szCs w:val="32"/>
          <w14:textFill>
            <w14:solidFill>
              <w14:schemeClr w14:val="tx1"/>
            </w14:solidFill>
          </w14:textFill>
        </w:rPr>
        <w:t>回</w:t>
      </w:r>
      <w:r>
        <w:rPr>
          <w:rFonts w:ascii="仿宋" w:hAnsi="仿宋" w:eastAsia="仿宋"/>
          <w:color w:val="000000" w:themeColor="text1"/>
          <w:sz w:val="32"/>
          <w:szCs w:val="32"/>
          <w14:textFill>
            <w14:solidFill>
              <w14:schemeClr w14:val="tx1"/>
            </w14:solidFill>
          </w14:textFill>
        </w:rPr>
        <w:t>购</w:t>
      </w:r>
      <w:r>
        <w:rPr>
          <w:rFonts w:hint="eastAsia" w:ascii="仿宋" w:hAnsi="仿宋" w:eastAsia="仿宋"/>
          <w:color w:val="000000" w:themeColor="text1"/>
          <w:sz w:val="32"/>
          <w:szCs w:val="32"/>
          <w14:textFill>
            <w14:solidFill>
              <w14:schemeClr w14:val="tx1"/>
            </w14:solidFill>
          </w14:textFill>
        </w:rPr>
        <w:t>方案</w:t>
      </w:r>
      <w:r>
        <w:rPr>
          <w:rFonts w:ascii="仿宋" w:hAnsi="仿宋" w:eastAsia="仿宋"/>
          <w:color w:val="000000" w:themeColor="text1"/>
          <w:sz w:val="32"/>
          <w:szCs w:val="32"/>
          <w14:textFill>
            <w14:solidFill>
              <w14:schemeClr w14:val="tx1"/>
            </w14:solidFill>
          </w14:textFill>
        </w:rPr>
        <w:t>的</w:t>
      </w:r>
      <w:r>
        <w:rPr>
          <w:rFonts w:hint="eastAsia" w:ascii="仿宋" w:hAnsi="仿宋" w:eastAsia="仿宋"/>
          <w:color w:val="000000" w:themeColor="text1"/>
          <w:sz w:val="32"/>
          <w:szCs w:val="32"/>
          <w14:textFill>
            <w14:solidFill>
              <w14:schemeClr w14:val="tx1"/>
            </w14:solidFill>
          </w14:textFill>
        </w:rPr>
        <w:t>提示性</w:t>
      </w:r>
      <w:r>
        <w:rPr>
          <w:rFonts w:ascii="仿宋" w:hAnsi="仿宋" w:eastAsia="仿宋"/>
          <w:color w:val="000000" w:themeColor="text1"/>
          <w:sz w:val="32"/>
          <w:szCs w:val="32"/>
          <w14:textFill>
            <w14:solidFill>
              <w14:schemeClr w14:val="tx1"/>
            </w14:solidFill>
          </w14:textFill>
        </w:rPr>
        <w:t>公告，</w:t>
      </w:r>
      <w:r>
        <w:rPr>
          <w:rFonts w:hint="eastAsia" w:ascii="仿宋" w:hAnsi="仿宋" w:eastAsia="仿宋"/>
          <w:color w:val="000000" w:themeColor="text1"/>
          <w:sz w:val="32"/>
          <w:szCs w:val="32"/>
          <w14:textFill>
            <w14:solidFill>
              <w14:schemeClr w14:val="tx1"/>
            </w14:solidFill>
          </w14:textFill>
        </w:rPr>
        <w:t>说明因</w:t>
      </w:r>
      <w:r>
        <w:rPr>
          <w:rFonts w:ascii="仿宋" w:hAnsi="仿宋" w:eastAsia="仿宋"/>
          <w:color w:val="000000" w:themeColor="text1"/>
          <w:sz w:val="32"/>
          <w:szCs w:val="32"/>
          <w14:textFill>
            <w14:solidFill>
              <w14:schemeClr w14:val="tx1"/>
            </w14:solidFill>
          </w14:textFill>
        </w:rPr>
        <w:t>公司权益</w:t>
      </w:r>
      <w:r>
        <w:rPr>
          <w:rFonts w:hint="eastAsia" w:ascii="仿宋" w:hAnsi="仿宋" w:eastAsia="仿宋"/>
          <w:color w:val="000000" w:themeColor="text1"/>
          <w:sz w:val="32"/>
          <w:szCs w:val="32"/>
          <w14:textFill>
            <w14:solidFill>
              <w14:schemeClr w14:val="tx1"/>
            </w14:solidFill>
          </w14:textFill>
        </w:rPr>
        <w:t>分派对回购方案进行</w:t>
      </w:r>
      <w:r>
        <w:rPr>
          <w:rFonts w:ascii="仿宋" w:hAnsi="仿宋" w:eastAsia="仿宋"/>
          <w:color w:val="000000" w:themeColor="text1"/>
          <w:sz w:val="32"/>
          <w:szCs w:val="32"/>
          <w14:textFill>
            <w14:solidFill>
              <w14:schemeClr w14:val="tx1"/>
            </w14:solidFill>
          </w14:textFill>
        </w:rPr>
        <w:t>调整的具体安排，包括</w:t>
      </w:r>
      <w:r>
        <w:rPr>
          <w:rFonts w:hint="eastAsia" w:ascii="仿宋" w:hAnsi="仿宋" w:eastAsia="仿宋"/>
          <w:color w:val="000000" w:themeColor="text1"/>
          <w:sz w:val="32"/>
          <w:szCs w:val="32"/>
          <w14:textFill>
            <w14:solidFill>
              <w14:schemeClr w14:val="tx1"/>
            </w14:solidFill>
          </w14:textFill>
        </w:rPr>
        <w:t>调整</w:t>
      </w:r>
      <w:r>
        <w:rPr>
          <w:rFonts w:ascii="仿宋" w:hAnsi="仿宋" w:eastAsia="仿宋"/>
          <w:color w:val="000000" w:themeColor="text1"/>
          <w:sz w:val="32"/>
          <w:szCs w:val="32"/>
          <w14:textFill>
            <w14:solidFill>
              <w14:schemeClr w14:val="tx1"/>
            </w14:solidFill>
          </w14:textFill>
        </w:rPr>
        <w:t>后的价格上限、</w:t>
      </w:r>
      <w:r>
        <w:rPr>
          <w:rFonts w:hint="eastAsia" w:ascii="仿宋" w:hAnsi="仿宋" w:eastAsia="仿宋"/>
          <w:color w:val="000000" w:themeColor="text1"/>
          <w:sz w:val="32"/>
          <w:szCs w:val="32"/>
          <w14:textFill>
            <w14:solidFill>
              <w14:schemeClr w14:val="tx1"/>
            </w14:solidFill>
          </w14:textFill>
        </w:rPr>
        <w:t>回购规模</w:t>
      </w:r>
      <w:r>
        <w:rPr>
          <w:rFonts w:ascii="仿宋" w:hAnsi="仿宋" w:eastAsia="仿宋"/>
          <w:color w:val="000000" w:themeColor="text1"/>
          <w:sz w:val="32"/>
          <w:szCs w:val="32"/>
          <w14:textFill>
            <w14:solidFill>
              <w14:schemeClr w14:val="tx1"/>
            </w14:solidFill>
          </w14:textFill>
        </w:rPr>
        <w:t>等。</w:t>
      </w:r>
    </w:p>
    <w:p>
      <w:pPr>
        <w:spacing w:line="600" w:lineRule="exact"/>
        <w:ind w:firstLine="636"/>
        <w:rPr>
          <w:rFonts w:ascii="Times New Roman" w:hAnsi="Times New Roman" w:eastAsia="仿宋"/>
          <w:sz w:val="32"/>
          <w:szCs w:val="32"/>
        </w:rPr>
      </w:pPr>
      <w:r>
        <w:rPr>
          <w:rFonts w:ascii="黑体" w:hAnsi="黑体" w:eastAsia="黑体"/>
          <w:sz w:val="32"/>
          <w:szCs w:val="32"/>
        </w:rPr>
        <w:t>第三十</w:t>
      </w:r>
      <w:r>
        <w:rPr>
          <w:rFonts w:hint="eastAsia" w:ascii="黑体" w:hAnsi="黑体" w:eastAsia="黑体"/>
          <w:sz w:val="32"/>
          <w:szCs w:val="32"/>
        </w:rPr>
        <w:t>九</w:t>
      </w:r>
      <w:r>
        <w:rPr>
          <w:rFonts w:ascii="黑体" w:hAnsi="黑体" w:eastAsia="黑体"/>
          <w:sz w:val="32"/>
          <w:szCs w:val="32"/>
        </w:rPr>
        <w:t>条</w:t>
      </w:r>
      <w:r>
        <w:rPr>
          <w:rFonts w:hint="eastAsia" w:ascii="黑体" w:hAnsi="黑体" w:eastAsia="黑体"/>
          <w:sz w:val="32"/>
          <w:szCs w:val="32"/>
        </w:rPr>
        <w:t xml:space="preserve"> </w:t>
      </w:r>
      <w:r>
        <w:rPr>
          <w:rFonts w:ascii="黑体" w:hAnsi="黑体" w:eastAsia="黑体"/>
          <w:sz w:val="32"/>
          <w:szCs w:val="32"/>
        </w:rPr>
        <w:t xml:space="preserve"> </w:t>
      </w:r>
      <w:r>
        <w:rPr>
          <w:rFonts w:ascii="Times New Roman" w:hAnsi="Times New Roman" w:eastAsia="仿宋"/>
          <w:sz w:val="32"/>
          <w:szCs w:val="32"/>
        </w:rPr>
        <w:t>回购实施期限届满或者回购方案已实施完毕的，上市公司应当停止回购行为，及时披露回购结果公告。</w:t>
      </w:r>
    </w:p>
    <w:p>
      <w:pPr>
        <w:spacing w:line="600" w:lineRule="exact"/>
        <w:ind w:firstLine="636"/>
        <w:rPr>
          <w:rFonts w:ascii="Times New Roman" w:hAnsi="Times New Roman" w:eastAsia="仿宋"/>
          <w:sz w:val="32"/>
          <w:szCs w:val="32"/>
        </w:rPr>
      </w:pPr>
      <w:r>
        <w:rPr>
          <w:rFonts w:ascii="Times New Roman" w:hAnsi="Times New Roman" w:eastAsia="仿宋"/>
          <w:sz w:val="32"/>
          <w:szCs w:val="32"/>
        </w:rPr>
        <w:t>回购结果公告应当包括以下内容：</w:t>
      </w:r>
    </w:p>
    <w:p>
      <w:pPr>
        <w:spacing w:line="600" w:lineRule="exact"/>
        <w:ind w:firstLine="636"/>
        <w:rPr>
          <w:rFonts w:ascii="Times New Roman" w:hAnsi="Times New Roman" w:eastAsia="仿宋"/>
          <w:sz w:val="32"/>
          <w:szCs w:val="32"/>
        </w:rPr>
      </w:pPr>
      <w:r>
        <w:rPr>
          <w:rFonts w:ascii="Times New Roman" w:hAnsi="Times New Roman" w:eastAsia="仿宋"/>
          <w:sz w:val="32"/>
          <w:szCs w:val="32"/>
        </w:rPr>
        <w:t>（一）回购实施情况，包括实际回购股份的价格、数量、比例、使用资金总额，并与回购股份方案相应内容进行对照，存在差异的，应当作出解释；</w:t>
      </w:r>
    </w:p>
    <w:p>
      <w:pPr>
        <w:spacing w:line="600" w:lineRule="exact"/>
        <w:ind w:firstLine="636"/>
        <w:rPr>
          <w:rFonts w:ascii="Times New Roman" w:hAnsi="Times New Roman" w:eastAsia="仿宋"/>
          <w:sz w:val="32"/>
          <w:szCs w:val="32"/>
        </w:rPr>
      </w:pPr>
      <w:r>
        <w:rPr>
          <w:rFonts w:ascii="Times New Roman" w:hAnsi="Times New Roman" w:eastAsia="仿宋"/>
          <w:sz w:val="32"/>
          <w:szCs w:val="32"/>
        </w:rPr>
        <w:t>（二）说明本次回购股份对公司的影响；</w:t>
      </w:r>
    </w:p>
    <w:p>
      <w:pPr>
        <w:spacing w:line="600" w:lineRule="exact"/>
        <w:ind w:firstLine="636"/>
        <w:rPr>
          <w:rFonts w:ascii="Times New Roman" w:hAnsi="Times New Roman" w:eastAsia="仿宋"/>
          <w:sz w:val="32"/>
          <w:szCs w:val="32"/>
        </w:rPr>
      </w:pPr>
      <w:r>
        <w:rPr>
          <w:rFonts w:ascii="Times New Roman" w:hAnsi="Times New Roman" w:eastAsia="仿宋"/>
          <w:sz w:val="32"/>
          <w:szCs w:val="32"/>
        </w:rPr>
        <w:t>（三）董事</w:t>
      </w:r>
      <w:r>
        <w:rPr>
          <w:rFonts w:hint="eastAsia" w:ascii="Times New Roman" w:hAnsi="Times New Roman" w:eastAsia="仿宋"/>
          <w:sz w:val="32"/>
          <w:szCs w:val="32"/>
          <w:lang w:eastAsia="zh-CN"/>
        </w:rPr>
        <w:t>、高级管理人员</w:t>
      </w:r>
      <w:r>
        <w:rPr>
          <w:rFonts w:ascii="Times New Roman" w:hAnsi="Times New Roman" w:eastAsia="仿宋"/>
          <w:sz w:val="32"/>
          <w:szCs w:val="32"/>
        </w:rPr>
        <w:t>、</w:t>
      </w:r>
      <w:r>
        <w:rPr>
          <w:rFonts w:hint="eastAsia" w:ascii="Times New Roman" w:hAnsi="Times New Roman" w:eastAsia="仿宋"/>
          <w:sz w:val="32"/>
          <w:szCs w:val="32"/>
        </w:rPr>
        <w:t>持股5</w:t>
      </w:r>
      <w:r>
        <w:rPr>
          <w:rFonts w:ascii="Times New Roman" w:hAnsi="Times New Roman" w:eastAsia="仿宋"/>
          <w:sz w:val="32"/>
          <w:szCs w:val="32"/>
        </w:rPr>
        <w:t>%以上的股东、控股股东、实际控制人</w:t>
      </w:r>
      <w:r>
        <w:rPr>
          <w:rFonts w:hint="eastAsia" w:ascii="Times New Roman" w:hAnsi="Times New Roman" w:eastAsia="仿宋"/>
          <w:sz w:val="32"/>
          <w:szCs w:val="32"/>
        </w:rPr>
        <w:t>、回购股份提议人在首次披露回购股份事项之日至披露回购股份结果公告前1日买卖本公司</w:t>
      </w:r>
      <w:r>
        <w:rPr>
          <w:rFonts w:ascii="Times New Roman" w:hAnsi="Times New Roman" w:eastAsia="仿宋"/>
          <w:sz w:val="32"/>
          <w:szCs w:val="32"/>
        </w:rPr>
        <w:t>股票的情况及理由。</w:t>
      </w:r>
    </w:p>
    <w:p>
      <w:pPr>
        <w:spacing w:line="600" w:lineRule="exact"/>
        <w:ind w:firstLine="636"/>
        <w:rPr>
          <w:rFonts w:ascii="Times New Roman" w:hAnsi="Times New Roman" w:eastAsia="仿宋"/>
          <w:sz w:val="32"/>
          <w:szCs w:val="32"/>
        </w:rPr>
      </w:pPr>
      <w:r>
        <w:rPr>
          <w:rFonts w:ascii="黑体" w:hAnsi="黑体" w:eastAsia="黑体"/>
          <w:sz w:val="32"/>
          <w:szCs w:val="32"/>
        </w:rPr>
        <w:t>第</w:t>
      </w:r>
      <w:r>
        <w:rPr>
          <w:rFonts w:hint="eastAsia" w:ascii="黑体" w:hAnsi="黑体" w:eastAsia="黑体"/>
          <w:sz w:val="32"/>
          <w:szCs w:val="32"/>
        </w:rPr>
        <w:t>四十</w:t>
      </w:r>
      <w:r>
        <w:rPr>
          <w:rFonts w:ascii="黑体" w:hAnsi="黑体" w:eastAsia="黑体"/>
          <w:sz w:val="32"/>
          <w:szCs w:val="32"/>
        </w:rPr>
        <w:t>条</w:t>
      </w:r>
      <w:r>
        <w:rPr>
          <w:rFonts w:hint="eastAsia" w:ascii="黑体" w:hAnsi="黑体" w:eastAsia="黑体"/>
          <w:sz w:val="32"/>
          <w:szCs w:val="32"/>
        </w:rPr>
        <w:t xml:space="preserve"> </w:t>
      </w:r>
      <w:r>
        <w:rPr>
          <w:rFonts w:ascii="黑体" w:hAnsi="黑体" w:eastAsia="黑体"/>
          <w:sz w:val="32"/>
          <w:szCs w:val="32"/>
        </w:rPr>
        <w:t xml:space="preserve"> </w:t>
      </w:r>
      <w:r>
        <w:rPr>
          <w:rFonts w:ascii="Times New Roman" w:hAnsi="Times New Roman" w:eastAsia="仿宋"/>
          <w:sz w:val="32"/>
          <w:szCs w:val="32"/>
        </w:rPr>
        <w:t>回购实施期限届满，上市公司未实施回购</w:t>
      </w:r>
      <w:r>
        <w:rPr>
          <w:rFonts w:hint="eastAsia" w:ascii="Times New Roman" w:hAnsi="Times New Roman" w:eastAsia="仿宋"/>
          <w:sz w:val="32"/>
          <w:szCs w:val="32"/>
        </w:rPr>
        <w:t>或</w:t>
      </w:r>
      <w:r>
        <w:rPr>
          <w:rFonts w:ascii="Times New Roman" w:hAnsi="Times New Roman" w:eastAsia="仿宋"/>
          <w:sz w:val="32"/>
          <w:szCs w:val="32"/>
        </w:rPr>
        <w:t>回购规模未达</w:t>
      </w:r>
      <w:r>
        <w:rPr>
          <w:rFonts w:hint="eastAsia" w:ascii="Times New Roman" w:hAnsi="Times New Roman" w:eastAsia="仿宋"/>
          <w:sz w:val="32"/>
          <w:szCs w:val="32"/>
        </w:rPr>
        <w:t>下限</w:t>
      </w:r>
      <w:r>
        <w:rPr>
          <w:rFonts w:ascii="Times New Roman" w:hAnsi="Times New Roman" w:eastAsia="仿宋"/>
          <w:sz w:val="32"/>
          <w:szCs w:val="32"/>
        </w:rPr>
        <w:t>的，应当及时披露，说明未实施回购</w:t>
      </w:r>
      <w:r>
        <w:rPr>
          <w:rFonts w:hint="eastAsia" w:ascii="Times New Roman" w:hAnsi="Times New Roman" w:eastAsia="仿宋"/>
          <w:sz w:val="32"/>
          <w:szCs w:val="32"/>
        </w:rPr>
        <w:t>或回购</w:t>
      </w:r>
      <w:r>
        <w:rPr>
          <w:rFonts w:ascii="Times New Roman" w:hAnsi="Times New Roman" w:eastAsia="仿宋"/>
          <w:sz w:val="32"/>
          <w:szCs w:val="32"/>
        </w:rPr>
        <w:t>规模未达下限的原因、公司为实施回购所做的准备工作情况，以及是否存在虚假信息披露、利用回购信息进行市场操纵或内幕交易的情形</w:t>
      </w:r>
      <w:r>
        <w:rPr>
          <w:rFonts w:hint="eastAsia" w:ascii="Times New Roman" w:hAnsi="Times New Roman" w:eastAsia="仿宋"/>
          <w:sz w:val="32"/>
          <w:szCs w:val="32"/>
        </w:rPr>
        <w:t>。</w:t>
      </w:r>
    </w:p>
    <w:p>
      <w:pPr>
        <w:spacing w:line="600" w:lineRule="exact"/>
        <w:ind w:firstLine="640" w:firstLineChars="200"/>
        <w:rPr>
          <w:rFonts w:ascii="Times New Roman" w:hAnsi="Times New Roman" w:eastAsia="仿宋"/>
          <w:sz w:val="32"/>
          <w:szCs w:val="32"/>
        </w:rPr>
      </w:pPr>
      <w:r>
        <w:rPr>
          <w:rFonts w:ascii="黑体" w:hAnsi="黑体" w:eastAsia="黑体"/>
          <w:sz w:val="32"/>
          <w:szCs w:val="32"/>
        </w:rPr>
        <w:t>第</w:t>
      </w:r>
      <w:r>
        <w:rPr>
          <w:rFonts w:hint="eastAsia" w:ascii="黑体" w:hAnsi="黑体" w:eastAsia="黑体"/>
          <w:sz w:val="32"/>
          <w:szCs w:val="32"/>
        </w:rPr>
        <w:t>四十一</w:t>
      </w:r>
      <w:r>
        <w:rPr>
          <w:rFonts w:ascii="黑体" w:hAnsi="黑体" w:eastAsia="黑体"/>
          <w:sz w:val="32"/>
          <w:szCs w:val="32"/>
        </w:rPr>
        <w:t>条</w:t>
      </w:r>
      <w:r>
        <w:rPr>
          <w:rFonts w:hint="eastAsia" w:ascii="黑体" w:hAnsi="黑体" w:eastAsia="黑体"/>
          <w:sz w:val="32"/>
          <w:szCs w:val="32"/>
        </w:rPr>
        <w:t xml:space="preserve"> </w:t>
      </w:r>
      <w:r>
        <w:rPr>
          <w:rFonts w:ascii="黑体" w:hAnsi="黑体" w:eastAsia="黑体"/>
          <w:sz w:val="32"/>
          <w:szCs w:val="32"/>
        </w:rPr>
        <w:t xml:space="preserve"> </w:t>
      </w:r>
      <w:r>
        <w:rPr>
          <w:rFonts w:ascii="Times New Roman" w:hAnsi="Times New Roman" w:eastAsia="仿宋"/>
          <w:sz w:val="32"/>
          <w:szCs w:val="32"/>
        </w:rPr>
        <w:t>回购股份以减少注册资本的，上市公司应当在披露回购结果公告后及时向本所提交回购股份注销申请</w:t>
      </w:r>
      <w:r>
        <w:rPr>
          <w:rFonts w:hint="eastAsia" w:ascii="Times New Roman" w:hAnsi="Times New Roman" w:eastAsia="仿宋"/>
          <w:sz w:val="32"/>
          <w:szCs w:val="32"/>
        </w:rPr>
        <w:t>（附件</w:t>
      </w:r>
      <w:r>
        <w:rPr>
          <w:rFonts w:ascii="Times New Roman" w:hAnsi="Times New Roman" w:eastAsia="仿宋"/>
          <w:sz w:val="32"/>
          <w:szCs w:val="32"/>
        </w:rPr>
        <w:t>2</w:t>
      </w:r>
      <w:r>
        <w:rPr>
          <w:rFonts w:hint="eastAsia" w:ascii="Times New Roman" w:hAnsi="Times New Roman" w:eastAsia="仿宋"/>
          <w:sz w:val="32"/>
          <w:szCs w:val="32"/>
        </w:rPr>
        <w:t>）</w:t>
      </w:r>
      <w:r>
        <w:rPr>
          <w:rFonts w:ascii="Times New Roman" w:hAnsi="Times New Roman" w:eastAsia="仿宋"/>
          <w:sz w:val="32"/>
          <w:szCs w:val="32"/>
        </w:rPr>
        <w:t>，以及中国结算出具的回购专户持股数量查询证明。</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经本所审查无异议的，上市公司应当按照中国结算有关规定办理股份注销手续。</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股份注销完成后，上市公司应当及时披露回购股份注销完成暨股份变动公告，并按有关规定办理工商变更登记手续。</w:t>
      </w:r>
    </w:p>
    <w:p>
      <w:pPr>
        <w:spacing w:line="600" w:lineRule="exact"/>
        <w:ind w:firstLine="640" w:firstLineChars="200"/>
        <w:rPr>
          <w:rFonts w:ascii="Times New Roman" w:hAnsi="Times New Roman" w:eastAsia="仿宋"/>
          <w:sz w:val="32"/>
          <w:szCs w:val="32"/>
        </w:rPr>
      </w:pPr>
      <w:r>
        <w:rPr>
          <w:rFonts w:hint="eastAsia" w:ascii="黑体" w:hAnsi="黑体" w:eastAsia="黑体"/>
          <w:sz w:val="32"/>
          <w:szCs w:val="32"/>
        </w:rPr>
        <w:t xml:space="preserve">第四十二条 </w:t>
      </w:r>
      <w:r>
        <w:rPr>
          <w:rFonts w:ascii="黑体" w:hAnsi="黑体" w:eastAsia="黑体"/>
          <w:sz w:val="32"/>
          <w:szCs w:val="32"/>
        </w:rPr>
        <w:t xml:space="preserve"> </w:t>
      </w:r>
      <w:r>
        <w:rPr>
          <w:rFonts w:hint="eastAsia" w:ascii="Times New Roman" w:hAnsi="Times New Roman" w:eastAsia="仿宋"/>
          <w:sz w:val="32"/>
          <w:szCs w:val="32"/>
        </w:rPr>
        <w:t>上市公司因维护公司价值及股东权益所必需而回购股份的，可以按照本章规定在发布回购结果公告12个月后采用集中竞价交易方式出售，但下列期间除外：</w:t>
      </w:r>
    </w:p>
    <w:p>
      <w:pPr>
        <w:spacing w:line="600" w:lineRule="exact"/>
        <w:ind w:firstLine="640" w:firstLineChars="200"/>
        <w:rPr>
          <w:rFonts w:ascii="Times New Roman" w:hAnsi="Times New Roman" w:eastAsia="仿宋"/>
          <w:sz w:val="32"/>
          <w:szCs w:val="32"/>
        </w:rPr>
      </w:pPr>
      <w:r>
        <w:rPr>
          <w:rFonts w:hint="eastAsia" w:ascii="Times New Roman" w:hAnsi="Times New Roman" w:eastAsia="仿宋"/>
          <w:sz w:val="32"/>
          <w:szCs w:val="32"/>
        </w:rPr>
        <w:t>（一）上市公司定期报告、业绩预告或者业绩快报披露前10个交易日内，因特殊原因推迟定期报告披露日期的，自原预约公告日前10个交易日起算，至披露前1个交易日；</w:t>
      </w:r>
    </w:p>
    <w:p>
      <w:pPr>
        <w:spacing w:line="600" w:lineRule="exact"/>
        <w:ind w:firstLine="640" w:firstLineChars="200"/>
        <w:rPr>
          <w:rFonts w:ascii="Times New Roman" w:hAnsi="Times New Roman" w:eastAsia="仿宋"/>
          <w:sz w:val="32"/>
          <w:szCs w:val="32"/>
        </w:rPr>
      </w:pPr>
      <w:r>
        <w:rPr>
          <w:rFonts w:hint="eastAsia" w:ascii="Times New Roman" w:hAnsi="Times New Roman" w:eastAsia="仿宋"/>
          <w:sz w:val="32"/>
          <w:szCs w:val="32"/>
        </w:rPr>
        <w:t>（二）自可能对本公司证券及其衍生品种交易价格产生重大影响的重大事项发生之日或者在决策过程中至依法披露之日内；</w:t>
      </w:r>
    </w:p>
    <w:p>
      <w:pPr>
        <w:spacing w:line="600" w:lineRule="exact"/>
        <w:ind w:firstLine="640" w:firstLineChars="200"/>
        <w:rPr>
          <w:rFonts w:ascii="Times New Roman" w:hAnsi="Times New Roman" w:eastAsia="仿宋"/>
          <w:sz w:val="32"/>
          <w:szCs w:val="32"/>
        </w:rPr>
      </w:pPr>
      <w:r>
        <w:rPr>
          <w:rFonts w:hint="eastAsia" w:ascii="Times New Roman" w:hAnsi="Times New Roman" w:eastAsia="仿宋"/>
          <w:sz w:val="32"/>
          <w:szCs w:val="32"/>
        </w:rPr>
        <w:t>（三）中国证监会和本所规定的其他情形。</w:t>
      </w:r>
    </w:p>
    <w:p>
      <w:pPr>
        <w:spacing w:line="600" w:lineRule="exact"/>
        <w:ind w:firstLine="640" w:firstLineChars="200"/>
        <w:rPr>
          <w:rFonts w:ascii="Times New Roman" w:hAnsi="Times New Roman" w:eastAsia="仿宋"/>
          <w:sz w:val="32"/>
          <w:szCs w:val="32"/>
        </w:rPr>
      </w:pPr>
      <w:r>
        <w:rPr>
          <w:rFonts w:hint="eastAsia" w:ascii="黑体" w:hAnsi="黑体" w:eastAsia="黑体"/>
          <w:sz w:val="32"/>
          <w:szCs w:val="32"/>
        </w:rPr>
        <w:t xml:space="preserve">第四十三条 </w:t>
      </w:r>
      <w:r>
        <w:rPr>
          <w:rFonts w:ascii="黑体" w:hAnsi="黑体" w:eastAsia="黑体"/>
          <w:sz w:val="32"/>
          <w:szCs w:val="32"/>
        </w:rPr>
        <w:t xml:space="preserve"> </w:t>
      </w:r>
      <w:r>
        <w:rPr>
          <w:rFonts w:hint="eastAsia" w:ascii="Times New Roman" w:hAnsi="Times New Roman" w:eastAsia="仿宋"/>
          <w:sz w:val="32"/>
          <w:szCs w:val="32"/>
        </w:rPr>
        <w:t>上市公司采用集中竞价交易方式出售已回购股份所得的资金应当用于主营业务，不得通过直接或者间接安排用于新股配售、申购，或者用于股票及其衍生品种、可转换公司债券等交易。</w:t>
      </w:r>
    </w:p>
    <w:p>
      <w:pPr>
        <w:spacing w:line="600" w:lineRule="exact"/>
        <w:ind w:firstLine="640" w:firstLineChars="200"/>
        <w:rPr>
          <w:rFonts w:ascii="Times New Roman" w:hAnsi="Times New Roman" w:eastAsia="仿宋"/>
          <w:sz w:val="32"/>
          <w:szCs w:val="32"/>
        </w:rPr>
      </w:pPr>
      <w:r>
        <w:rPr>
          <w:rFonts w:hint="eastAsia" w:ascii="黑体" w:hAnsi="黑体" w:eastAsia="黑体"/>
          <w:sz w:val="32"/>
          <w:szCs w:val="32"/>
        </w:rPr>
        <w:t xml:space="preserve">第四十四条 </w:t>
      </w:r>
      <w:r>
        <w:rPr>
          <w:rFonts w:ascii="黑体" w:hAnsi="黑体" w:eastAsia="黑体"/>
          <w:sz w:val="32"/>
          <w:szCs w:val="32"/>
        </w:rPr>
        <w:t xml:space="preserve"> </w:t>
      </w:r>
      <w:r>
        <w:rPr>
          <w:rFonts w:hint="eastAsia" w:ascii="Times New Roman" w:hAnsi="Times New Roman" w:eastAsia="仿宋"/>
          <w:sz w:val="32"/>
          <w:szCs w:val="32"/>
        </w:rPr>
        <w:t>上市公司拟采用集中竞价交易方式出售已回购股份的，应当经董事会审议通过，并在首次卖出股份的15个交易日前披露出售计划。</w:t>
      </w:r>
    </w:p>
    <w:p>
      <w:pPr>
        <w:spacing w:line="600" w:lineRule="exact"/>
        <w:ind w:firstLine="640" w:firstLineChars="200"/>
        <w:rPr>
          <w:rFonts w:ascii="Times New Roman" w:hAnsi="Times New Roman" w:eastAsia="仿宋"/>
          <w:sz w:val="32"/>
          <w:szCs w:val="32"/>
        </w:rPr>
      </w:pPr>
      <w:r>
        <w:rPr>
          <w:rFonts w:hint="eastAsia" w:ascii="Times New Roman" w:hAnsi="Times New Roman" w:eastAsia="仿宋"/>
          <w:sz w:val="32"/>
          <w:szCs w:val="32"/>
        </w:rPr>
        <w:t>前款规定的出售计划应当至少公告以下内容：</w:t>
      </w:r>
    </w:p>
    <w:p>
      <w:pPr>
        <w:spacing w:line="600" w:lineRule="exact"/>
        <w:ind w:firstLine="640" w:firstLineChars="200"/>
        <w:rPr>
          <w:rFonts w:ascii="Times New Roman" w:hAnsi="Times New Roman" w:eastAsia="仿宋"/>
          <w:sz w:val="32"/>
          <w:szCs w:val="32"/>
        </w:rPr>
      </w:pPr>
      <w:r>
        <w:rPr>
          <w:rFonts w:hint="eastAsia" w:ascii="Times New Roman" w:hAnsi="Times New Roman" w:eastAsia="仿宋"/>
          <w:sz w:val="32"/>
          <w:szCs w:val="32"/>
        </w:rPr>
        <w:t>（一）出售回购股份的董事会决议；</w:t>
      </w:r>
    </w:p>
    <w:p>
      <w:pPr>
        <w:spacing w:line="600" w:lineRule="exact"/>
        <w:ind w:firstLine="640" w:firstLineChars="200"/>
        <w:rPr>
          <w:rFonts w:ascii="Times New Roman" w:hAnsi="Times New Roman" w:eastAsia="仿宋"/>
          <w:sz w:val="32"/>
          <w:szCs w:val="32"/>
        </w:rPr>
      </w:pPr>
      <w:r>
        <w:rPr>
          <w:rFonts w:hint="eastAsia" w:ascii="Times New Roman" w:hAnsi="Times New Roman" w:eastAsia="仿宋"/>
          <w:sz w:val="32"/>
          <w:szCs w:val="32"/>
        </w:rPr>
        <w:t>（二）出售的原因、目的和方式；</w:t>
      </w:r>
    </w:p>
    <w:p>
      <w:pPr>
        <w:spacing w:line="600" w:lineRule="exact"/>
        <w:ind w:firstLine="640" w:firstLineChars="200"/>
        <w:rPr>
          <w:rFonts w:ascii="Times New Roman" w:hAnsi="Times New Roman" w:eastAsia="仿宋"/>
          <w:sz w:val="32"/>
          <w:szCs w:val="32"/>
        </w:rPr>
      </w:pPr>
      <w:r>
        <w:rPr>
          <w:rFonts w:hint="eastAsia" w:ascii="Times New Roman" w:hAnsi="Times New Roman" w:eastAsia="仿宋"/>
          <w:sz w:val="32"/>
          <w:szCs w:val="32"/>
        </w:rPr>
        <w:t>（三）拟出售的数量及占总股本的比例；</w:t>
      </w:r>
    </w:p>
    <w:p>
      <w:pPr>
        <w:spacing w:line="600" w:lineRule="exact"/>
        <w:ind w:firstLine="640" w:firstLineChars="200"/>
        <w:rPr>
          <w:rFonts w:ascii="Times New Roman" w:hAnsi="Times New Roman" w:eastAsia="仿宋"/>
          <w:sz w:val="32"/>
          <w:szCs w:val="32"/>
        </w:rPr>
      </w:pPr>
      <w:r>
        <w:rPr>
          <w:rFonts w:hint="eastAsia" w:ascii="Times New Roman" w:hAnsi="Times New Roman" w:eastAsia="仿宋"/>
          <w:sz w:val="32"/>
          <w:szCs w:val="32"/>
        </w:rPr>
        <w:t>（四）出售的价格区间；</w:t>
      </w:r>
    </w:p>
    <w:p>
      <w:pPr>
        <w:spacing w:line="600" w:lineRule="exact"/>
        <w:ind w:firstLine="640" w:firstLineChars="200"/>
        <w:rPr>
          <w:rFonts w:ascii="Times New Roman" w:hAnsi="Times New Roman" w:eastAsia="仿宋"/>
          <w:sz w:val="32"/>
          <w:szCs w:val="32"/>
        </w:rPr>
      </w:pPr>
      <w:r>
        <w:rPr>
          <w:rFonts w:hint="eastAsia" w:ascii="Times New Roman" w:hAnsi="Times New Roman" w:eastAsia="仿宋"/>
          <w:sz w:val="32"/>
          <w:szCs w:val="32"/>
        </w:rPr>
        <w:t>（五）出售的实施期限（每次披露的出售时间区间不得超过6个月）；</w:t>
      </w:r>
    </w:p>
    <w:p>
      <w:pPr>
        <w:spacing w:line="600" w:lineRule="exact"/>
        <w:ind w:firstLine="640" w:firstLineChars="200"/>
        <w:rPr>
          <w:rFonts w:ascii="Times New Roman" w:hAnsi="Times New Roman" w:eastAsia="仿宋"/>
          <w:sz w:val="32"/>
          <w:szCs w:val="32"/>
        </w:rPr>
      </w:pPr>
      <w:r>
        <w:rPr>
          <w:rFonts w:hint="eastAsia" w:ascii="Times New Roman" w:hAnsi="Times New Roman" w:eastAsia="仿宋"/>
          <w:sz w:val="32"/>
          <w:szCs w:val="32"/>
        </w:rPr>
        <w:t>（六）出售所得资金的用途及具体使用安排；</w:t>
      </w:r>
    </w:p>
    <w:p>
      <w:pPr>
        <w:spacing w:line="600" w:lineRule="exact"/>
        <w:ind w:firstLine="640" w:firstLineChars="200"/>
        <w:rPr>
          <w:rFonts w:ascii="Times New Roman" w:hAnsi="Times New Roman" w:eastAsia="仿宋"/>
          <w:sz w:val="32"/>
          <w:szCs w:val="32"/>
        </w:rPr>
      </w:pPr>
      <w:r>
        <w:rPr>
          <w:rFonts w:hint="eastAsia" w:ascii="Times New Roman" w:hAnsi="Times New Roman" w:eastAsia="仿宋"/>
          <w:sz w:val="32"/>
          <w:szCs w:val="32"/>
        </w:rPr>
        <w:t>（七）预计出售完成后公司股权结构的变动情况；</w:t>
      </w:r>
    </w:p>
    <w:p>
      <w:pPr>
        <w:spacing w:line="600" w:lineRule="exact"/>
        <w:ind w:firstLine="640" w:firstLineChars="200"/>
        <w:rPr>
          <w:rFonts w:ascii="Times New Roman" w:hAnsi="Times New Roman" w:eastAsia="仿宋"/>
          <w:sz w:val="32"/>
          <w:szCs w:val="32"/>
        </w:rPr>
      </w:pPr>
      <w:r>
        <w:rPr>
          <w:rFonts w:hint="eastAsia" w:ascii="Times New Roman" w:hAnsi="Times New Roman" w:eastAsia="仿宋"/>
          <w:sz w:val="32"/>
          <w:szCs w:val="32"/>
        </w:rPr>
        <w:t>（八）管理层关于本次出售已回购股份对公司经营、财务及未来发展影响等情况的说明；</w:t>
      </w:r>
    </w:p>
    <w:p>
      <w:pPr>
        <w:spacing w:line="600" w:lineRule="exact"/>
        <w:ind w:firstLine="640" w:firstLineChars="200"/>
        <w:rPr>
          <w:rFonts w:ascii="Times New Roman" w:hAnsi="Times New Roman" w:eastAsia="仿宋"/>
          <w:sz w:val="32"/>
          <w:szCs w:val="32"/>
        </w:rPr>
      </w:pPr>
      <w:r>
        <w:rPr>
          <w:rFonts w:hint="eastAsia" w:ascii="Times New Roman" w:hAnsi="Times New Roman" w:eastAsia="仿宋"/>
          <w:sz w:val="32"/>
          <w:szCs w:val="32"/>
        </w:rPr>
        <w:t>（九）上市公司董事</w:t>
      </w:r>
      <w:r>
        <w:rPr>
          <w:rFonts w:hint="eastAsia" w:ascii="Times New Roman" w:hAnsi="Times New Roman" w:eastAsia="仿宋"/>
          <w:sz w:val="32"/>
          <w:szCs w:val="32"/>
          <w:lang w:eastAsia="zh-CN"/>
        </w:rPr>
        <w:t>、高级管理人员</w:t>
      </w:r>
      <w:r>
        <w:rPr>
          <w:rFonts w:hint="eastAsia" w:ascii="Times New Roman" w:hAnsi="Times New Roman" w:eastAsia="仿宋"/>
          <w:sz w:val="32"/>
          <w:szCs w:val="32"/>
        </w:rPr>
        <w:t>、持股5</w:t>
      </w:r>
      <w:r>
        <w:rPr>
          <w:rFonts w:ascii="Times New Roman" w:hAnsi="Times New Roman" w:eastAsia="仿宋"/>
          <w:sz w:val="32"/>
          <w:szCs w:val="32"/>
        </w:rPr>
        <w:t>%以上的股东</w:t>
      </w:r>
      <w:r>
        <w:rPr>
          <w:rFonts w:hint="eastAsia" w:ascii="Times New Roman" w:hAnsi="Times New Roman" w:eastAsia="仿宋"/>
          <w:sz w:val="32"/>
          <w:szCs w:val="32"/>
        </w:rPr>
        <w:t>、控股股东、实际控制人、回购股份提议人在董事会作出出售决议前6个月内买卖本公司股份的情况；</w:t>
      </w:r>
    </w:p>
    <w:p>
      <w:pPr>
        <w:spacing w:line="600" w:lineRule="exact"/>
        <w:ind w:firstLine="640" w:firstLineChars="200"/>
        <w:rPr>
          <w:rFonts w:ascii="Times New Roman" w:hAnsi="Times New Roman" w:eastAsia="仿宋"/>
          <w:sz w:val="32"/>
          <w:szCs w:val="32"/>
        </w:rPr>
      </w:pPr>
      <w:r>
        <w:rPr>
          <w:rFonts w:hint="eastAsia" w:ascii="Times New Roman" w:hAnsi="Times New Roman" w:eastAsia="仿宋"/>
          <w:sz w:val="32"/>
          <w:szCs w:val="32"/>
        </w:rPr>
        <w:t>（十）中国证监会和本所要求披露的其他内容。</w:t>
      </w:r>
    </w:p>
    <w:p>
      <w:pPr>
        <w:spacing w:line="600" w:lineRule="exact"/>
        <w:ind w:firstLine="640" w:firstLineChars="200"/>
        <w:rPr>
          <w:rFonts w:ascii="Times New Roman" w:hAnsi="Times New Roman" w:eastAsia="仿宋"/>
          <w:sz w:val="32"/>
          <w:szCs w:val="32"/>
        </w:rPr>
      </w:pPr>
      <w:r>
        <w:rPr>
          <w:rFonts w:hint="eastAsia" w:ascii="黑体" w:hAnsi="黑体" w:eastAsia="黑体"/>
          <w:sz w:val="32"/>
          <w:szCs w:val="32"/>
        </w:rPr>
        <w:t xml:space="preserve">第四十五条 </w:t>
      </w:r>
      <w:r>
        <w:rPr>
          <w:rFonts w:ascii="黑体" w:hAnsi="黑体" w:eastAsia="黑体"/>
          <w:sz w:val="32"/>
          <w:szCs w:val="32"/>
        </w:rPr>
        <w:t xml:space="preserve"> </w:t>
      </w:r>
      <w:r>
        <w:rPr>
          <w:rFonts w:hint="eastAsia" w:ascii="Times New Roman" w:hAnsi="Times New Roman" w:eastAsia="仿宋"/>
          <w:sz w:val="32"/>
          <w:szCs w:val="32"/>
        </w:rPr>
        <w:t>上市公司采用集中竞价交易方式出售已回购股份的，应当遵守下列要求：</w:t>
      </w:r>
    </w:p>
    <w:p>
      <w:pPr>
        <w:spacing w:line="600" w:lineRule="exact"/>
        <w:ind w:firstLine="640" w:firstLineChars="200"/>
        <w:rPr>
          <w:rFonts w:ascii="Times New Roman" w:hAnsi="Times New Roman" w:eastAsia="仿宋"/>
          <w:sz w:val="32"/>
          <w:szCs w:val="32"/>
        </w:rPr>
      </w:pPr>
      <w:r>
        <w:rPr>
          <w:rFonts w:hint="eastAsia" w:ascii="Times New Roman" w:hAnsi="Times New Roman" w:eastAsia="仿宋"/>
          <w:sz w:val="32"/>
          <w:szCs w:val="32"/>
        </w:rPr>
        <w:t>（一）不得在本所开盘集合竞价、收盘前半小时内及股票价格无涨跌幅限制的交易日内进行出售的申报；</w:t>
      </w:r>
    </w:p>
    <w:p>
      <w:pPr>
        <w:spacing w:line="600" w:lineRule="exact"/>
        <w:ind w:firstLine="640" w:firstLineChars="200"/>
        <w:rPr>
          <w:rFonts w:ascii="Times New Roman" w:hAnsi="Times New Roman" w:eastAsia="仿宋"/>
          <w:sz w:val="32"/>
          <w:szCs w:val="32"/>
        </w:rPr>
      </w:pPr>
      <w:r>
        <w:rPr>
          <w:rFonts w:hint="eastAsia" w:ascii="Times New Roman" w:hAnsi="Times New Roman" w:eastAsia="仿宋"/>
          <w:sz w:val="32"/>
          <w:szCs w:val="32"/>
        </w:rPr>
        <w:t>（二）申报价格不得为公司股票当日交易跌幅限制的价格；</w:t>
      </w:r>
    </w:p>
    <w:p>
      <w:pPr>
        <w:spacing w:line="600" w:lineRule="exact"/>
        <w:ind w:firstLine="640" w:firstLineChars="200"/>
        <w:rPr>
          <w:rFonts w:ascii="Times New Roman" w:hAnsi="Times New Roman" w:eastAsia="仿宋"/>
          <w:sz w:val="32"/>
          <w:szCs w:val="32"/>
        </w:rPr>
      </w:pPr>
      <w:r>
        <w:rPr>
          <w:rFonts w:hint="eastAsia" w:ascii="Times New Roman" w:hAnsi="Times New Roman" w:eastAsia="仿宋"/>
          <w:sz w:val="32"/>
          <w:szCs w:val="32"/>
        </w:rPr>
        <w:t>（三）每日出售的数量不得超过出售计划披露日前20个交易日日均</w:t>
      </w:r>
      <w:r>
        <w:rPr>
          <w:rFonts w:ascii="Times New Roman" w:hAnsi="Times New Roman" w:eastAsia="仿宋"/>
          <w:sz w:val="32"/>
          <w:szCs w:val="32"/>
        </w:rPr>
        <w:t>盘中</w:t>
      </w:r>
      <w:r>
        <w:rPr>
          <w:rFonts w:hint="eastAsia" w:ascii="Times New Roman" w:hAnsi="Times New Roman" w:eastAsia="仿宋"/>
          <w:sz w:val="32"/>
          <w:szCs w:val="32"/>
        </w:rPr>
        <w:t>成交量的25%，但每日出售数量不超过</w:t>
      </w:r>
      <w:r>
        <w:rPr>
          <w:rFonts w:ascii="Times New Roman" w:hAnsi="Times New Roman" w:eastAsia="仿宋"/>
          <w:sz w:val="32"/>
          <w:szCs w:val="32"/>
        </w:rPr>
        <w:t>1</w:t>
      </w:r>
      <w:r>
        <w:rPr>
          <w:rFonts w:hint="eastAsia" w:ascii="Times New Roman" w:hAnsi="Times New Roman" w:eastAsia="仿宋"/>
          <w:sz w:val="32"/>
          <w:szCs w:val="32"/>
        </w:rPr>
        <w:t>0万股的除外；</w:t>
      </w:r>
    </w:p>
    <w:p>
      <w:pPr>
        <w:spacing w:line="600" w:lineRule="exact"/>
        <w:ind w:firstLine="640" w:firstLineChars="200"/>
        <w:rPr>
          <w:rFonts w:ascii="Times New Roman" w:hAnsi="Times New Roman" w:eastAsia="仿宋"/>
          <w:sz w:val="32"/>
          <w:szCs w:val="32"/>
        </w:rPr>
      </w:pPr>
      <w:r>
        <w:rPr>
          <w:rFonts w:hint="eastAsia" w:ascii="Times New Roman" w:hAnsi="Times New Roman" w:eastAsia="仿宋"/>
          <w:sz w:val="32"/>
          <w:szCs w:val="32"/>
        </w:rPr>
        <w:t>（四）在任意连续90</w:t>
      </w:r>
      <w:r>
        <w:rPr>
          <w:rFonts w:hint="eastAsia" w:ascii="Times New Roman" w:hAnsi="Times New Roman" w:eastAsia="仿宋"/>
          <w:sz w:val="32"/>
          <w:szCs w:val="32"/>
          <w:lang w:eastAsia="zh-CN"/>
        </w:rPr>
        <w:t>个自然</w:t>
      </w:r>
      <w:r>
        <w:rPr>
          <w:rFonts w:hint="eastAsia" w:ascii="Times New Roman" w:hAnsi="Times New Roman" w:eastAsia="仿宋"/>
          <w:sz w:val="32"/>
          <w:szCs w:val="32"/>
        </w:rPr>
        <w:t>日内，出售股份的总数不得超过公司股份总数的1%；</w:t>
      </w:r>
    </w:p>
    <w:p>
      <w:pPr>
        <w:spacing w:line="600" w:lineRule="exact"/>
        <w:ind w:firstLine="640" w:firstLineChars="200"/>
        <w:rPr>
          <w:rFonts w:ascii="Times New Roman" w:hAnsi="Times New Roman" w:eastAsia="仿宋"/>
          <w:sz w:val="32"/>
          <w:szCs w:val="32"/>
        </w:rPr>
      </w:pPr>
      <w:r>
        <w:rPr>
          <w:rFonts w:hint="eastAsia" w:ascii="Times New Roman" w:hAnsi="Times New Roman" w:eastAsia="仿宋"/>
          <w:sz w:val="32"/>
          <w:szCs w:val="32"/>
        </w:rPr>
        <w:t>（五）中国证监会和本所规定的其他要求。</w:t>
      </w:r>
    </w:p>
    <w:p>
      <w:pPr>
        <w:spacing w:line="600" w:lineRule="exact"/>
        <w:ind w:firstLine="640" w:firstLineChars="200"/>
        <w:rPr>
          <w:rFonts w:ascii="Times New Roman" w:hAnsi="Times New Roman" w:eastAsia="仿宋"/>
          <w:sz w:val="32"/>
          <w:szCs w:val="32"/>
        </w:rPr>
      </w:pPr>
      <w:r>
        <w:rPr>
          <w:rFonts w:hint="eastAsia" w:ascii="黑体" w:hAnsi="黑体" w:eastAsia="黑体"/>
          <w:sz w:val="32"/>
          <w:szCs w:val="32"/>
        </w:rPr>
        <w:t xml:space="preserve">第四十六条 </w:t>
      </w:r>
      <w:r>
        <w:rPr>
          <w:rFonts w:ascii="黑体" w:hAnsi="黑体" w:eastAsia="黑体"/>
          <w:sz w:val="32"/>
          <w:szCs w:val="32"/>
        </w:rPr>
        <w:t xml:space="preserve"> </w:t>
      </w:r>
      <w:r>
        <w:rPr>
          <w:rFonts w:hint="eastAsia" w:ascii="Times New Roman" w:hAnsi="Times New Roman" w:eastAsia="仿宋"/>
          <w:sz w:val="32"/>
          <w:szCs w:val="32"/>
        </w:rPr>
        <w:t>上市公司采用集中竞价交易方式出售已回购股份期间，应当在以下时间及时发布出售进展情况公告，并在各定期报告中披露出售进展情况：</w:t>
      </w:r>
    </w:p>
    <w:p>
      <w:pPr>
        <w:spacing w:line="600" w:lineRule="exact"/>
        <w:ind w:firstLine="640" w:firstLineChars="200"/>
        <w:rPr>
          <w:rFonts w:ascii="Times New Roman" w:hAnsi="Times New Roman" w:eastAsia="仿宋"/>
          <w:sz w:val="32"/>
          <w:szCs w:val="32"/>
        </w:rPr>
      </w:pPr>
      <w:r>
        <w:rPr>
          <w:rFonts w:hint="eastAsia" w:ascii="Times New Roman" w:hAnsi="Times New Roman" w:eastAsia="仿宋"/>
          <w:sz w:val="32"/>
          <w:szCs w:val="32"/>
        </w:rPr>
        <w:t>（一）首次出售已回购股份事实发生后，应当在次1个交易日内披露；</w:t>
      </w:r>
    </w:p>
    <w:p>
      <w:pPr>
        <w:spacing w:line="600" w:lineRule="exact"/>
        <w:ind w:firstLine="640" w:firstLineChars="200"/>
        <w:rPr>
          <w:rFonts w:ascii="Times New Roman" w:hAnsi="Times New Roman" w:eastAsia="仿宋"/>
          <w:sz w:val="32"/>
          <w:szCs w:val="32"/>
        </w:rPr>
      </w:pPr>
      <w:r>
        <w:rPr>
          <w:rFonts w:hint="eastAsia" w:ascii="Times New Roman" w:hAnsi="Times New Roman" w:eastAsia="仿宋"/>
          <w:sz w:val="32"/>
          <w:szCs w:val="32"/>
        </w:rPr>
        <w:t>（二）出售已回购股份占上市公司总股本的比例每增加1%的，应当在事实发生之日起3</w:t>
      </w:r>
      <w:r>
        <w:rPr>
          <w:rFonts w:ascii="Times New Roman" w:hAnsi="Times New Roman" w:eastAsia="仿宋"/>
          <w:sz w:val="32"/>
          <w:szCs w:val="32"/>
        </w:rPr>
        <w:t>个交易</w:t>
      </w:r>
      <w:r>
        <w:rPr>
          <w:rFonts w:hint="eastAsia" w:ascii="Times New Roman" w:hAnsi="Times New Roman" w:eastAsia="仿宋"/>
          <w:sz w:val="32"/>
          <w:szCs w:val="32"/>
        </w:rPr>
        <w:t>日内披露；</w:t>
      </w:r>
    </w:p>
    <w:p>
      <w:pPr>
        <w:spacing w:line="600" w:lineRule="exact"/>
        <w:ind w:firstLine="640" w:firstLineChars="200"/>
        <w:rPr>
          <w:rFonts w:ascii="Times New Roman" w:hAnsi="Times New Roman" w:eastAsia="仿宋"/>
          <w:sz w:val="32"/>
          <w:szCs w:val="32"/>
        </w:rPr>
      </w:pPr>
      <w:r>
        <w:rPr>
          <w:rFonts w:hint="eastAsia" w:ascii="Times New Roman" w:hAnsi="Times New Roman" w:eastAsia="仿宋"/>
          <w:sz w:val="32"/>
          <w:szCs w:val="32"/>
        </w:rPr>
        <w:t>（三）每个月的前3个交易日内，应当披露截至上月末的出售进展情况。</w:t>
      </w:r>
    </w:p>
    <w:p>
      <w:pPr>
        <w:spacing w:line="600" w:lineRule="exact"/>
        <w:ind w:firstLine="640" w:firstLineChars="200"/>
        <w:rPr>
          <w:rFonts w:ascii="Times New Roman" w:hAnsi="Times New Roman" w:eastAsia="仿宋"/>
          <w:sz w:val="32"/>
          <w:szCs w:val="32"/>
        </w:rPr>
      </w:pPr>
      <w:r>
        <w:rPr>
          <w:rFonts w:hint="eastAsia" w:ascii="Times New Roman" w:hAnsi="Times New Roman" w:eastAsia="仿宋"/>
          <w:sz w:val="32"/>
          <w:szCs w:val="32"/>
        </w:rPr>
        <w:t>出售进展情况公告应当包括公告前已出售股份数量及占公司总股本的比例、出售最高价和最低价、出售均价、出售所得资金总额等。</w:t>
      </w:r>
    </w:p>
    <w:p>
      <w:pPr>
        <w:spacing w:line="600" w:lineRule="exact"/>
        <w:ind w:firstLine="640" w:firstLineChars="200"/>
        <w:rPr>
          <w:rFonts w:ascii="Times New Roman" w:hAnsi="Times New Roman" w:eastAsia="仿宋"/>
          <w:sz w:val="32"/>
          <w:szCs w:val="32"/>
        </w:rPr>
      </w:pPr>
      <w:r>
        <w:rPr>
          <w:rFonts w:hint="eastAsia" w:ascii="Times New Roman" w:hAnsi="Times New Roman" w:eastAsia="仿宋"/>
          <w:sz w:val="32"/>
          <w:szCs w:val="32"/>
        </w:rPr>
        <w:t xml:space="preserve">公告期间上市公司无须停止出售行为。 </w:t>
      </w:r>
    </w:p>
    <w:p>
      <w:pPr>
        <w:spacing w:line="600" w:lineRule="exact"/>
        <w:ind w:firstLine="640" w:firstLineChars="200"/>
        <w:rPr>
          <w:rFonts w:ascii="Times New Roman" w:hAnsi="Times New Roman" w:eastAsia="仿宋"/>
          <w:sz w:val="32"/>
          <w:szCs w:val="32"/>
        </w:rPr>
      </w:pPr>
      <w:r>
        <w:rPr>
          <w:rFonts w:hint="eastAsia" w:ascii="黑体" w:hAnsi="黑体" w:eastAsia="黑体"/>
          <w:sz w:val="32"/>
          <w:szCs w:val="32"/>
        </w:rPr>
        <w:t xml:space="preserve">第四十七条 </w:t>
      </w:r>
      <w:r>
        <w:rPr>
          <w:rFonts w:ascii="黑体" w:hAnsi="黑体" w:eastAsia="黑体"/>
          <w:sz w:val="32"/>
          <w:szCs w:val="32"/>
        </w:rPr>
        <w:t xml:space="preserve"> </w:t>
      </w:r>
      <w:r>
        <w:rPr>
          <w:rFonts w:hint="eastAsia" w:ascii="Times New Roman" w:hAnsi="Times New Roman" w:eastAsia="仿宋"/>
          <w:sz w:val="32"/>
          <w:szCs w:val="32"/>
        </w:rPr>
        <w:t>上市公司采用集中竞价交易方式出售已回购股份，出售期限届满或者出售计划已实施完毕的，上市公司应当停止出售行为，并在2个交易日内发布出售结果公告。</w:t>
      </w:r>
    </w:p>
    <w:p>
      <w:pPr>
        <w:spacing w:line="600" w:lineRule="exact"/>
        <w:ind w:firstLine="640" w:firstLineChars="200"/>
        <w:rPr>
          <w:rFonts w:ascii="Times New Roman" w:hAnsi="Times New Roman" w:eastAsia="仿宋"/>
          <w:sz w:val="32"/>
          <w:szCs w:val="32"/>
        </w:rPr>
      </w:pPr>
      <w:r>
        <w:rPr>
          <w:rFonts w:hint="eastAsia" w:ascii="Times New Roman" w:hAnsi="Times New Roman" w:eastAsia="仿宋"/>
          <w:sz w:val="32"/>
          <w:szCs w:val="32"/>
        </w:rPr>
        <w:t>上市公司应当在出售结果公告中，将实际出售已回购股份数量、比例、出售所得资金总额与出售计划相应内容进行对照，就出售执行情况与出售计划的差异作出解释，并就本次出售对公司的影响作出说明。</w:t>
      </w:r>
    </w:p>
    <w:p>
      <w:pPr>
        <w:spacing w:line="600" w:lineRule="exact"/>
        <w:ind w:firstLine="636"/>
        <w:rPr>
          <w:rFonts w:ascii="Times New Roman" w:hAnsi="Times New Roman" w:eastAsia="仿宋"/>
          <w:sz w:val="32"/>
          <w:szCs w:val="32"/>
        </w:rPr>
      </w:pPr>
      <w:r>
        <w:rPr>
          <w:rFonts w:ascii="黑体" w:hAnsi="黑体" w:eastAsia="黑体"/>
          <w:sz w:val="32"/>
          <w:szCs w:val="32"/>
        </w:rPr>
        <w:t>第四十</w:t>
      </w:r>
      <w:r>
        <w:rPr>
          <w:rFonts w:hint="eastAsia" w:ascii="黑体" w:hAnsi="黑体" w:eastAsia="黑体"/>
          <w:sz w:val="32"/>
          <w:szCs w:val="32"/>
        </w:rPr>
        <w:t>八</w:t>
      </w:r>
      <w:r>
        <w:rPr>
          <w:rFonts w:ascii="黑体" w:hAnsi="黑体" w:eastAsia="黑体"/>
          <w:sz w:val="32"/>
          <w:szCs w:val="32"/>
        </w:rPr>
        <w:t>条</w:t>
      </w:r>
      <w:r>
        <w:rPr>
          <w:rFonts w:hint="eastAsia" w:ascii="黑体" w:hAnsi="黑体" w:eastAsia="黑体"/>
          <w:sz w:val="32"/>
          <w:szCs w:val="32"/>
        </w:rPr>
        <w:t xml:space="preserve"> </w:t>
      </w:r>
      <w:r>
        <w:rPr>
          <w:rFonts w:ascii="黑体" w:hAnsi="黑体" w:eastAsia="黑体"/>
          <w:sz w:val="32"/>
          <w:szCs w:val="32"/>
        </w:rPr>
        <w:t xml:space="preserve"> </w:t>
      </w:r>
      <w:r>
        <w:rPr>
          <w:rFonts w:ascii="Times New Roman" w:hAnsi="Times New Roman" w:eastAsia="仿宋"/>
          <w:sz w:val="32"/>
          <w:szCs w:val="32"/>
        </w:rPr>
        <w:t>回购股份用于股权激励、员工持股计划、</w:t>
      </w:r>
      <w:r>
        <w:rPr>
          <w:rFonts w:hint="eastAsia" w:ascii="Times New Roman" w:hAnsi="Times New Roman" w:eastAsia="仿宋"/>
          <w:sz w:val="32"/>
          <w:szCs w:val="32"/>
        </w:rPr>
        <w:t>转换上市公司发行的可转换为股票的公司债券、维护公司价值及股东权益所必需</w:t>
      </w:r>
      <w:r>
        <w:rPr>
          <w:rFonts w:ascii="Times New Roman" w:hAnsi="Times New Roman" w:eastAsia="仿宋"/>
          <w:sz w:val="32"/>
          <w:szCs w:val="32"/>
        </w:rPr>
        <w:t>的，所回购股份的后续处理，按照《公司法》、中国证监会和本所的相关规定办理。</w:t>
      </w:r>
    </w:p>
    <w:p>
      <w:pPr>
        <w:spacing w:line="600" w:lineRule="exact"/>
        <w:ind w:firstLine="636"/>
        <w:rPr>
          <w:rFonts w:ascii="Times New Roman" w:hAnsi="Times New Roman" w:eastAsia="仿宋"/>
          <w:sz w:val="32"/>
          <w:szCs w:val="32"/>
        </w:rPr>
      </w:pPr>
      <w:r>
        <w:rPr>
          <w:rFonts w:ascii="Times New Roman" w:hAnsi="Times New Roman" w:eastAsia="仿宋"/>
          <w:sz w:val="32"/>
          <w:szCs w:val="32"/>
        </w:rPr>
        <w:t>前款情形中，上市公司已回购股份未按照披露的用途处理，按照《公司法》规定持有期限届满的，应当予以注销。相关事项按照本</w:t>
      </w:r>
      <w:r>
        <w:rPr>
          <w:rFonts w:hint="eastAsia" w:ascii="Times New Roman" w:hAnsi="Times New Roman" w:eastAsia="仿宋"/>
          <w:sz w:val="32"/>
          <w:szCs w:val="32"/>
        </w:rPr>
        <w:t>指引</w:t>
      </w:r>
      <w:r>
        <w:rPr>
          <w:rFonts w:ascii="Times New Roman" w:hAnsi="Times New Roman" w:eastAsia="仿宋"/>
          <w:sz w:val="32"/>
          <w:szCs w:val="32"/>
        </w:rPr>
        <w:t>第二十</w:t>
      </w:r>
      <w:r>
        <w:rPr>
          <w:rFonts w:hint="eastAsia" w:ascii="Times New Roman" w:hAnsi="Times New Roman" w:eastAsia="仿宋"/>
          <w:sz w:val="32"/>
          <w:szCs w:val="32"/>
        </w:rPr>
        <w:t>五</w:t>
      </w:r>
      <w:r>
        <w:rPr>
          <w:rFonts w:ascii="Times New Roman" w:hAnsi="Times New Roman" w:eastAsia="仿宋"/>
          <w:sz w:val="32"/>
          <w:szCs w:val="32"/>
        </w:rPr>
        <w:t>条、第</w:t>
      </w:r>
      <w:r>
        <w:rPr>
          <w:rFonts w:hint="eastAsia" w:ascii="Times New Roman" w:hAnsi="Times New Roman" w:eastAsia="仿宋"/>
          <w:sz w:val="32"/>
          <w:szCs w:val="32"/>
        </w:rPr>
        <w:t>三十三</w:t>
      </w:r>
      <w:r>
        <w:rPr>
          <w:rFonts w:ascii="Times New Roman" w:hAnsi="Times New Roman" w:eastAsia="仿宋"/>
          <w:sz w:val="32"/>
          <w:szCs w:val="32"/>
        </w:rPr>
        <w:t>条和第</w:t>
      </w:r>
      <w:r>
        <w:rPr>
          <w:rFonts w:hint="eastAsia" w:ascii="Times New Roman" w:hAnsi="Times New Roman" w:eastAsia="仿宋"/>
          <w:sz w:val="32"/>
          <w:szCs w:val="32"/>
        </w:rPr>
        <w:t>四十一</w:t>
      </w:r>
      <w:r>
        <w:rPr>
          <w:rFonts w:ascii="Times New Roman" w:hAnsi="Times New Roman" w:eastAsia="仿宋"/>
          <w:sz w:val="32"/>
          <w:szCs w:val="32"/>
        </w:rPr>
        <w:t>条的规定办理。</w:t>
      </w:r>
    </w:p>
    <w:p>
      <w:pPr>
        <w:suppressAutoHyphens/>
        <w:spacing w:before="240" w:after="240" w:line="600" w:lineRule="exact"/>
        <w:jc w:val="center"/>
        <w:rPr>
          <w:rFonts w:ascii="黑体" w:hAnsi="黑体" w:eastAsia="黑体"/>
          <w:sz w:val="32"/>
          <w:szCs w:val="32"/>
        </w:rPr>
      </w:pPr>
      <w:r>
        <w:rPr>
          <w:rFonts w:hint="eastAsia" w:ascii="黑体" w:hAnsi="黑体" w:eastAsia="黑体"/>
          <w:sz w:val="32"/>
          <w:szCs w:val="32"/>
        </w:rPr>
        <w:t xml:space="preserve">第三章 </w:t>
      </w:r>
      <w:r>
        <w:rPr>
          <w:rFonts w:ascii="黑体" w:hAnsi="黑体" w:eastAsia="黑体"/>
          <w:sz w:val="32"/>
          <w:szCs w:val="32"/>
        </w:rPr>
        <w:t xml:space="preserve"> </w:t>
      </w:r>
      <w:r>
        <w:rPr>
          <w:rFonts w:hint="eastAsia" w:ascii="黑体" w:hAnsi="黑体" w:eastAsia="黑体"/>
          <w:sz w:val="32"/>
          <w:szCs w:val="32"/>
        </w:rPr>
        <w:t>要约回购</w:t>
      </w:r>
    </w:p>
    <w:p>
      <w:pPr>
        <w:spacing w:line="600" w:lineRule="exact"/>
        <w:jc w:val="center"/>
        <w:outlineLvl w:val="1"/>
        <w:rPr>
          <w:rFonts w:ascii="楷体" w:hAnsi="楷体" w:eastAsia="楷体"/>
          <w:sz w:val="32"/>
          <w:szCs w:val="32"/>
        </w:rPr>
      </w:pPr>
      <w:r>
        <w:rPr>
          <w:rFonts w:hint="eastAsia" w:ascii="楷体" w:hAnsi="楷体" w:eastAsia="楷体"/>
          <w:sz w:val="32"/>
          <w:szCs w:val="32"/>
        </w:rPr>
        <w:t xml:space="preserve">第一节 </w:t>
      </w:r>
      <w:r>
        <w:rPr>
          <w:rFonts w:ascii="楷体" w:hAnsi="楷体" w:eastAsia="楷体"/>
          <w:sz w:val="32"/>
          <w:szCs w:val="32"/>
        </w:rPr>
        <w:t xml:space="preserve"> </w:t>
      </w:r>
      <w:r>
        <w:rPr>
          <w:rFonts w:hint="eastAsia" w:ascii="楷体" w:hAnsi="楷体" w:eastAsia="楷体"/>
          <w:sz w:val="32"/>
          <w:szCs w:val="32"/>
        </w:rPr>
        <w:t>一般规定</w:t>
      </w:r>
    </w:p>
    <w:p>
      <w:pPr>
        <w:spacing w:line="600" w:lineRule="exact"/>
        <w:ind w:firstLine="636"/>
        <w:rPr>
          <w:rFonts w:ascii="Times New Roman" w:hAnsi="Times New Roman" w:eastAsia="仿宋"/>
          <w:sz w:val="32"/>
          <w:szCs w:val="32"/>
        </w:rPr>
      </w:pPr>
      <w:r>
        <w:rPr>
          <w:rFonts w:ascii="黑体" w:hAnsi="黑体" w:eastAsia="黑体"/>
          <w:sz w:val="32"/>
          <w:szCs w:val="32"/>
        </w:rPr>
        <w:t>第四十</w:t>
      </w:r>
      <w:r>
        <w:rPr>
          <w:rFonts w:hint="eastAsia" w:ascii="黑体" w:hAnsi="黑体" w:eastAsia="黑体"/>
          <w:sz w:val="32"/>
          <w:szCs w:val="32"/>
        </w:rPr>
        <w:t>九</w:t>
      </w:r>
      <w:r>
        <w:rPr>
          <w:rFonts w:ascii="黑体" w:hAnsi="黑体" w:eastAsia="黑体"/>
          <w:sz w:val="32"/>
          <w:szCs w:val="32"/>
        </w:rPr>
        <w:t>条</w:t>
      </w:r>
      <w:r>
        <w:rPr>
          <w:rFonts w:hint="eastAsia" w:ascii="黑体" w:hAnsi="黑体" w:eastAsia="黑体"/>
          <w:sz w:val="32"/>
          <w:szCs w:val="32"/>
        </w:rPr>
        <w:t xml:space="preserve"> </w:t>
      </w:r>
      <w:r>
        <w:rPr>
          <w:rFonts w:ascii="黑体" w:hAnsi="黑体" w:eastAsia="黑体"/>
          <w:sz w:val="32"/>
          <w:szCs w:val="32"/>
        </w:rPr>
        <w:t xml:space="preserve"> </w:t>
      </w:r>
      <w:r>
        <w:rPr>
          <w:rFonts w:ascii="Times New Roman" w:hAnsi="Times New Roman" w:eastAsia="仿宋"/>
          <w:sz w:val="32"/>
          <w:szCs w:val="32"/>
        </w:rPr>
        <w:t>上市公司实施要约回购，应当公平对待公司所有股东。</w:t>
      </w:r>
    </w:p>
    <w:p>
      <w:pPr>
        <w:spacing w:line="600" w:lineRule="exact"/>
        <w:ind w:firstLine="636"/>
        <w:rPr>
          <w:rFonts w:ascii="Times New Roman" w:hAnsi="Times New Roman" w:eastAsia="仿宋"/>
          <w:sz w:val="32"/>
          <w:szCs w:val="32"/>
        </w:rPr>
      </w:pPr>
      <w:r>
        <w:rPr>
          <w:rFonts w:ascii="黑体" w:hAnsi="黑体" w:eastAsia="黑体"/>
          <w:sz w:val="32"/>
          <w:szCs w:val="32"/>
        </w:rPr>
        <w:t>第</w:t>
      </w:r>
      <w:r>
        <w:rPr>
          <w:rFonts w:hint="eastAsia" w:ascii="黑体" w:hAnsi="黑体" w:eastAsia="黑体"/>
          <w:sz w:val="32"/>
          <w:szCs w:val="32"/>
        </w:rPr>
        <w:t>五十</w:t>
      </w:r>
      <w:r>
        <w:rPr>
          <w:rFonts w:ascii="黑体" w:hAnsi="黑体" w:eastAsia="黑体"/>
          <w:sz w:val="32"/>
          <w:szCs w:val="32"/>
        </w:rPr>
        <w:t>条</w:t>
      </w:r>
      <w:r>
        <w:rPr>
          <w:rFonts w:hint="eastAsia" w:ascii="黑体" w:hAnsi="黑体" w:eastAsia="黑体"/>
          <w:sz w:val="32"/>
          <w:szCs w:val="32"/>
        </w:rPr>
        <w:t xml:space="preserve"> </w:t>
      </w:r>
      <w:r>
        <w:rPr>
          <w:rFonts w:ascii="黑体" w:hAnsi="黑体" w:eastAsia="黑体"/>
          <w:sz w:val="32"/>
          <w:szCs w:val="32"/>
        </w:rPr>
        <w:t xml:space="preserve"> </w:t>
      </w:r>
      <w:r>
        <w:rPr>
          <w:rFonts w:ascii="Times New Roman" w:hAnsi="Times New Roman" w:eastAsia="仿宋"/>
          <w:sz w:val="32"/>
          <w:szCs w:val="32"/>
        </w:rPr>
        <w:t>上市公司实施要约回购，应当符合本</w:t>
      </w:r>
      <w:r>
        <w:rPr>
          <w:rFonts w:hint="eastAsia" w:ascii="Times New Roman" w:hAnsi="Times New Roman" w:eastAsia="仿宋"/>
          <w:sz w:val="32"/>
          <w:szCs w:val="32"/>
        </w:rPr>
        <w:t>指引</w:t>
      </w:r>
      <w:r>
        <w:rPr>
          <w:rFonts w:ascii="Times New Roman" w:hAnsi="Times New Roman" w:eastAsia="仿宋"/>
          <w:sz w:val="32"/>
          <w:szCs w:val="32"/>
        </w:rPr>
        <w:t>第十</w:t>
      </w:r>
      <w:r>
        <w:rPr>
          <w:rFonts w:hint="eastAsia" w:ascii="Times New Roman" w:hAnsi="Times New Roman" w:eastAsia="仿宋"/>
          <w:sz w:val="32"/>
          <w:szCs w:val="32"/>
        </w:rPr>
        <w:t>三</w:t>
      </w:r>
      <w:r>
        <w:rPr>
          <w:rFonts w:ascii="Times New Roman" w:hAnsi="Times New Roman" w:eastAsia="仿宋"/>
          <w:sz w:val="32"/>
          <w:szCs w:val="32"/>
        </w:rPr>
        <w:t>条至第十</w:t>
      </w:r>
      <w:r>
        <w:rPr>
          <w:rFonts w:hint="eastAsia" w:ascii="Times New Roman" w:hAnsi="Times New Roman" w:eastAsia="仿宋"/>
          <w:sz w:val="32"/>
          <w:szCs w:val="32"/>
        </w:rPr>
        <w:t>五</w:t>
      </w:r>
      <w:r>
        <w:rPr>
          <w:rFonts w:ascii="Times New Roman" w:hAnsi="Times New Roman" w:eastAsia="仿宋"/>
          <w:sz w:val="32"/>
          <w:szCs w:val="32"/>
        </w:rPr>
        <w:t>条、第</w:t>
      </w:r>
      <w:r>
        <w:rPr>
          <w:rFonts w:hint="eastAsia" w:ascii="Times New Roman" w:hAnsi="Times New Roman" w:eastAsia="仿宋"/>
          <w:sz w:val="32"/>
          <w:szCs w:val="32"/>
        </w:rPr>
        <w:t>十七</w:t>
      </w:r>
      <w:r>
        <w:rPr>
          <w:rFonts w:ascii="Times New Roman" w:hAnsi="Times New Roman" w:eastAsia="仿宋"/>
          <w:sz w:val="32"/>
          <w:szCs w:val="32"/>
        </w:rPr>
        <w:t>条、第</w:t>
      </w:r>
      <w:r>
        <w:rPr>
          <w:rFonts w:hint="eastAsia" w:ascii="Times New Roman" w:hAnsi="Times New Roman" w:eastAsia="仿宋"/>
          <w:sz w:val="32"/>
          <w:szCs w:val="32"/>
        </w:rPr>
        <w:t>十九</w:t>
      </w:r>
      <w:r>
        <w:rPr>
          <w:rFonts w:ascii="Times New Roman" w:hAnsi="Times New Roman" w:eastAsia="仿宋"/>
          <w:sz w:val="32"/>
          <w:szCs w:val="32"/>
        </w:rPr>
        <w:t>条至第</w:t>
      </w:r>
      <w:r>
        <w:rPr>
          <w:rFonts w:hint="eastAsia" w:ascii="Times New Roman" w:hAnsi="Times New Roman" w:eastAsia="仿宋"/>
          <w:sz w:val="32"/>
          <w:szCs w:val="32"/>
        </w:rPr>
        <w:t>二十一</w:t>
      </w:r>
      <w:r>
        <w:rPr>
          <w:rFonts w:ascii="Times New Roman" w:hAnsi="Times New Roman" w:eastAsia="仿宋"/>
          <w:sz w:val="32"/>
          <w:szCs w:val="32"/>
        </w:rPr>
        <w:t>条的规定。</w:t>
      </w:r>
    </w:p>
    <w:p>
      <w:pPr>
        <w:spacing w:line="600" w:lineRule="exact"/>
        <w:ind w:firstLine="636"/>
        <w:rPr>
          <w:rFonts w:ascii="Times New Roman" w:hAnsi="Times New Roman" w:eastAsia="仿宋"/>
          <w:sz w:val="32"/>
          <w:szCs w:val="32"/>
        </w:rPr>
      </w:pPr>
      <w:r>
        <w:rPr>
          <w:rFonts w:hint="eastAsia" w:ascii="Times New Roman" w:hAnsi="Times New Roman" w:eastAsia="仿宋"/>
          <w:sz w:val="32"/>
          <w:szCs w:val="32"/>
        </w:rPr>
        <w:t>要约</w:t>
      </w:r>
      <w:r>
        <w:rPr>
          <w:rFonts w:ascii="Times New Roman" w:hAnsi="Times New Roman" w:eastAsia="仿宋"/>
          <w:sz w:val="32"/>
          <w:szCs w:val="32"/>
        </w:rPr>
        <w:t>回购的要约期限不得少于30个自然日，且不得超过60个自然日</w:t>
      </w:r>
      <w:r>
        <w:rPr>
          <w:rFonts w:hint="eastAsia" w:ascii="Times New Roman" w:hAnsi="Times New Roman" w:eastAsia="仿宋"/>
          <w:sz w:val="32"/>
          <w:szCs w:val="32"/>
        </w:rPr>
        <w:t>。</w:t>
      </w:r>
    </w:p>
    <w:p>
      <w:pPr>
        <w:spacing w:line="600" w:lineRule="exact"/>
        <w:ind w:firstLine="636"/>
        <w:rPr>
          <w:rFonts w:ascii="Times New Roman" w:hAnsi="Times New Roman" w:eastAsia="仿宋"/>
          <w:sz w:val="32"/>
          <w:szCs w:val="32"/>
        </w:rPr>
      </w:pPr>
      <w:r>
        <w:rPr>
          <w:rFonts w:ascii="黑体" w:hAnsi="黑体" w:eastAsia="黑体"/>
          <w:sz w:val="32"/>
          <w:szCs w:val="32"/>
        </w:rPr>
        <w:t>第</w:t>
      </w:r>
      <w:r>
        <w:rPr>
          <w:rFonts w:hint="eastAsia" w:ascii="黑体" w:hAnsi="黑体" w:eastAsia="黑体"/>
          <w:sz w:val="32"/>
          <w:szCs w:val="32"/>
        </w:rPr>
        <w:t>五十一</w:t>
      </w:r>
      <w:r>
        <w:rPr>
          <w:rFonts w:ascii="黑体" w:hAnsi="黑体" w:eastAsia="黑体"/>
          <w:sz w:val="32"/>
          <w:szCs w:val="32"/>
        </w:rPr>
        <w:t>条</w:t>
      </w:r>
      <w:r>
        <w:rPr>
          <w:rFonts w:hint="eastAsia" w:ascii="黑体" w:hAnsi="黑体" w:eastAsia="黑体"/>
          <w:sz w:val="32"/>
          <w:szCs w:val="32"/>
        </w:rPr>
        <w:t xml:space="preserve"> </w:t>
      </w:r>
      <w:r>
        <w:rPr>
          <w:rFonts w:ascii="黑体" w:hAnsi="黑体" w:eastAsia="黑体"/>
          <w:sz w:val="32"/>
          <w:szCs w:val="32"/>
        </w:rPr>
        <w:t xml:space="preserve"> </w:t>
      </w:r>
      <w:r>
        <w:rPr>
          <w:rFonts w:ascii="Times New Roman" w:hAnsi="Times New Roman" w:eastAsia="仿宋"/>
          <w:sz w:val="32"/>
          <w:szCs w:val="32"/>
        </w:rPr>
        <w:t>要约回购应当以固定价格实施，</w:t>
      </w:r>
      <w:r>
        <w:rPr>
          <w:rFonts w:hint="eastAsia" w:ascii="Times New Roman" w:hAnsi="Times New Roman" w:eastAsia="仿宋"/>
          <w:sz w:val="32"/>
          <w:szCs w:val="32"/>
        </w:rPr>
        <w:t>要约价格不得低于回购股份方案公告日前30个交易日该种股票每日加权平均价的算术平均值</w:t>
      </w:r>
      <w:r>
        <w:rPr>
          <w:rFonts w:ascii="Times New Roman" w:hAnsi="Times New Roman" w:eastAsia="仿宋"/>
          <w:sz w:val="32"/>
          <w:szCs w:val="32"/>
        </w:rPr>
        <w:t>。</w:t>
      </w:r>
    </w:p>
    <w:p>
      <w:pPr>
        <w:spacing w:line="600" w:lineRule="exact"/>
        <w:jc w:val="center"/>
        <w:outlineLvl w:val="1"/>
        <w:rPr>
          <w:rFonts w:ascii="楷体" w:hAnsi="楷体" w:eastAsia="楷体"/>
          <w:sz w:val="32"/>
          <w:szCs w:val="32"/>
        </w:rPr>
      </w:pPr>
      <w:r>
        <w:rPr>
          <w:rFonts w:hint="eastAsia" w:ascii="楷体" w:hAnsi="楷体" w:eastAsia="楷体"/>
          <w:sz w:val="32"/>
          <w:szCs w:val="32"/>
        </w:rPr>
        <w:t>第二节  实施</w:t>
      </w:r>
      <w:r>
        <w:rPr>
          <w:rFonts w:ascii="楷体" w:hAnsi="楷体" w:eastAsia="楷体"/>
          <w:sz w:val="32"/>
          <w:szCs w:val="32"/>
        </w:rPr>
        <w:t>程序和信息披露</w:t>
      </w:r>
    </w:p>
    <w:p>
      <w:pPr>
        <w:spacing w:line="600" w:lineRule="exact"/>
        <w:ind w:firstLine="636"/>
        <w:rPr>
          <w:rFonts w:ascii="Times New Roman" w:hAnsi="Times New Roman" w:eastAsia="仿宋"/>
          <w:sz w:val="32"/>
          <w:szCs w:val="32"/>
        </w:rPr>
      </w:pPr>
      <w:r>
        <w:rPr>
          <w:rFonts w:ascii="黑体" w:hAnsi="黑体" w:eastAsia="黑体"/>
          <w:sz w:val="32"/>
          <w:szCs w:val="32"/>
        </w:rPr>
        <w:t>第</w:t>
      </w:r>
      <w:r>
        <w:rPr>
          <w:rFonts w:hint="eastAsia" w:ascii="黑体" w:hAnsi="黑体" w:eastAsia="黑体"/>
          <w:sz w:val="32"/>
          <w:szCs w:val="32"/>
        </w:rPr>
        <w:t>五十二</w:t>
      </w:r>
      <w:r>
        <w:rPr>
          <w:rFonts w:ascii="黑体" w:hAnsi="黑体" w:eastAsia="黑体"/>
          <w:sz w:val="32"/>
          <w:szCs w:val="32"/>
        </w:rPr>
        <w:t>条</w:t>
      </w:r>
      <w:r>
        <w:rPr>
          <w:rFonts w:hint="eastAsia" w:ascii="黑体" w:hAnsi="黑体" w:eastAsia="黑体"/>
          <w:sz w:val="32"/>
          <w:szCs w:val="32"/>
        </w:rPr>
        <w:t xml:space="preserve"> </w:t>
      </w:r>
      <w:r>
        <w:rPr>
          <w:rFonts w:ascii="黑体" w:hAnsi="黑体" w:eastAsia="黑体"/>
          <w:sz w:val="32"/>
          <w:szCs w:val="32"/>
        </w:rPr>
        <w:t xml:space="preserve"> </w:t>
      </w:r>
      <w:r>
        <w:rPr>
          <w:rFonts w:ascii="Times New Roman" w:hAnsi="Times New Roman" w:eastAsia="仿宋"/>
          <w:sz w:val="32"/>
          <w:szCs w:val="32"/>
        </w:rPr>
        <w:t>上市公司实施要约回购，应当按照本</w:t>
      </w:r>
      <w:r>
        <w:rPr>
          <w:rFonts w:hint="eastAsia" w:ascii="Times New Roman" w:hAnsi="Times New Roman" w:eastAsia="仿宋"/>
          <w:sz w:val="32"/>
          <w:szCs w:val="32"/>
        </w:rPr>
        <w:t>指引</w:t>
      </w:r>
      <w:r>
        <w:rPr>
          <w:rFonts w:ascii="Times New Roman" w:hAnsi="Times New Roman" w:eastAsia="仿宋"/>
          <w:sz w:val="32"/>
          <w:szCs w:val="32"/>
        </w:rPr>
        <w:t>第二十</w:t>
      </w:r>
      <w:r>
        <w:rPr>
          <w:rFonts w:hint="eastAsia" w:ascii="Times New Roman" w:hAnsi="Times New Roman" w:eastAsia="仿宋"/>
          <w:sz w:val="32"/>
          <w:szCs w:val="32"/>
        </w:rPr>
        <w:t>二</w:t>
      </w:r>
      <w:r>
        <w:rPr>
          <w:rFonts w:ascii="Times New Roman" w:hAnsi="Times New Roman" w:eastAsia="仿宋"/>
          <w:sz w:val="32"/>
          <w:szCs w:val="32"/>
        </w:rPr>
        <w:t>条至第</w:t>
      </w:r>
      <w:r>
        <w:rPr>
          <w:rFonts w:hint="eastAsia" w:ascii="Times New Roman" w:hAnsi="Times New Roman" w:eastAsia="仿宋"/>
          <w:sz w:val="32"/>
          <w:szCs w:val="32"/>
        </w:rPr>
        <w:t>三十三</w:t>
      </w:r>
      <w:r>
        <w:rPr>
          <w:rFonts w:ascii="Times New Roman" w:hAnsi="Times New Roman" w:eastAsia="仿宋"/>
          <w:sz w:val="32"/>
          <w:szCs w:val="32"/>
        </w:rPr>
        <w:t>条的规定履行相关程序及信息披露义务。其中，回购股份方案除应当载明本</w:t>
      </w:r>
      <w:r>
        <w:rPr>
          <w:rFonts w:hint="eastAsia" w:ascii="Times New Roman" w:hAnsi="Times New Roman" w:eastAsia="仿宋"/>
          <w:sz w:val="32"/>
          <w:szCs w:val="32"/>
        </w:rPr>
        <w:t>指引</w:t>
      </w:r>
      <w:r>
        <w:rPr>
          <w:rFonts w:ascii="Times New Roman" w:hAnsi="Times New Roman" w:eastAsia="仿宋"/>
          <w:sz w:val="32"/>
          <w:szCs w:val="32"/>
        </w:rPr>
        <w:t>第二十</w:t>
      </w:r>
      <w:r>
        <w:rPr>
          <w:rFonts w:hint="eastAsia" w:ascii="Times New Roman" w:hAnsi="Times New Roman" w:eastAsia="仿宋"/>
          <w:sz w:val="32"/>
          <w:szCs w:val="32"/>
        </w:rPr>
        <w:t>六</w:t>
      </w:r>
      <w:r>
        <w:rPr>
          <w:rFonts w:ascii="Times New Roman" w:hAnsi="Times New Roman" w:eastAsia="仿宋"/>
          <w:sz w:val="32"/>
          <w:szCs w:val="32"/>
        </w:rPr>
        <w:t>条规定的内容外，还应当包括对股东同意接受回购要约（以下简称预受要约）及撤回预受要约方式和程序</w:t>
      </w:r>
      <w:r>
        <w:rPr>
          <w:rFonts w:hint="eastAsia" w:ascii="Times New Roman" w:hAnsi="Times New Roman" w:eastAsia="仿宋"/>
          <w:sz w:val="32"/>
          <w:szCs w:val="32"/>
        </w:rPr>
        <w:t>，以及股东委托办理要约回购中相关股份预受、撤回、结算、过户登记等事宜的证券公司名称及其联系方式</w:t>
      </w:r>
      <w:r>
        <w:rPr>
          <w:rFonts w:ascii="Times New Roman" w:hAnsi="Times New Roman" w:eastAsia="仿宋"/>
          <w:sz w:val="32"/>
          <w:szCs w:val="32"/>
        </w:rPr>
        <w:t>。</w:t>
      </w:r>
    </w:p>
    <w:p>
      <w:pPr>
        <w:spacing w:line="600" w:lineRule="exact"/>
        <w:ind w:firstLine="636"/>
        <w:rPr>
          <w:rFonts w:ascii="Times New Roman" w:hAnsi="Times New Roman" w:eastAsia="仿宋"/>
          <w:sz w:val="32"/>
          <w:szCs w:val="32"/>
        </w:rPr>
      </w:pPr>
      <w:r>
        <w:rPr>
          <w:rFonts w:ascii="黑体" w:hAnsi="黑体" w:eastAsia="黑体"/>
          <w:sz w:val="32"/>
          <w:szCs w:val="32"/>
        </w:rPr>
        <w:t>第五十</w:t>
      </w:r>
      <w:r>
        <w:rPr>
          <w:rFonts w:hint="eastAsia" w:ascii="黑体" w:hAnsi="黑体" w:eastAsia="黑体"/>
          <w:sz w:val="32"/>
          <w:szCs w:val="32"/>
        </w:rPr>
        <w:t>三</w:t>
      </w:r>
      <w:r>
        <w:rPr>
          <w:rFonts w:ascii="黑体" w:hAnsi="黑体" w:eastAsia="黑体"/>
          <w:sz w:val="32"/>
          <w:szCs w:val="32"/>
        </w:rPr>
        <w:t>条</w:t>
      </w:r>
      <w:r>
        <w:rPr>
          <w:rFonts w:hint="eastAsia" w:ascii="黑体" w:hAnsi="黑体" w:eastAsia="黑体"/>
          <w:sz w:val="32"/>
          <w:szCs w:val="32"/>
        </w:rPr>
        <w:t xml:space="preserve"> </w:t>
      </w:r>
      <w:r>
        <w:rPr>
          <w:rFonts w:ascii="黑体" w:hAnsi="黑体" w:eastAsia="黑体"/>
          <w:sz w:val="32"/>
          <w:szCs w:val="32"/>
        </w:rPr>
        <w:t xml:space="preserve"> </w:t>
      </w:r>
      <w:r>
        <w:rPr>
          <w:rFonts w:ascii="Times New Roman" w:hAnsi="Times New Roman" w:eastAsia="仿宋"/>
          <w:sz w:val="32"/>
          <w:szCs w:val="32"/>
        </w:rPr>
        <w:t>上市公司应当在</w:t>
      </w:r>
      <w:r>
        <w:rPr>
          <w:rFonts w:hint="eastAsia" w:ascii="Times New Roman" w:hAnsi="Times New Roman" w:eastAsia="仿宋"/>
          <w:sz w:val="32"/>
          <w:szCs w:val="32"/>
        </w:rPr>
        <w:t>披露回购报告书的同时</w:t>
      </w:r>
      <w:r>
        <w:rPr>
          <w:rFonts w:ascii="Times New Roman" w:hAnsi="Times New Roman" w:eastAsia="仿宋"/>
          <w:sz w:val="32"/>
          <w:szCs w:val="32"/>
        </w:rPr>
        <w:t>，按照中国结算有关规定申请开立回购专户并</w:t>
      </w:r>
      <w:r>
        <w:rPr>
          <w:rFonts w:hint="eastAsia" w:ascii="仿宋" w:hAnsi="仿宋" w:eastAsia="仿宋"/>
          <w:color w:val="000000" w:themeColor="text1"/>
          <w:sz w:val="32"/>
          <w:szCs w:val="32"/>
          <w14:textFill>
            <w14:solidFill>
              <w14:schemeClr w14:val="tx1"/>
            </w14:solidFill>
          </w14:textFill>
        </w:rPr>
        <w:t>将回购所需资金全额存放于</w:t>
      </w:r>
      <w:r>
        <w:rPr>
          <w:rFonts w:hint="eastAsia" w:ascii="仿宋" w:hAnsi="仿宋" w:eastAsia="仿宋"/>
          <w:color w:val="000000" w:themeColor="text1"/>
          <w:sz w:val="32"/>
          <w:szCs w:val="32"/>
          <w:lang w:eastAsia="zh-CN"/>
          <w14:textFill>
            <w14:solidFill>
              <w14:schemeClr w14:val="tx1"/>
            </w14:solidFill>
          </w14:textFill>
        </w:rPr>
        <w:t>中国结算</w:t>
      </w:r>
      <w:r>
        <w:rPr>
          <w:rFonts w:hint="eastAsia" w:ascii="仿宋" w:hAnsi="仿宋" w:eastAsia="仿宋"/>
          <w:color w:val="000000" w:themeColor="text1"/>
          <w:sz w:val="32"/>
          <w:szCs w:val="32"/>
          <w14:textFill>
            <w14:solidFill>
              <w14:schemeClr w14:val="tx1"/>
            </w14:solidFill>
          </w14:textFill>
        </w:rPr>
        <w:t>指定的银行账户，取得履约保证证明文件</w:t>
      </w:r>
      <w:r>
        <w:rPr>
          <w:rFonts w:ascii="Times New Roman" w:hAnsi="Times New Roman" w:eastAsia="仿宋"/>
          <w:sz w:val="32"/>
          <w:szCs w:val="32"/>
        </w:rPr>
        <w:t>。</w:t>
      </w:r>
    </w:p>
    <w:p>
      <w:pPr>
        <w:spacing w:line="600" w:lineRule="exact"/>
        <w:ind w:firstLine="640" w:firstLineChars="200"/>
        <w:rPr>
          <w:rFonts w:ascii="仿宋" w:hAnsi="仿宋" w:eastAsia="仿宋"/>
          <w:color w:val="000000" w:themeColor="text1"/>
          <w:sz w:val="32"/>
          <w:szCs w:val="32"/>
          <w14:textFill>
            <w14:solidFill>
              <w14:schemeClr w14:val="tx1"/>
            </w14:solidFill>
          </w14:textFill>
        </w:rPr>
      </w:pPr>
      <w:r>
        <w:rPr>
          <w:rFonts w:ascii="黑体" w:hAnsi="黑体" w:eastAsia="黑体"/>
          <w:sz w:val="32"/>
          <w:szCs w:val="32"/>
        </w:rPr>
        <w:t>第五十</w:t>
      </w:r>
      <w:r>
        <w:rPr>
          <w:rFonts w:hint="eastAsia" w:ascii="黑体" w:hAnsi="黑体" w:eastAsia="黑体"/>
          <w:sz w:val="32"/>
          <w:szCs w:val="32"/>
        </w:rPr>
        <w:t>四</w:t>
      </w:r>
      <w:r>
        <w:rPr>
          <w:rFonts w:ascii="黑体" w:hAnsi="黑体" w:eastAsia="黑体"/>
          <w:sz w:val="32"/>
          <w:szCs w:val="32"/>
        </w:rPr>
        <w:t>条</w:t>
      </w:r>
      <w:r>
        <w:rPr>
          <w:rFonts w:hint="eastAsia" w:ascii="黑体" w:hAnsi="黑体" w:eastAsia="黑体"/>
          <w:sz w:val="32"/>
          <w:szCs w:val="32"/>
        </w:rPr>
        <w:t xml:space="preserve"> </w:t>
      </w:r>
      <w:r>
        <w:rPr>
          <w:rFonts w:ascii="黑体" w:hAnsi="黑体" w:eastAsia="黑体"/>
          <w:sz w:val="32"/>
          <w:szCs w:val="32"/>
        </w:rPr>
        <w:t xml:space="preserve"> </w:t>
      </w:r>
      <w:r>
        <w:rPr>
          <w:rFonts w:ascii="Times New Roman" w:hAnsi="Times New Roman" w:eastAsia="仿宋"/>
          <w:sz w:val="32"/>
          <w:szCs w:val="32"/>
        </w:rPr>
        <w:t>上市公司应当在开立回购专户并办理履约保证手续后，</w:t>
      </w:r>
      <w:r>
        <w:rPr>
          <w:rFonts w:hint="eastAsia" w:ascii="仿宋" w:hAnsi="仿宋" w:eastAsia="仿宋"/>
          <w:color w:val="000000" w:themeColor="text1"/>
          <w:sz w:val="32"/>
          <w:szCs w:val="32"/>
          <w14:textFill>
            <w14:solidFill>
              <w14:schemeClr w14:val="tx1"/>
            </w14:solidFill>
          </w14:textFill>
        </w:rPr>
        <w:t>向本所申请要约回购证券代码（以下简称回购要约代码），并提交以下文件：</w:t>
      </w:r>
    </w:p>
    <w:p>
      <w:pPr>
        <w:tabs>
          <w:tab w:val="right" w:pos="8306"/>
        </w:tabs>
        <w:spacing w:line="600" w:lineRule="exact"/>
        <w:ind w:firstLine="640" w:firstLineChars="200"/>
        <w:rPr>
          <w:rFonts w:ascii="Times New Roman" w:hAnsi="Times New Roman" w:eastAsia="仿宋"/>
          <w:color w:val="000000" w:themeColor="text1"/>
          <w:sz w:val="32"/>
          <w:szCs w:val="32"/>
          <w14:textFill>
            <w14:solidFill>
              <w14:schemeClr w14:val="tx1"/>
            </w14:solidFill>
          </w14:textFill>
        </w:rPr>
      </w:pPr>
      <w:r>
        <w:rPr>
          <w:rFonts w:hint="eastAsia" w:ascii="仿宋" w:hAnsi="仿宋" w:eastAsia="仿宋"/>
          <w:color w:val="000000" w:themeColor="text1"/>
          <w:sz w:val="32"/>
          <w:szCs w:val="32"/>
          <w14:textFill>
            <w14:solidFill>
              <w14:schemeClr w14:val="tx1"/>
            </w14:solidFill>
          </w14:textFill>
        </w:rPr>
        <w:t>（一）要约回购证券代码申请</w:t>
      </w:r>
      <w:r>
        <w:rPr>
          <w:rFonts w:ascii="Times New Roman" w:hAnsi="Times New Roman" w:eastAsia="仿宋"/>
          <w:color w:val="000000" w:themeColor="text1"/>
          <w:sz w:val="32"/>
          <w:szCs w:val="32"/>
          <w14:textFill>
            <w14:solidFill>
              <w14:schemeClr w14:val="tx1"/>
            </w14:solidFill>
          </w14:textFill>
        </w:rPr>
        <w:t>表（附件3）；</w:t>
      </w:r>
    </w:p>
    <w:p>
      <w:pPr>
        <w:spacing w:line="600" w:lineRule="exact"/>
        <w:ind w:firstLine="640" w:firstLineChars="200"/>
        <w:rPr>
          <w:rFonts w:ascii="仿宋" w:hAnsi="仿宋" w:eastAsia="仿宋"/>
          <w:color w:val="000000" w:themeColor="text1"/>
          <w:sz w:val="32"/>
          <w:szCs w:val="32"/>
          <w14:textFill>
            <w14:solidFill>
              <w14:schemeClr w14:val="tx1"/>
            </w14:solidFill>
          </w14:textFill>
        </w:rPr>
      </w:pPr>
      <w:r>
        <w:rPr>
          <w:rFonts w:hint="eastAsia" w:ascii="仿宋" w:hAnsi="仿宋" w:eastAsia="仿宋"/>
          <w:color w:val="000000" w:themeColor="text1"/>
          <w:sz w:val="32"/>
          <w:szCs w:val="32"/>
          <w14:textFill>
            <w14:solidFill>
              <w14:schemeClr w14:val="tx1"/>
            </w14:solidFill>
          </w14:textFill>
        </w:rPr>
        <w:t>（二）履约保证证明文件；</w:t>
      </w:r>
    </w:p>
    <w:p>
      <w:pPr>
        <w:spacing w:line="600" w:lineRule="exact"/>
        <w:ind w:firstLine="640" w:firstLineChars="200"/>
        <w:rPr>
          <w:rFonts w:ascii="仿宋" w:hAnsi="仿宋" w:eastAsia="仿宋"/>
          <w:color w:val="000000" w:themeColor="text1"/>
          <w:sz w:val="32"/>
          <w:szCs w:val="32"/>
          <w14:textFill>
            <w14:solidFill>
              <w14:schemeClr w14:val="tx1"/>
            </w14:solidFill>
          </w14:textFill>
        </w:rPr>
      </w:pPr>
      <w:r>
        <w:rPr>
          <w:rFonts w:hint="eastAsia" w:ascii="仿宋" w:hAnsi="仿宋" w:eastAsia="仿宋"/>
          <w:color w:val="000000" w:themeColor="text1"/>
          <w:sz w:val="32"/>
          <w:szCs w:val="32"/>
          <w14:textFill>
            <w14:solidFill>
              <w14:schemeClr w14:val="tx1"/>
            </w14:solidFill>
          </w14:textFill>
        </w:rPr>
        <w:t>（三）国家</w:t>
      </w:r>
      <w:r>
        <w:rPr>
          <w:rFonts w:ascii="仿宋" w:hAnsi="仿宋" w:eastAsia="仿宋"/>
          <w:color w:val="000000" w:themeColor="text1"/>
          <w:sz w:val="32"/>
          <w:szCs w:val="32"/>
          <w14:textFill>
            <w14:solidFill>
              <w14:schemeClr w14:val="tx1"/>
            </w14:solidFill>
          </w14:textFill>
        </w:rPr>
        <w:t>相关部门的批准文件及</w:t>
      </w:r>
      <w:r>
        <w:rPr>
          <w:rFonts w:hint="eastAsia" w:ascii="仿宋" w:hAnsi="仿宋" w:eastAsia="仿宋"/>
          <w:color w:val="000000" w:themeColor="text1"/>
          <w:sz w:val="32"/>
          <w:szCs w:val="32"/>
          <w14:textFill>
            <w14:solidFill>
              <w14:schemeClr w14:val="tx1"/>
            </w14:solidFill>
          </w14:textFill>
        </w:rPr>
        <w:t>律师出具的专项核查</w:t>
      </w:r>
      <w:r>
        <w:rPr>
          <w:rFonts w:ascii="仿宋" w:hAnsi="仿宋" w:eastAsia="仿宋"/>
          <w:color w:val="000000" w:themeColor="text1"/>
          <w:sz w:val="32"/>
          <w:szCs w:val="32"/>
          <w14:textFill>
            <w14:solidFill>
              <w14:schemeClr w14:val="tx1"/>
            </w14:solidFill>
          </w14:textFill>
        </w:rPr>
        <w:t>意见</w:t>
      </w:r>
      <w:r>
        <w:rPr>
          <w:rFonts w:hint="eastAsia" w:ascii="仿宋" w:hAnsi="仿宋" w:eastAsia="仿宋"/>
          <w:color w:val="000000" w:themeColor="text1"/>
          <w:sz w:val="32"/>
          <w:szCs w:val="32"/>
          <w14:textFill>
            <w14:solidFill>
              <w14:schemeClr w14:val="tx1"/>
            </w14:solidFill>
          </w14:textFill>
        </w:rPr>
        <w:t>（如有）</w:t>
      </w:r>
      <w:r>
        <w:rPr>
          <w:rFonts w:ascii="仿宋" w:hAnsi="仿宋" w:eastAsia="仿宋"/>
          <w:color w:val="000000" w:themeColor="text1"/>
          <w:sz w:val="32"/>
          <w:szCs w:val="32"/>
          <w14:textFill>
            <w14:solidFill>
              <w14:schemeClr w14:val="tx1"/>
            </w14:solidFill>
          </w14:textFill>
        </w:rPr>
        <w:t>；</w:t>
      </w:r>
    </w:p>
    <w:p>
      <w:pPr>
        <w:tabs>
          <w:tab w:val="left" w:pos="7132"/>
        </w:tabs>
        <w:spacing w:line="600" w:lineRule="exact"/>
        <w:ind w:firstLine="640" w:firstLineChars="200"/>
        <w:rPr>
          <w:rFonts w:ascii="仿宋" w:hAnsi="仿宋" w:eastAsia="仿宋"/>
          <w:color w:val="000000" w:themeColor="text1"/>
          <w:sz w:val="32"/>
          <w:szCs w:val="32"/>
          <w14:textFill>
            <w14:solidFill>
              <w14:schemeClr w14:val="tx1"/>
            </w14:solidFill>
          </w14:textFill>
        </w:rPr>
      </w:pPr>
      <w:r>
        <w:rPr>
          <w:rFonts w:hint="eastAsia" w:ascii="仿宋" w:hAnsi="仿宋" w:eastAsia="仿宋"/>
          <w:color w:val="000000" w:themeColor="text1"/>
          <w:sz w:val="32"/>
          <w:szCs w:val="32"/>
          <w14:textFill>
            <w14:solidFill>
              <w14:schemeClr w14:val="tx1"/>
            </w14:solidFill>
          </w14:textFill>
        </w:rPr>
        <w:t>（四）本所要求提交的其他文件。</w:t>
      </w:r>
    </w:p>
    <w:p>
      <w:pPr>
        <w:spacing w:line="600" w:lineRule="exact"/>
        <w:ind w:firstLine="636"/>
        <w:rPr>
          <w:rFonts w:ascii="Times New Roman" w:hAnsi="Times New Roman" w:eastAsia="仿宋"/>
          <w:sz w:val="32"/>
          <w:szCs w:val="32"/>
        </w:rPr>
      </w:pPr>
      <w:r>
        <w:rPr>
          <w:rFonts w:hint="eastAsia" w:ascii="仿宋" w:hAnsi="仿宋" w:eastAsia="仿宋"/>
          <w:color w:val="000000" w:themeColor="text1"/>
          <w:sz w:val="32"/>
          <w:szCs w:val="32"/>
          <w14:textFill>
            <w14:solidFill>
              <w14:schemeClr w14:val="tx1"/>
            </w14:solidFill>
          </w14:textFill>
        </w:rPr>
        <w:t>本所对</w:t>
      </w:r>
      <w:r>
        <w:rPr>
          <w:rFonts w:ascii="Times New Roman" w:hAnsi="Times New Roman" w:eastAsia="仿宋"/>
          <w:sz w:val="32"/>
          <w:szCs w:val="32"/>
        </w:rPr>
        <w:t>回购要约代码</w:t>
      </w:r>
      <w:r>
        <w:rPr>
          <w:rFonts w:hint="eastAsia" w:ascii="仿宋" w:hAnsi="仿宋" w:eastAsia="仿宋"/>
          <w:color w:val="000000" w:themeColor="text1"/>
          <w:sz w:val="32"/>
          <w:szCs w:val="32"/>
          <w14:textFill>
            <w14:solidFill>
              <w14:schemeClr w14:val="tx1"/>
            </w14:solidFill>
          </w14:textFill>
        </w:rPr>
        <w:t>申请文件进行确认后，向上市公司发放</w:t>
      </w:r>
      <w:r>
        <w:rPr>
          <w:rFonts w:ascii="Times New Roman" w:hAnsi="Times New Roman" w:eastAsia="仿宋"/>
          <w:sz w:val="32"/>
          <w:szCs w:val="32"/>
        </w:rPr>
        <w:t>回购要约代码</w:t>
      </w:r>
      <w:r>
        <w:rPr>
          <w:rFonts w:hint="eastAsia" w:ascii="仿宋" w:hAnsi="仿宋" w:eastAsia="仿宋"/>
          <w:color w:val="000000" w:themeColor="text1"/>
          <w:sz w:val="32"/>
          <w:szCs w:val="32"/>
          <w14:textFill>
            <w14:solidFill>
              <w14:schemeClr w14:val="tx1"/>
            </w14:solidFill>
          </w14:textFill>
        </w:rPr>
        <w:t>。</w:t>
      </w:r>
      <w:r>
        <w:rPr>
          <w:rFonts w:ascii="Times New Roman" w:hAnsi="Times New Roman" w:eastAsia="仿宋"/>
          <w:sz w:val="32"/>
          <w:szCs w:val="32"/>
        </w:rPr>
        <w:t>上市公司应当在取得回购要约代码的</w:t>
      </w:r>
      <w:r>
        <w:rPr>
          <w:rFonts w:hint="eastAsia" w:ascii="Times New Roman" w:hAnsi="Times New Roman" w:eastAsia="仿宋"/>
          <w:sz w:val="32"/>
          <w:szCs w:val="32"/>
        </w:rPr>
        <w:t>次一交易日</w:t>
      </w:r>
      <w:r>
        <w:rPr>
          <w:rFonts w:ascii="Times New Roman" w:hAnsi="Times New Roman" w:eastAsia="仿宋"/>
          <w:sz w:val="32"/>
          <w:szCs w:val="32"/>
        </w:rPr>
        <w:t>披露要约回购开始接受申报的提示性公告，内容应包括回购要约代码、</w:t>
      </w:r>
      <w:r>
        <w:rPr>
          <w:rFonts w:hint="eastAsia" w:ascii="仿宋" w:hAnsi="仿宋" w:eastAsia="仿宋"/>
          <w:color w:val="000000" w:themeColor="text1"/>
          <w:sz w:val="32"/>
          <w:szCs w:val="32"/>
          <w14:textFill>
            <w14:solidFill>
              <w14:schemeClr w14:val="tx1"/>
            </w14:solidFill>
          </w14:textFill>
        </w:rPr>
        <w:t>预定回购股份数量及比例、回购价格、</w:t>
      </w:r>
      <w:r>
        <w:rPr>
          <w:rFonts w:ascii="Times New Roman" w:hAnsi="Times New Roman" w:eastAsia="仿宋"/>
          <w:sz w:val="32"/>
          <w:szCs w:val="32"/>
        </w:rPr>
        <w:t>要约期限等。</w:t>
      </w:r>
      <w:r>
        <w:rPr>
          <w:rFonts w:hint="eastAsia" w:ascii="Times New Roman" w:hAnsi="Times New Roman" w:eastAsia="仿宋"/>
          <w:sz w:val="32"/>
          <w:szCs w:val="32"/>
        </w:rPr>
        <w:t>要约期限自公告披露的次一交易日起算。</w:t>
      </w:r>
    </w:p>
    <w:p>
      <w:pPr>
        <w:spacing w:line="600" w:lineRule="exact"/>
        <w:ind w:firstLine="636"/>
        <w:rPr>
          <w:rFonts w:ascii="Times New Roman" w:hAnsi="Times New Roman" w:eastAsia="仿宋"/>
          <w:sz w:val="32"/>
          <w:szCs w:val="32"/>
        </w:rPr>
      </w:pPr>
      <w:r>
        <w:rPr>
          <w:rFonts w:hint="eastAsia" w:ascii="黑体" w:hAnsi="黑体" w:eastAsia="黑体"/>
          <w:sz w:val="32"/>
          <w:szCs w:val="32"/>
        </w:rPr>
        <w:t xml:space="preserve">第五十五条 </w:t>
      </w:r>
      <w:r>
        <w:rPr>
          <w:rFonts w:ascii="黑体" w:hAnsi="黑体" w:eastAsia="黑体"/>
          <w:sz w:val="32"/>
          <w:szCs w:val="32"/>
        </w:rPr>
        <w:t xml:space="preserve"> </w:t>
      </w:r>
      <w:r>
        <w:rPr>
          <w:rFonts w:hint="eastAsia" w:ascii="Times New Roman" w:hAnsi="Times New Roman" w:eastAsia="仿宋"/>
          <w:sz w:val="32"/>
          <w:szCs w:val="32"/>
        </w:rPr>
        <w:t>要约回购证券代码首三位代码为841。</w:t>
      </w:r>
    </w:p>
    <w:p>
      <w:pPr>
        <w:spacing w:line="600" w:lineRule="exact"/>
        <w:ind w:firstLine="636"/>
        <w:rPr>
          <w:rFonts w:ascii="Times New Roman" w:hAnsi="Times New Roman" w:eastAsia="仿宋"/>
          <w:sz w:val="32"/>
          <w:szCs w:val="32"/>
        </w:rPr>
      </w:pPr>
      <w:r>
        <w:rPr>
          <w:rFonts w:hint="eastAsia" w:ascii="黑体" w:hAnsi="黑体" w:eastAsia="黑体"/>
          <w:sz w:val="32"/>
          <w:szCs w:val="32"/>
        </w:rPr>
        <w:t xml:space="preserve">第五十六条 </w:t>
      </w:r>
      <w:r>
        <w:rPr>
          <w:rFonts w:ascii="黑体" w:hAnsi="黑体" w:eastAsia="黑体"/>
          <w:sz w:val="32"/>
          <w:szCs w:val="32"/>
        </w:rPr>
        <w:t xml:space="preserve"> </w:t>
      </w:r>
      <w:r>
        <w:rPr>
          <w:rFonts w:hint="eastAsia" w:ascii="Times New Roman" w:hAnsi="Times New Roman" w:eastAsia="仿宋"/>
          <w:sz w:val="32"/>
          <w:szCs w:val="32"/>
        </w:rPr>
        <w:t>要约回购证券简称首四位字符从公司股票证券简称中选取，后四位字符为“回购”。</w:t>
      </w:r>
    </w:p>
    <w:p>
      <w:pPr>
        <w:spacing w:line="600" w:lineRule="exact"/>
        <w:ind w:firstLine="636"/>
        <w:rPr>
          <w:rFonts w:ascii="Times New Roman" w:hAnsi="Times New Roman" w:eastAsia="仿宋"/>
          <w:sz w:val="32"/>
          <w:szCs w:val="32"/>
        </w:rPr>
      </w:pPr>
      <w:r>
        <w:rPr>
          <w:rFonts w:ascii="黑体" w:hAnsi="黑体" w:eastAsia="黑体"/>
          <w:sz w:val="32"/>
          <w:szCs w:val="32"/>
        </w:rPr>
        <w:t>第五十</w:t>
      </w:r>
      <w:r>
        <w:rPr>
          <w:rFonts w:hint="eastAsia" w:ascii="黑体" w:hAnsi="黑体" w:eastAsia="黑体"/>
          <w:sz w:val="32"/>
          <w:szCs w:val="32"/>
        </w:rPr>
        <w:t>七</w:t>
      </w:r>
      <w:r>
        <w:rPr>
          <w:rFonts w:ascii="黑体" w:hAnsi="黑体" w:eastAsia="黑体"/>
          <w:sz w:val="32"/>
          <w:szCs w:val="32"/>
        </w:rPr>
        <w:t>条</w:t>
      </w:r>
      <w:r>
        <w:rPr>
          <w:rFonts w:hint="eastAsia" w:ascii="黑体" w:hAnsi="黑体" w:eastAsia="黑体"/>
          <w:sz w:val="32"/>
          <w:szCs w:val="32"/>
        </w:rPr>
        <w:t xml:space="preserve"> </w:t>
      </w:r>
      <w:r>
        <w:rPr>
          <w:rFonts w:ascii="黑体" w:hAnsi="黑体" w:eastAsia="黑体"/>
          <w:sz w:val="32"/>
          <w:szCs w:val="32"/>
        </w:rPr>
        <w:t xml:space="preserve"> </w:t>
      </w:r>
      <w:r>
        <w:rPr>
          <w:rFonts w:ascii="Times New Roman" w:hAnsi="Times New Roman" w:eastAsia="仿宋"/>
          <w:sz w:val="32"/>
          <w:szCs w:val="32"/>
        </w:rPr>
        <w:t>要约期限内，上市公司应当至少披露</w:t>
      </w:r>
      <w:r>
        <w:rPr>
          <w:rFonts w:hint="eastAsia" w:ascii="Times New Roman" w:hAnsi="Times New Roman" w:eastAsia="仿宋"/>
          <w:sz w:val="32"/>
          <w:szCs w:val="32"/>
        </w:rPr>
        <w:t>3</w:t>
      </w:r>
      <w:r>
        <w:rPr>
          <w:rFonts w:ascii="Times New Roman" w:hAnsi="Times New Roman" w:eastAsia="仿宋"/>
          <w:sz w:val="32"/>
          <w:szCs w:val="32"/>
        </w:rPr>
        <w:t>次投资者可预受要约的提示性公告，内容应</w:t>
      </w:r>
      <w:r>
        <w:rPr>
          <w:rFonts w:hint="eastAsia" w:ascii="仿宋" w:hAnsi="仿宋" w:eastAsia="仿宋"/>
          <w:color w:val="000000" w:themeColor="text1"/>
          <w:sz w:val="32"/>
          <w:szCs w:val="32"/>
          <w14:textFill>
            <w14:solidFill>
              <w14:schemeClr w14:val="tx1"/>
            </w14:solidFill>
          </w14:textFill>
        </w:rPr>
        <w:t>包括预定回购股份数量及比例、回购价格、要约期限等，</w:t>
      </w:r>
      <w:r>
        <w:rPr>
          <w:rFonts w:ascii="Times New Roman" w:hAnsi="Times New Roman" w:eastAsia="仿宋"/>
          <w:sz w:val="32"/>
          <w:szCs w:val="32"/>
        </w:rPr>
        <w:t>提示投资者关注回购机会。</w:t>
      </w:r>
    </w:p>
    <w:p>
      <w:pPr>
        <w:spacing w:line="600" w:lineRule="exact"/>
        <w:ind w:firstLine="640" w:firstLineChars="200"/>
        <w:rPr>
          <w:rFonts w:ascii="仿宋" w:hAnsi="仿宋" w:eastAsia="仿宋"/>
          <w:color w:val="000000" w:themeColor="text1"/>
          <w:sz w:val="32"/>
          <w:szCs w:val="32"/>
          <w14:textFill>
            <w14:solidFill>
              <w14:schemeClr w14:val="tx1"/>
            </w14:solidFill>
          </w14:textFill>
        </w:rPr>
      </w:pPr>
      <w:r>
        <w:rPr>
          <w:rFonts w:hint="eastAsia" w:ascii="仿宋" w:hAnsi="仿宋" w:eastAsia="仿宋"/>
          <w:color w:val="000000" w:themeColor="text1"/>
          <w:sz w:val="32"/>
          <w:szCs w:val="32"/>
          <w14:textFill>
            <w14:solidFill>
              <w14:schemeClr w14:val="tx1"/>
            </w14:solidFill>
          </w14:textFill>
        </w:rPr>
        <w:t>上市公司应当根据要约期限合理安排提示性公告的披露时点。</w:t>
      </w:r>
    </w:p>
    <w:p>
      <w:pPr>
        <w:spacing w:line="600" w:lineRule="exact"/>
        <w:ind w:firstLine="636"/>
        <w:rPr>
          <w:rFonts w:ascii="Times New Roman" w:hAnsi="Times New Roman" w:eastAsia="仿宋"/>
          <w:sz w:val="32"/>
          <w:szCs w:val="32"/>
        </w:rPr>
      </w:pPr>
      <w:r>
        <w:rPr>
          <w:rFonts w:ascii="黑体" w:hAnsi="黑体" w:eastAsia="黑体"/>
          <w:sz w:val="32"/>
          <w:szCs w:val="32"/>
        </w:rPr>
        <w:t>第五十</w:t>
      </w:r>
      <w:r>
        <w:rPr>
          <w:rFonts w:hint="eastAsia" w:ascii="黑体" w:hAnsi="黑体" w:eastAsia="黑体"/>
          <w:sz w:val="32"/>
          <w:szCs w:val="32"/>
        </w:rPr>
        <w:t>八</w:t>
      </w:r>
      <w:r>
        <w:rPr>
          <w:rFonts w:ascii="黑体" w:hAnsi="黑体" w:eastAsia="黑体"/>
          <w:sz w:val="32"/>
          <w:szCs w:val="32"/>
        </w:rPr>
        <w:t>条</w:t>
      </w:r>
      <w:r>
        <w:rPr>
          <w:rFonts w:hint="eastAsia" w:ascii="黑体" w:hAnsi="黑体" w:eastAsia="黑体"/>
          <w:sz w:val="32"/>
          <w:szCs w:val="32"/>
        </w:rPr>
        <w:t xml:space="preserve"> </w:t>
      </w:r>
      <w:r>
        <w:rPr>
          <w:rFonts w:ascii="黑体" w:hAnsi="黑体" w:eastAsia="黑体"/>
          <w:sz w:val="32"/>
          <w:szCs w:val="32"/>
        </w:rPr>
        <w:t xml:space="preserve"> </w:t>
      </w:r>
      <w:r>
        <w:rPr>
          <w:rFonts w:ascii="Times New Roman" w:hAnsi="Times New Roman" w:eastAsia="仿宋"/>
          <w:sz w:val="32"/>
          <w:szCs w:val="32"/>
        </w:rPr>
        <w:t>预受要约和撤回预受要约、股份的临时保管和解除临时保管及其他相关事项，参照本所、中国结算关于要约收购的相关规定办理。</w:t>
      </w:r>
    </w:p>
    <w:p>
      <w:pPr>
        <w:spacing w:line="600" w:lineRule="exact"/>
        <w:ind w:firstLine="640" w:firstLineChars="200"/>
        <w:rPr>
          <w:rFonts w:ascii="Times New Roman" w:hAnsi="Times New Roman" w:eastAsia="仿宋"/>
          <w:color w:val="000000" w:themeColor="text1"/>
          <w:sz w:val="32"/>
          <w:szCs w:val="32"/>
          <w14:textFill>
            <w14:solidFill>
              <w14:schemeClr w14:val="tx1"/>
            </w14:solidFill>
          </w14:textFill>
        </w:rPr>
      </w:pPr>
      <w:r>
        <w:rPr>
          <w:rFonts w:hint="eastAsia" w:ascii="黑体" w:hAnsi="黑体" w:eastAsia="黑体"/>
          <w:sz w:val="32"/>
          <w:szCs w:val="32"/>
        </w:rPr>
        <w:t>第</w:t>
      </w:r>
      <w:r>
        <w:rPr>
          <w:rFonts w:ascii="黑体" w:hAnsi="黑体" w:eastAsia="黑体"/>
          <w:sz w:val="32"/>
          <w:szCs w:val="32"/>
        </w:rPr>
        <w:t>五十</w:t>
      </w:r>
      <w:r>
        <w:rPr>
          <w:rFonts w:hint="eastAsia" w:ascii="黑体" w:hAnsi="黑体" w:eastAsia="黑体"/>
          <w:sz w:val="32"/>
          <w:szCs w:val="32"/>
        </w:rPr>
        <w:t xml:space="preserve">九条 </w:t>
      </w:r>
      <w:r>
        <w:rPr>
          <w:rFonts w:ascii="黑体" w:hAnsi="黑体" w:eastAsia="黑体"/>
          <w:sz w:val="32"/>
          <w:szCs w:val="32"/>
        </w:rPr>
        <w:t xml:space="preserve"> </w:t>
      </w:r>
      <w:r>
        <w:rPr>
          <w:rFonts w:hint="eastAsia" w:ascii="仿宋" w:hAnsi="仿宋" w:eastAsia="仿宋"/>
          <w:color w:val="000000" w:themeColor="text1"/>
          <w:sz w:val="32"/>
          <w:szCs w:val="32"/>
          <w14:textFill>
            <w14:solidFill>
              <w14:schemeClr w14:val="tx1"/>
            </w14:solidFill>
          </w14:textFill>
        </w:rPr>
        <w:t>要约</w:t>
      </w:r>
      <w:r>
        <w:rPr>
          <w:rFonts w:ascii="仿宋" w:hAnsi="仿宋" w:eastAsia="仿宋"/>
          <w:color w:val="000000" w:themeColor="text1"/>
          <w:sz w:val="32"/>
          <w:szCs w:val="32"/>
          <w14:textFill>
            <w14:solidFill>
              <w14:schemeClr w14:val="tx1"/>
            </w14:solidFill>
          </w14:textFill>
        </w:rPr>
        <w:t>期限内</w:t>
      </w:r>
      <w:r>
        <w:rPr>
          <w:rFonts w:hint="eastAsia" w:ascii="仿宋" w:hAnsi="仿宋" w:eastAsia="仿宋"/>
          <w:color w:val="000000" w:themeColor="text1"/>
          <w:sz w:val="32"/>
          <w:szCs w:val="32"/>
          <w14:textFill>
            <w14:solidFill>
              <w14:schemeClr w14:val="tx1"/>
            </w14:solidFill>
          </w14:textFill>
        </w:rPr>
        <w:t>的</w:t>
      </w:r>
      <w:r>
        <w:rPr>
          <w:rFonts w:ascii="仿宋" w:hAnsi="仿宋" w:eastAsia="仿宋"/>
          <w:color w:val="000000" w:themeColor="text1"/>
          <w:sz w:val="32"/>
          <w:szCs w:val="32"/>
          <w14:textFill>
            <w14:solidFill>
              <w14:schemeClr w14:val="tx1"/>
            </w14:solidFill>
          </w14:textFill>
        </w:rPr>
        <w:t>每个</w:t>
      </w:r>
      <w:r>
        <w:rPr>
          <w:rFonts w:hint="eastAsia" w:ascii="仿宋" w:hAnsi="仿宋" w:eastAsia="仿宋"/>
          <w:color w:val="000000" w:themeColor="text1"/>
          <w:sz w:val="32"/>
          <w:szCs w:val="32"/>
          <w14:textFill>
            <w14:solidFill>
              <w14:schemeClr w14:val="tx1"/>
            </w14:solidFill>
          </w14:textFill>
        </w:rPr>
        <w:t>交易日开市前</w:t>
      </w:r>
      <w:r>
        <w:rPr>
          <w:rFonts w:ascii="仿宋" w:hAnsi="仿宋" w:eastAsia="仿宋"/>
          <w:color w:val="000000" w:themeColor="text1"/>
          <w:sz w:val="32"/>
          <w:szCs w:val="32"/>
          <w14:textFill>
            <w14:solidFill>
              <w14:schemeClr w14:val="tx1"/>
            </w14:solidFill>
          </w14:textFill>
        </w:rPr>
        <w:t>，</w:t>
      </w:r>
      <w:r>
        <w:rPr>
          <w:rFonts w:hint="eastAsia" w:ascii="仿宋" w:hAnsi="仿宋" w:eastAsia="仿宋"/>
          <w:color w:val="000000" w:themeColor="text1"/>
          <w:sz w:val="32"/>
          <w:szCs w:val="32"/>
          <w14:textFill>
            <w14:solidFill>
              <w14:schemeClr w14:val="tx1"/>
            </w14:solidFill>
          </w14:textFill>
        </w:rPr>
        <w:t>上市公司</w:t>
      </w:r>
      <w:r>
        <w:rPr>
          <w:rFonts w:ascii="仿宋" w:hAnsi="仿宋" w:eastAsia="仿宋"/>
          <w:color w:val="000000" w:themeColor="text1"/>
          <w:sz w:val="32"/>
          <w:szCs w:val="32"/>
          <w14:textFill>
            <w14:solidFill>
              <w14:schemeClr w14:val="tx1"/>
            </w14:solidFill>
          </w14:textFill>
        </w:rPr>
        <w:t>应</w:t>
      </w:r>
      <w:r>
        <w:rPr>
          <w:rFonts w:hint="eastAsia" w:ascii="仿宋" w:hAnsi="仿宋" w:eastAsia="仿宋"/>
          <w:color w:val="000000" w:themeColor="text1"/>
          <w:sz w:val="32"/>
          <w:szCs w:val="32"/>
          <w14:textFill>
            <w14:solidFill>
              <w14:schemeClr w14:val="tx1"/>
            </w14:solidFill>
          </w14:textFill>
        </w:rPr>
        <w:t>将中国</w:t>
      </w:r>
      <w:r>
        <w:rPr>
          <w:rFonts w:ascii="仿宋" w:hAnsi="仿宋" w:eastAsia="仿宋"/>
          <w:color w:val="000000" w:themeColor="text1"/>
          <w:sz w:val="32"/>
          <w:szCs w:val="32"/>
          <w14:textFill>
            <w14:solidFill>
              <w14:schemeClr w14:val="tx1"/>
            </w14:solidFill>
          </w14:textFill>
        </w:rPr>
        <w:t>结算确认有效的已</w:t>
      </w:r>
      <w:r>
        <w:rPr>
          <w:rFonts w:hint="eastAsia" w:ascii="仿宋" w:hAnsi="仿宋" w:eastAsia="仿宋"/>
          <w:color w:val="000000" w:themeColor="text1"/>
          <w:sz w:val="32"/>
          <w:szCs w:val="32"/>
          <w14:textFill>
            <w14:solidFill>
              <w14:schemeClr w14:val="tx1"/>
            </w14:solidFill>
          </w14:textFill>
        </w:rPr>
        <w:t>预受要约</w:t>
      </w:r>
      <w:r>
        <w:rPr>
          <w:rFonts w:ascii="仿宋" w:hAnsi="仿宋" w:eastAsia="仿宋"/>
          <w:color w:val="000000" w:themeColor="text1"/>
          <w:sz w:val="32"/>
          <w:szCs w:val="32"/>
          <w14:textFill>
            <w14:solidFill>
              <w14:schemeClr w14:val="tx1"/>
            </w14:solidFill>
          </w14:textFill>
        </w:rPr>
        <w:t>的股份数量等情况在本所网站披露</w:t>
      </w:r>
      <w:r>
        <w:rPr>
          <w:rFonts w:hint="eastAsia" w:ascii="仿宋" w:hAnsi="仿宋" w:eastAsia="仿宋"/>
          <w:color w:val="000000" w:themeColor="text1"/>
          <w:sz w:val="32"/>
          <w:szCs w:val="32"/>
          <w14:textFill>
            <w14:solidFill>
              <w14:schemeClr w14:val="tx1"/>
            </w14:solidFill>
          </w14:textFill>
        </w:rPr>
        <w:t>（</w:t>
      </w:r>
      <w:r>
        <w:rPr>
          <w:rFonts w:ascii="Times New Roman" w:hAnsi="Times New Roman" w:eastAsia="仿宋"/>
          <w:color w:val="000000" w:themeColor="text1"/>
          <w:sz w:val="32"/>
          <w:szCs w:val="32"/>
          <w14:textFill>
            <w14:solidFill>
              <w14:schemeClr w14:val="tx1"/>
            </w14:solidFill>
          </w14:textFill>
        </w:rPr>
        <w:t>附件4、附件5）。</w:t>
      </w:r>
    </w:p>
    <w:p>
      <w:pPr>
        <w:spacing w:line="600" w:lineRule="exact"/>
        <w:ind w:firstLine="636"/>
        <w:rPr>
          <w:rFonts w:ascii="Times New Roman" w:hAnsi="Times New Roman" w:eastAsia="仿宋"/>
          <w:sz w:val="32"/>
          <w:szCs w:val="32"/>
        </w:rPr>
      </w:pPr>
      <w:r>
        <w:rPr>
          <w:rFonts w:ascii="黑体" w:hAnsi="黑体" w:eastAsia="黑体"/>
          <w:sz w:val="32"/>
          <w:szCs w:val="32"/>
        </w:rPr>
        <w:t>第</w:t>
      </w:r>
      <w:r>
        <w:rPr>
          <w:rFonts w:hint="eastAsia" w:ascii="黑体" w:hAnsi="黑体" w:eastAsia="黑体"/>
          <w:sz w:val="32"/>
          <w:szCs w:val="32"/>
        </w:rPr>
        <w:t>六十</w:t>
      </w:r>
      <w:r>
        <w:rPr>
          <w:rFonts w:ascii="黑体" w:hAnsi="黑体" w:eastAsia="黑体"/>
          <w:sz w:val="32"/>
          <w:szCs w:val="32"/>
        </w:rPr>
        <w:t>条</w:t>
      </w:r>
      <w:r>
        <w:rPr>
          <w:rFonts w:hint="eastAsia" w:ascii="黑体" w:hAnsi="黑体" w:eastAsia="黑体"/>
          <w:sz w:val="32"/>
          <w:szCs w:val="32"/>
        </w:rPr>
        <w:t xml:space="preserve"> </w:t>
      </w:r>
      <w:r>
        <w:rPr>
          <w:rFonts w:ascii="黑体" w:hAnsi="黑体" w:eastAsia="黑体"/>
          <w:sz w:val="32"/>
          <w:szCs w:val="32"/>
        </w:rPr>
        <w:t xml:space="preserve"> </w:t>
      </w:r>
      <w:r>
        <w:rPr>
          <w:rFonts w:hint="eastAsia" w:ascii="Times New Roman" w:hAnsi="Times New Roman" w:eastAsia="仿宋"/>
          <w:sz w:val="32"/>
          <w:szCs w:val="32"/>
        </w:rPr>
        <w:t>要约期限开始前，符合本指引第三十七条回购股份方案变更或者终止情形的，上市公司可以按照本指引规定变更或者终止回购股份方案。要约期限开始后，上市公司不得变更或终止回购股份方案。</w:t>
      </w:r>
    </w:p>
    <w:p>
      <w:pPr>
        <w:spacing w:line="600" w:lineRule="exact"/>
        <w:ind w:firstLine="636"/>
        <w:rPr>
          <w:rFonts w:ascii="Times New Roman" w:hAnsi="Times New Roman" w:eastAsia="仿宋"/>
          <w:sz w:val="32"/>
          <w:szCs w:val="32"/>
        </w:rPr>
      </w:pPr>
      <w:r>
        <w:rPr>
          <w:rFonts w:ascii="黑体" w:hAnsi="黑体" w:eastAsia="黑体"/>
          <w:sz w:val="32"/>
          <w:szCs w:val="32"/>
        </w:rPr>
        <w:t>第</w:t>
      </w:r>
      <w:r>
        <w:rPr>
          <w:rFonts w:hint="eastAsia" w:ascii="黑体" w:hAnsi="黑体" w:eastAsia="黑体"/>
          <w:sz w:val="32"/>
          <w:szCs w:val="32"/>
        </w:rPr>
        <w:t>六十一</w:t>
      </w:r>
      <w:r>
        <w:rPr>
          <w:rFonts w:ascii="黑体" w:hAnsi="黑体" w:eastAsia="黑体"/>
          <w:sz w:val="32"/>
          <w:szCs w:val="32"/>
        </w:rPr>
        <w:t>条</w:t>
      </w:r>
      <w:r>
        <w:rPr>
          <w:rFonts w:hint="eastAsia" w:ascii="黑体" w:hAnsi="黑体" w:eastAsia="黑体"/>
          <w:sz w:val="32"/>
          <w:szCs w:val="32"/>
        </w:rPr>
        <w:t xml:space="preserve"> </w:t>
      </w:r>
      <w:r>
        <w:rPr>
          <w:rFonts w:ascii="黑体" w:hAnsi="黑体" w:eastAsia="黑体"/>
          <w:sz w:val="32"/>
          <w:szCs w:val="32"/>
        </w:rPr>
        <w:t xml:space="preserve"> </w:t>
      </w:r>
      <w:r>
        <w:rPr>
          <w:rFonts w:ascii="Times New Roman" w:hAnsi="Times New Roman" w:eastAsia="仿宋"/>
          <w:sz w:val="32"/>
          <w:szCs w:val="32"/>
        </w:rPr>
        <w:t>回购期间，上市公司实施权益分派的，应当按照本指引第</w:t>
      </w:r>
      <w:r>
        <w:rPr>
          <w:rFonts w:hint="eastAsia" w:ascii="Times New Roman" w:hAnsi="Times New Roman" w:eastAsia="仿宋"/>
          <w:sz w:val="32"/>
          <w:szCs w:val="32"/>
        </w:rPr>
        <w:t>三十八</w:t>
      </w:r>
      <w:r>
        <w:rPr>
          <w:rFonts w:ascii="Times New Roman" w:hAnsi="Times New Roman" w:eastAsia="仿宋"/>
          <w:sz w:val="32"/>
          <w:szCs w:val="32"/>
        </w:rPr>
        <w:t>条的规定对回购要约的价格、数量等进行相应调整</w:t>
      </w:r>
      <w:r>
        <w:rPr>
          <w:rFonts w:hint="eastAsia" w:ascii="Times New Roman" w:hAnsi="Times New Roman" w:eastAsia="仿宋"/>
          <w:sz w:val="32"/>
          <w:szCs w:val="32"/>
        </w:rPr>
        <w:t>。</w:t>
      </w:r>
    </w:p>
    <w:p>
      <w:pPr>
        <w:spacing w:line="600" w:lineRule="exact"/>
        <w:ind w:firstLine="636"/>
        <w:rPr>
          <w:rFonts w:ascii="仿宋" w:hAnsi="仿宋" w:eastAsia="仿宋"/>
          <w:color w:val="000000" w:themeColor="text1"/>
          <w:sz w:val="32"/>
          <w:szCs w:val="32"/>
          <w14:textFill>
            <w14:solidFill>
              <w14:schemeClr w14:val="tx1"/>
            </w14:solidFill>
          </w14:textFill>
        </w:rPr>
      </w:pPr>
      <w:r>
        <w:rPr>
          <w:rFonts w:hint="eastAsia" w:ascii="仿宋" w:hAnsi="仿宋" w:eastAsia="仿宋"/>
          <w:color w:val="000000" w:themeColor="text1"/>
          <w:sz w:val="32"/>
          <w:szCs w:val="32"/>
          <w14:textFill>
            <w14:solidFill>
              <w14:schemeClr w14:val="tx1"/>
            </w14:solidFill>
          </w14:textFill>
        </w:rPr>
        <w:t>回购要约调整</w:t>
      </w:r>
      <w:r>
        <w:rPr>
          <w:rFonts w:ascii="仿宋" w:hAnsi="仿宋" w:eastAsia="仿宋"/>
          <w:color w:val="000000" w:themeColor="text1"/>
          <w:sz w:val="32"/>
          <w:szCs w:val="32"/>
          <w14:textFill>
            <w14:solidFill>
              <w14:schemeClr w14:val="tx1"/>
            </w14:solidFill>
          </w14:textFill>
        </w:rPr>
        <w:t>后，</w:t>
      </w:r>
      <w:r>
        <w:rPr>
          <w:rFonts w:hint="eastAsia" w:ascii="仿宋" w:hAnsi="仿宋" w:eastAsia="仿宋"/>
          <w:color w:val="000000" w:themeColor="text1"/>
          <w:sz w:val="32"/>
          <w:szCs w:val="32"/>
          <w14:textFill>
            <w14:solidFill>
              <w14:schemeClr w14:val="tx1"/>
            </w14:solidFill>
          </w14:textFill>
        </w:rPr>
        <w:t>原预受要约申报继续</w:t>
      </w:r>
      <w:r>
        <w:rPr>
          <w:rFonts w:ascii="仿宋" w:hAnsi="仿宋" w:eastAsia="仿宋"/>
          <w:color w:val="000000" w:themeColor="text1"/>
          <w:sz w:val="32"/>
          <w:szCs w:val="32"/>
          <w14:textFill>
            <w14:solidFill>
              <w14:schemeClr w14:val="tx1"/>
            </w14:solidFill>
          </w14:textFill>
        </w:rPr>
        <w:t>有效</w:t>
      </w:r>
      <w:r>
        <w:rPr>
          <w:rFonts w:hint="eastAsia" w:ascii="仿宋" w:hAnsi="仿宋" w:eastAsia="仿宋"/>
          <w:color w:val="000000" w:themeColor="text1"/>
          <w:sz w:val="32"/>
          <w:szCs w:val="32"/>
          <w14:textFill>
            <w14:solidFill>
              <w14:schemeClr w14:val="tx1"/>
            </w14:solidFill>
          </w14:textFill>
        </w:rPr>
        <w:t>，股东拟将</w:t>
      </w:r>
      <w:r>
        <w:rPr>
          <w:rFonts w:ascii="仿宋" w:hAnsi="仿宋" w:eastAsia="仿宋"/>
          <w:color w:val="000000" w:themeColor="text1"/>
          <w:sz w:val="32"/>
          <w:szCs w:val="32"/>
          <w14:textFill>
            <w14:solidFill>
              <w14:schemeClr w14:val="tx1"/>
            </w14:solidFill>
          </w14:textFill>
        </w:rPr>
        <w:t>权益分派的</w:t>
      </w:r>
      <w:r>
        <w:rPr>
          <w:rFonts w:hint="eastAsia" w:ascii="仿宋" w:hAnsi="仿宋" w:eastAsia="仿宋"/>
          <w:color w:val="000000" w:themeColor="text1"/>
          <w:sz w:val="32"/>
          <w:szCs w:val="32"/>
          <w14:textFill>
            <w14:solidFill>
              <w14:schemeClr w14:val="tx1"/>
            </w14:solidFill>
          </w14:textFill>
        </w:rPr>
        <w:t>全部</w:t>
      </w:r>
      <w:r>
        <w:rPr>
          <w:rFonts w:ascii="仿宋" w:hAnsi="仿宋" w:eastAsia="仿宋"/>
          <w:color w:val="000000" w:themeColor="text1"/>
          <w:sz w:val="32"/>
          <w:szCs w:val="32"/>
          <w14:textFill>
            <w14:solidFill>
              <w14:schemeClr w14:val="tx1"/>
            </w14:solidFill>
          </w14:textFill>
        </w:rPr>
        <w:t>或部分新增股份售</w:t>
      </w:r>
      <w:r>
        <w:rPr>
          <w:rFonts w:hint="eastAsia" w:ascii="仿宋" w:hAnsi="仿宋" w:eastAsia="仿宋"/>
          <w:color w:val="000000" w:themeColor="text1"/>
          <w:sz w:val="32"/>
          <w:szCs w:val="32"/>
          <w14:textFill>
            <w14:solidFill>
              <w14:schemeClr w14:val="tx1"/>
            </w14:solidFill>
          </w14:textFill>
        </w:rPr>
        <w:t>予上市公司的</w:t>
      </w:r>
      <w:r>
        <w:rPr>
          <w:rFonts w:ascii="仿宋" w:hAnsi="仿宋" w:eastAsia="仿宋"/>
          <w:color w:val="000000" w:themeColor="text1"/>
          <w:sz w:val="32"/>
          <w:szCs w:val="32"/>
          <w14:textFill>
            <w14:solidFill>
              <w14:schemeClr w14:val="tx1"/>
            </w14:solidFill>
          </w14:textFill>
        </w:rPr>
        <w:t>，应当另行申报</w:t>
      </w:r>
      <w:r>
        <w:rPr>
          <w:rFonts w:hint="eastAsia" w:ascii="仿宋" w:hAnsi="仿宋" w:eastAsia="仿宋"/>
          <w:color w:val="000000" w:themeColor="text1"/>
          <w:sz w:val="32"/>
          <w:szCs w:val="32"/>
          <w14:textFill>
            <w14:solidFill>
              <w14:schemeClr w14:val="tx1"/>
            </w14:solidFill>
          </w14:textFill>
        </w:rPr>
        <w:t>预受要约</w:t>
      </w:r>
      <w:r>
        <w:rPr>
          <w:rFonts w:ascii="仿宋" w:hAnsi="仿宋" w:eastAsia="仿宋"/>
          <w:color w:val="000000" w:themeColor="text1"/>
          <w:sz w:val="32"/>
          <w:szCs w:val="32"/>
          <w14:textFill>
            <w14:solidFill>
              <w14:schemeClr w14:val="tx1"/>
            </w14:solidFill>
          </w14:textFill>
        </w:rPr>
        <w:t>。</w:t>
      </w:r>
    </w:p>
    <w:p>
      <w:pPr>
        <w:spacing w:line="600" w:lineRule="exact"/>
        <w:ind w:firstLine="636"/>
        <w:rPr>
          <w:rFonts w:ascii="Times New Roman" w:hAnsi="Times New Roman" w:eastAsia="仿宋"/>
          <w:sz w:val="32"/>
          <w:szCs w:val="32"/>
        </w:rPr>
      </w:pPr>
      <w:r>
        <w:rPr>
          <w:rFonts w:ascii="黑体" w:hAnsi="黑体" w:eastAsia="黑体"/>
          <w:sz w:val="32"/>
          <w:szCs w:val="32"/>
        </w:rPr>
        <w:t>第</w:t>
      </w:r>
      <w:r>
        <w:rPr>
          <w:rFonts w:hint="eastAsia" w:ascii="黑体" w:hAnsi="黑体" w:eastAsia="黑体"/>
          <w:sz w:val="32"/>
          <w:szCs w:val="32"/>
        </w:rPr>
        <w:t>六十二</w:t>
      </w:r>
      <w:r>
        <w:rPr>
          <w:rFonts w:ascii="黑体" w:hAnsi="黑体" w:eastAsia="黑体"/>
          <w:sz w:val="32"/>
          <w:szCs w:val="32"/>
        </w:rPr>
        <w:t>条</w:t>
      </w:r>
      <w:r>
        <w:rPr>
          <w:rFonts w:hint="eastAsia" w:ascii="黑体" w:hAnsi="黑体" w:eastAsia="黑体"/>
          <w:sz w:val="32"/>
          <w:szCs w:val="32"/>
        </w:rPr>
        <w:t xml:space="preserve"> </w:t>
      </w:r>
      <w:r>
        <w:rPr>
          <w:rFonts w:ascii="黑体" w:hAnsi="黑体" w:eastAsia="黑体"/>
          <w:sz w:val="32"/>
          <w:szCs w:val="32"/>
        </w:rPr>
        <w:t xml:space="preserve"> </w:t>
      </w:r>
      <w:r>
        <w:rPr>
          <w:rFonts w:hint="eastAsia" w:ascii="Times New Roman" w:hAnsi="Times New Roman" w:eastAsia="仿宋"/>
          <w:sz w:val="32"/>
          <w:szCs w:val="32"/>
        </w:rPr>
        <w:t>回购实施期限过半，上市公司要约期限仍未开始的，应当按照本指引第三十六条的规定履行相关信息披露义务。</w:t>
      </w:r>
    </w:p>
    <w:p>
      <w:pPr>
        <w:spacing w:line="600" w:lineRule="exact"/>
        <w:ind w:firstLine="636"/>
        <w:rPr>
          <w:rFonts w:ascii="Times New Roman" w:hAnsi="Times New Roman" w:eastAsia="仿宋"/>
          <w:sz w:val="32"/>
          <w:szCs w:val="32"/>
        </w:rPr>
      </w:pPr>
      <w:r>
        <w:rPr>
          <w:rFonts w:ascii="黑体" w:hAnsi="黑体" w:eastAsia="黑体"/>
          <w:sz w:val="32"/>
          <w:szCs w:val="32"/>
        </w:rPr>
        <w:t>第</w:t>
      </w:r>
      <w:r>
        <w:rPr>
          <w:rFonts w:hint="eastAsia" w:ascii="黑体" w:hAnsi="黑体" w:eastAsia="黑体"/>
          <w:sz w:val="32"/>
          <w:szCs w:val="32"/>
        </w:rPr>
        <w:t>六十三</w:t>
      </w:r>
      <w:r>
        <w:rPr>
          <w:rFonts w:ascii="黑体" w:hAnsi="黑体" w:eastAsia="黑体"/>
          <w:sz w:val="32"/>
          <w:szCs w:val="32"/>
        </w:rPr>
        <w:t>条</w:t>
      </w:r>
      <w:r>
        <w:rPr>
          <w:rFonts w:hint="eastAsia" w:ascii="黑体" w:hAnsi="黑体" w:eastAsia="黑体"/>
          <w:sz w:val="32"/>
          <w:szCs w:val="32"/>
        </w:rPr>
        <w:t xml:space="preserve"> </w:t>
      </w:r>
      <w:r>
        <w:rPr>
          <w:rFonts w:ascii="黑体" w:hAnsi="黑体" w:eastAsia="黑体"/>
          <w:sz w:val="32"/>
          <w:szCs w:val="32"/>
        </w:rPr>
        <w:t xml:space="preserve"> </w:t>
      </w:r>
      <w:r>
        <w:rPr>
          <w:rFonts w:ascii="Times New Roman" w:hAnsi="Times New Roman" w:eastAsia="仿宋"/>
          <w:sz w:val="32"/>
          <w:szCs w:val="32"/>
        </w:rPr>
        <w:t>要约期限届满，上市公司应当及时向中国结算申请查询预受要约结果，并于要约期限届满后的</w:t>
      </w:r>
      <w:r>
        <w:rPr>
          <w:rFonts w:hint="eastAsia" w:ascii="Times New Roman" w:hAnsi="Times New Roman" w:eastAsia="仿宋"/>
          <w:sz w:val="32"/>
          <w:szCs w:val="32"/>
        </w:rPr>
        <w:t>2</w:t>
      </w:r>
      <w:r>
        <w:rPr>
          <w:rFonts w:ascii="Times New Roman" w:hAnsi="Times New Roman" w:eastAsia="仿宋"/>
          <w:sz w:val="32"/>
          <w:szCs w:val="32"/>
        </w:rPr>
        <w:t>个交易日内披露查询结果，说明预受要约股份情况、回购价款的缴纳安排等</w:t>
      </w:r>
      <w:r>
        <w:rPr>
          <w:rFonts w:hint="eastAsia" w:ascii="Times New Roman" w:hAnsi="Times New Roman" w:eastAsia="仿宋"/>
          <w:sz w:val="32"/>
          <w:szCs w:val="32"/>
        </w:rPr>
        <w:t>。</w:t>
      </w:r>
    </w:p>
    <w:p>
      <w:pPr>
        <w:spacing w:line="600" w:lineRule="exact"/>
        <w:ind w:firstLine="636"/>
        <w:rPr>
          <w:rFonts w:ascii="Times New Roman" w:hAnsi="Times New Roman" w:eastAsia="仿宋"/>
          <w:sz w:val="32"/>
          <w:szCs w:val="32"/>
        </w:rPr>
      </w:pPr>
      <w:r>
        <w:rPr>
          <w:rFonts w:ascii="Times New Roman" w:hAnsi="Times New Roman" w:eastAsia="仿宋"/>
          <w:sz w:val="32"/>
          <w:szCs w:val="32"/>
        </w:rPr>
        <w:t>要约期限届满，股东预受要约的股份数量超出预定回购的股份数量的，上市公司应当按照相同比例回购股东预受的股份；股东预受要约的股份数量不足预定回购的股份数量的，上市公司应当全部回购股东预受的股份。</w:t>
      </w:r>
    </w:p>
    <w:p>
      <w:pPr>
        <w:spacing w:line="600" w:lineRule="exact"/>
        <w:ind w:firstLine="640" w:firstLineChars="200"/>
        <w:rPr>
          <w:rFonts w:ascii="Times New Roman" w:hAnsi="Times New Roman" w:eastAsia="仿宋"/>
          <w:color w:val="000000" w:themeColor="text1"/>
          <w:sz w:val="32"/>
          <w:szCs w:val="32"/>
          <w14:textFill>
            <w14:solidFill>
              <w14:schemeClr w14:val="tx1"/>
            </w14:solidFill>
          </w14:textFill>
        </w:rPr>
      </w:pPr>
      <w:r>
        <w:rPr>
          <w:rFonts w:ascii="Times New Roman" w:hAnsi="Times New Roman" w:eastAsia="黑体"/>
          <w:sz w:val="32"/>
          <w:szCs w:val="32"/>
        </w:rPr>
        <w:t>第六十</w:t>
      </w:r>
      <w:r>
        <w:rPr>
          <w:rFonts w:hint="eastAsia" w:ascii="Times New Roman" w:hAnsi="Times New Roman" w:eastAsia="黑体"/>
          <w:sz w:val="32"/>
          <w:szCs w:val="32"/>
        </w:rPr>
        <w:t>四</w:t>
      </w:r>
      <w:r>
        <w:rPr>
          <w:rFonts w:ascii="Times New Roman" w:hAnsi="Times New Roman" w:eastAsia="黑体"/>
          <w:sz w:val="32"/>
          <w:szCs w:val="32"/>
        </w:rPr>
        <w:t xml:space="preserve">条  </w:t>
      </w:r>
      <w:r>
        <w:rPr>
          <w:rFonts w:ascii="Times New Roman" w:hAnsi="Times New Roman" w:eastAsia="仿宋"/>
          <w:color w:val="000000" w:themeColor="text1"/>
          <w:sz w:val="32"/>
          <w:szCs w:val="32"/>
          <w14:textFill>
            <w14:solidFill>
              <w14:schemeClr w14:val="tx1"/>
            </w14:solidFill>
          </w14:textFill>
        </w:rPr>
        <w:t>上市公司应当在取得缴款证明后的2个交易日内，向本所申请划转预受要约股份，并提交下列文件：</w:t>
      </w:r>
    </w:p>
    <w:p>
      <w:pPr>
        <w:spacing w:line="600" w:lineRule="exact"/>
        <w:ind w:firstLine="640" w:firstLineChars="200"/>
        <w:rPr>
          <w:rFonts w:ascii="Times New Roman" w:hAnsi="Times New Roman" w:eastAsia="仿宋"/>
          <w:color w:val="000000" w:themeColor="text1"/>
          <w:sz w:val="32"/>
          <w:szCs w:val="32"/>
          <w14:textFill>
            <w14:solidFill>
              <w14:schemeClr w14:val="tx1"/>
            </w14:solidFill>
          </w14:textFill>
        </w:rPr>
      </w:pPr>
      <w:r>
        <w:rPr>
          <w:rFonts w:ascii="Times New Roman" w:hAnsi="Times New Roman" w:eastAsia="仿宋"/>
          <w:color w:val="000000" w:themeColor="text1"/>
          <w:sz w:val="32"/>
          <w:szCs w:val="32"/>
          <w14:textFill>
            <w14:solidFill>
              <w14:schemeClr w14:val="tx1"/>
            </w14:solidFill>
          </w14:textFill>
        </w:rPr>
        <w:t>（一）预受要约股份划转申请表（附件6）；</w:t>
      </w:r>
    </w:p>
    <w:p>
      <w:pPr>
        <w:spacing w:line="600" w:lineRule="exact"/>
        <w:ind w:firstLine="640" w:firstLineChars="200"/>
        <w:rPr>
          <w:rFonts w:ascii="仿宋" w:hAnsi="仿宋" w:eastAsia="仿宋"/>
          <w:color w:val="000000" w:themeColor="text1"/>
          <w:sz w:val="32"/>
          <w:szCs w:val="32"/>
          <w14:textFill>
            <w14:solidFill>
              <w14:schemeClr w14:val="tx1"/>
            </w14:solidFill>
          </w14:textFill>
        </w:rPr>
      </w:pPr>
      <w:r>
        <w:rPr>
          <w:rFonts w:hint="eastAsia" w:ascii="仿宋" w:hAnsi="仿宋" w:eastAsia="仿宋"/>
          <w:color w:val="000000" w:themeColor="text1"/>
          <w:sz w:val="32"/>
          <w:szCs w:val="32"/>
          <w14:textFill>
            <w14:solidFill>
              <w14:schemeClr w14:val="tx1"/>
            </w14:solidFill>
          </w14:textFill>
        </w:rPr>
        <w:t>（二）回购价款缴款证明；</w:t>
      </w:r>
    </w:p>
    <w:p>
      <w:pPr>
        <w:spacing w:line="600" w:lineRule="exact"/>
        <w:ind w:firstLine="640" w:firstLineChars="200"/>
        <w:rPr>
          <w:rFonts w:ascii="仿宋" w:hAnsi="仿宋" w:eastAsia="仿宋"/>
          <w:color w:val="000000" w:themeColor="text1"/>
          <w:sz w:val="32"/>
          <w:szCs w:val="32"/>
          <w14:textFill>
            <w14:solidFill>
              <w14:schemeClr w14:val="tx1"/>
            </w14:solidFill>
          </w14:textFill>
        </w:rPr>
      </w:pPr>
      <w:r>
        <w:rPr>
          <w:rFonts w:hint="eastAsia" w:ascii="仿宋" w:hAnsi="仿宋" w:eastAsia="仿宋"/>
          <w:color w:val="000000" w:themeColor="text1"/>
          <w:sz w:val="32"/>
          <w:szCs w:val="32"/>
          <w14:textFill>
            <w14:solidFill>
              <w14:schemeClr w14:val="tx1"/>
            </w14:solidFill>
          </w14:textFill>
        </w:rPr>
        <w:t>（三）预受</w:t>
      </w:r>
      <w:r>
        <w:rPr>
          <w:rFonts w:ascii="仿宋" w:hAnsi="仿宋" w:eastAsia="仿宋"/>
          <w:color w:val="000000" w:themeColor="text1"/>
          <w:sz w:val="32"/>
          <w:szCs w:val="32"/>
          <w14:textFill>
            <w14:solidFill>
              <w14:schemeClr w14:val="tx1"/>
            </w14:solidFill>
          </w14:textFill>
        </w:rPr>
        <w:t>要约股份</w:t>
      </w:r>
      <w:r>
        <w:rPr>
          <w:rFonts w:hint="eastAsia" w:ascii="仿宋" w:hAnsi="仿宋" w:eastAsia="仿宋"/>
          <w:color w:val="000000" w:themeColor="text1"/>
          <w:sz w:val="32"/>
          <w:szCs w:val="32"/>
          <w14:textFill>
            <w14:solidFill>
              <w14:schemeClr w14:val="tx1"/>
            </w14:solidFill>
          </w14:textFill>
        </w:rPr>
        <w:t>查询</w:t>
      </w:r>
      <w:r>
        <w:rPr>
          <w:rFonts w:ascii="仿宋" w:hAnsi="仿宋" w:eastAsia="仿宋"/>
          <w:color w:val="000000" w:themeColor="text1"/>
          <w:sz w:val="32"/>
          <w:szCs w:val="32"/>
          <w14:textFill>
            <w14:solidFill>
              <w14:schemeClr w14:val="tx1"/>
            </w14:solidFill>
          </w14:textFill>
        </w:rPr>
        <w:t>结果</w:t>
      </w:r>
      <w:r>
        <w:rPr>
          <w:rFonts w:hint="eastAsia" w:ascii="仿宋" w:hAnsi="仿宋" w:eastAsia="仿宋"/>
          <w:color w:val="000000" w:themeColor="text1"/>
          <w:sz w:val="32"/>
          <w:szCs w:val="32"/>
          <w14:textFill>
            <w14:solidFill>
              <w14:schemeClr w14:val="tx1"/>
            </w14:solidFill>
          </w14:textFill>
        </w:rPr>
        <w:t>；</w:t>
      </w:r>
    </w:p>
    <w:p>
      <w:pPr>
        <w:spacing w:line="600" w:lineRule="exact"/>
        <w:ind w:firstLine="640" w:firstLineChars="200"/>
        <w:rPr>
          <w:rFonts w:ascii="仿宋" w:hAnsi="仿宋" w:eastAsia="仿宋"/>
          <w:color w:val="000000" w:themeColor="text1"/>
          <w:sz w:val="32"/>
          <w:szCs w:val="32"/>
          <w14:textFill>
            <w14:solidFill>
              <w14:schemeClr w14:val="tx1"/>
            </w14:solidFill>
          </w14:textFill>
        </w:rPr>
      </w:pPr>
      <w:r>
        <w:rPr>
          <w:rFonts w:hint="eastAsia" w:ascii="仿宋" w:hAnsi="仿宋" w:eastAsia="仿宋"/>
          <w:color w:val="000000" w:themeColor="text1"/>
          <w:sz w:val="32"/>
          <w:szCs w:val="32"/>
          <w14:textFill>
            <w14:solidFill>
              <w14:schemeClr w14:val="tx1"/>
            </w14:solidFill>
          </w14:textFill>
        </w:rPr>
        <w:t>（四）本所</w:t>
      </w:r>
      <w:r>
        <w:rPr>
          <w:rFonts w:ascii="仿宋" w:hAnsi="仿宋" w:eastAsia="仿宋"/>
          <w:color w:val="000000" w:themeColor="text1"/>
          <w:sz w:val="32"/>
          <w:szCs w:val="32"/>
          <w14:textFill>
            <w14:solidFill>
              <w14:schemeClr w14:val="tx1"/>
            </w14:solidFill>
          </w14:textFill>
        </w:rPr>
        <w:t>要求提交的其他材料。</w:t>
      </w:r>
    </w:p>
    <w:p>
      <w:pPr>
        <w:spacing w:line="600" w:lineRule="exact"/>
        <w:ind w:firstLine="640" w:firstLineChars="200"/>
        <w:rPr>
          <w:rFonts w:ascii="仿宋" w:hAnsi="仿宋" w:eastAsia="仿宋"/>
          <w:color w:val="000000" w:themeColor="text1"/>
          <w:sz w:val="32"/>
          <w:szCs w:val="32"/>
          <w14:textFill>
            <w14:solidFill>
              <w14:schemeClr w14:val="tx1"/>
            </w14:solidFill>
          </w14:textFill>
        </w:rPr>
      </w:pPr>
      <w:r>
        <w:rPr>
          <w:rFonts w:hint="eastAsia" w:ascii="仿宋" w:hAnsi="仿宋" w:eastAsia="仿宋"/>
          <w:color w:val="000000" w:themeColor="text1"/>
          <w:sz w:val="32"/>
          <w:szCs w:val="32"/>
          <w14:textFill>
            <w14:solidFill>
              <w14:schemeClr w14:val="tx1"/>
            </w14:solidFill>
          </w14:textFill>
        </w:rPr>
        <w:t>本所</w:t>
      </w:r>
      <w:r>
        <w:rPr>
          <w:rFonts w:ascii="仿宋" w:hAnsi="仿宋" w:eastAsia="仿宋"/>
          <w:color w:val="000000" w:themeColor="text1"/>
          <w:sz w:val="32"/>
          <w:szCs w:val="32"/>
          <w14:textFill>
            <w14:solidFill>
              <w14:schemeClr w14:val="tx1"/>
            </w14:solidFill>
          </w14:textFill>
        </w:rPr>
        <w:t>确认后</w:t>
      </w:r>
      <w:r>
        <w:rPr>
          <w:rFonts w:hint="eastAsia" w:ascii="仿宋" w:hAnsi="仿宋" w:eastAsia="仿宋"/>
          <w:color w:val="000000" w:themeColor="text1"/>
          <w:sz w:val="32"/>
          <w:szCs w:val="32"/>
          <w14:textFill>
            <w14:solidFill>
              <w14:schemeClr w14:val="tx1"/>
            </w14:solidFill>
          </w14:textFill>
        </w:rPr>
        <w:t>，向</w:t>
      </w:r>
      <w:r>
        <w:rPr>
          <w:rFonts w:ascii="仿宋" w:hAnsi="仿宋" w:eastAsia="仿宋"/>
          <w:color w:val="000000" w:themeColor="text1"/>
          <w:sz w:val="32"/>
          <w:szCs w:val="32"/>
          <w14:textFill>
            <w14:solidFill>
              <w14:schemeClr w14:val="tx1"/>
            </w14:solidFill>
          </w14:textFill>
        </w:rPr>
        <w:t>中国结算</w:t>
      </w:r>
      <w:r>
        <w:rPr>
          <w:rFonts w:hint="eastAsia" w:ascii="仿宋" w:hAnsi="仿宋" w:eastAsia="仿宋"/>
          <w:color w:val="000000" w:themeColor="text1"/>
          <w:sz w:val="32"/>
          <w:szCs w:val="32"/>
          <w14:textFill>
            <w14:solidFill>
              <w14:schemeClr w14:val="tx1"/>
            </w14:solidFill>
          </w14:textFill>
        </w:rPr>
        <w:t>出具预受股份划转确认书。</w:t>
      </w:r>
    </w:p>
    <w:p>
      <w:pPr>
        <w:spacing w:line="600" w:lineRule="exact"/>
        <w:ind w:firstLine="636"/>
        <w:rPr>
          <w:rFonts w:ascii="Times New Roman" w:hAnsi="Times New Roman" w:eastAsia="仿宋"/>
          <w:sz w:val="32"/>
          <w:szCs w:val="32"/>
        </w:rPr>
      </w:pPr>
      <w:r>
        <w:rPr>
          <w:rFonts w:ascii="黑体" w:hAnsi="黑体" w:eastAsia="黑体"/>
          <w:sz w:val="32"/>
          <w:szCs w:val="32"/>
        </w:rPr>
        <w:t>第六十</w:t>
      </w:r>
      <w:r>
        <w:rPr>
          <w:rFonts w:hint="eastAsia" w:ascii="黑体" w:hAnsi="黑体" w:eastAsia="黑体"/>
          <w:sz w:val="32"/>
          <w:szCs w:val="32"/>
        </w:rPr>
        <w:t>五</w:t>
      </w:r>
      <w:r>
        <w:rPr>
          <w:rFonts w:ascii="黑体" w:hAnsi="黑体" w:eastAsia="黑体"/>
          <w:sz w:val="32"/>
          <w:szCs w:val="32"/>
        </w:rPr>
        <w:t>条</w:t>
      </w:r>
      <w:r>
        <w:rPr>
          <w:rFonts w:hint="eastAsia" w:ascii="黑体" w:hAnsi="黑体" w:eastAsia="黑体"/>
          <w:sz w:val="32"/>
          <w:szCs w:val="32"/>
        </w:rPr>
        <w:t xml:space="preserve"> </w:t>
      </w:r>
      <w:r>
        <w:rPr>
          <w:rFonts w:ascii="黑体" w:hAnsi="黑体" w:eastAsia="黑体"/>
          <w:sz w:val="32"/>
          <w:szCs w:val="32"/>
        </w:rPr>
        <w:t xml:space="preserve"> </w:t>
      </w:r>
      <w:r>
        <w:rPr>
          <w:rFonts w:ascii="Times New Roman" w:hAnsi="Times New Roman" w:eastAsia="仿宋"/>
          <w:sz w:val="32"/>
          <w:szCs w:val="32"/>
        </w:rPr>
        <w:t>过户登记完成后，上市公司应当按照本</w:t>
      </w:r>
      <w:r>
        <w:rPr>
          <w:rFonts w:hint="eastAsia" w:ascii="Times New Roman" w:hAnsi="Times New Roman" w:eastAsia="仿宋"/>
          <w:sz w:val="32"/>
          <w:szCs w:val="32"/>
        </w:rPr>
        <w:t>指引</w:t>
      </w:r>
      <w:r>
        <w:rPr>
          <w:rFonts w:ascii="Times New Roman" w:hAnsi="Times New Roman" w:eastAsia="仿宋"/>
          <w:sz w:val="32"/>
          <w:szCs w:val="32"/>
        </w:rPr>
        <w:t>第三十</w:t>
      </w:r>
      <w:r>
        <w:rPr>
          <w:rFonts w:hint="eastAsia" w:ascii="Times New Roman" w:hAnsi="Times New Roman" w:eastAsia="仿宋"/>
          <w:sz w:val="32"/>
          <w:szCs w:val="32"/>
        </w:rPr>
        <w:t>九</w:t>
      </w:r>
      <w:r>
        <w:rPr>
          <w:rFonts w:ascii="Times New Roman" w:hAnsi="Times New Roman" w:eastAsia="仿宋"/>
          <w:sz w:val="32"/>
          <w:szCs w:val="32"/>
        </w:rPr>
        <w:t>条的规定披露回购结果公告。</w:t>
      </w:r>
    </w:p>
    <w:p>
      <w:pPr>
        <w:spacing w:line="600" w:lineRule="exact"/>
        <w:ind w:firstLine="636"/>
        <w:rPr>
          <w:rFonts w:ascii="Times New Roman" w:hAnsi="Times New Roman" w:eastAsia="仿宋"/>
          <w:sz w:val="32"/>
          <w:szCs w:val="32"/>
        </w:rPr>
      </w:pPr>
      <w:r>
        <w:rPr>
          <w:rFonts w:ascii="黑体" w:hAnsi="黑体" w:eastAsia="黑体"/>
          <w:sz w:val="32"/>
          <w:szCs w:val="32"/>
        </w:rPr>
        <w:t>第六十</w:t>
      </w:r>
      <w:r>
        <w:rPr>
          <w:rFonts w:hint="eastAsia" w:ascii="黑体" w:hAnsi="黑体" w:eastAsia="黑体"/>
          <w:sz w:val="32"/>
          <w:szCs w:val="32"/>
        </w:rPr>
        <w:t>六</w:t>
      </w:r>
      <w:r>
        <w:rPr>
          <w:rFonts w:ascii="黑体" w:hAnsi="黑体" w:eastAsia="黑体"/>
          <w:sz w:val="32"/>
          <w:szCs w:val="32"/>
        </w:rPr>
        <w:t>条</w:t>
      </w:r>
      <w:r>
        <w:rPr>
          <w:rFonts w:hint="eastAsia" w:ascii="黑体" w:hAnsi="黑体" w:eastAsia="黑体"/>
          <w:sz w:val="32"/>
          <w:szCs w:val="32"/>
        </w:rPr>
        <w:t xml:space="preserve"> </w:t>
      </w:r>
      <w:r>
        <w:rPr>
          <w:rFonts w:ascii="黑体" w:hAnsi="黑体" w:eastAsia="黑体"/>
          <w:sz w:val="32"/>
          <w:szCs w:val="32"/>
        </w:rPr>
        <w:t xml:space="preserve"> </w:t>
      </w:r>
      <w:r>
        <w:rPr>
          <w:rFonts w:ascii="Times New Roman" w:hAnsi="Times New Roman" w:eastAsia="仿宋"/>
          <w:sz w:val="32"/>
          <w:szCs w:val="32"/>
        </w:rPr>
        <w:t>披露回购结果公告后，上市公司应当按照本</w:t>
      </w:r>
      <w:r>
        <w:rPr>
          <w:rFonts w:hint="eastAsia" w:ascii="Times New Roman" w:hAnsi="Times New Roman" w:eastAsia="仿宋"/>
          <w:sz w:val="32"/>
          <w:szCs w:val="32"/>
        </w:rPr>
        <w:t>指引</w:t>
      </w:r>
      <w:r>
        <w:rPr>
          <w:rFonts w:ascii="Times New Roman" w:hAnsi="Times New Roman" w:eastAsia="仿宋"/>
          <w:sz w:val="32"/>
          <w:szCs w:val="32"/>
        </w:rPr>
        <w:t>相关规定办理后续事宜。</w:t>
      </w:r>
    </w:p>
    <w:p>
      <w:pPr>
        <w:suppressAutoHyphens/>
        <w:spacing w:before="240" w:after="240" w:line="600" w:lineRule="exact"/>
        <w:jc w:val="center"/>
        <w:rPr>
          <w:rFonts w:ascii="黑体" w:hAnsi="黑体" w:eastAsia="黑体"/>
          <w:sz w:val="32"/>
          <w:szCs w:val="32"/>
        </w:rPr>
      </w:pPr>
      <w:r>
        <w:rPr>
          <w:rFonts w:hint="eastAsia" w:ascii="黑体" w:hAnsi="黑体" w:eastAsia="黑体"/>
          <w:sz w:val="32"/>
          <w:szCs w:val="32"/>
        </w:rPr>
        <w:t xml:space="preserve">第四章 </w:t>
      </w:r>
      <w:r>
        <w:rPr>
          <w:rFonts w:ascii="黑体" w:hAnsi="黑体" w:eastAsia="黑体"/>
          <w:sz w:val="32"/>
          <w:szCs w:val="32"/>
        </w:rPr>
        <w:t xml:space="preserve"> </w:t>
      </w:r>
      <w:r>
        <w:rPr>
          <w:rFonts w:hint="eastAsia" w:ascii="黑体" w:hAnsi="黑体" w:eastAsia="黑体"/>
          <w:sz w:val="32"/>
          <w:szCs w:val="32"/>
        </w:rPr>
        <w:t>定向回购</w:t>
      </w:r>
    </w:p>
    <w:p>
      <w:pPr>
        <w:spacing w:line="600" w:lineRule="exact"/>
        <w:ind w:firstLine="636"/>
        <w:rPr>
          <w:rFonts w:ascii="Times New Roman" w:hAnsi="Times New Roman" w:eastAsia="仿宋"/>
          <w:sz w:val="32"/>
          <w:szCs w:val="32"/>
        </w:rPr>
      </w:pPr>
      <w:r>
        <w:rPr>
          <w:rFonts w:ascii="黑体" w:hAnsi="黑体" w:eastAsia="黑体"/>
          <w:sz w:val="32"/>
          <w:szCs w:val="32"/>
        </w:rPr>
        <w:t>第六十</w:t>
      </w:r>
      <w:r>
        <w:rPr>
          <w:rFonts w:hint="eastAsia" w:ascii="黑体" w:hAnsi="黑体" w:eastAsia="黑体"/>
          <w:sz w:val="32"/>
          <w:szCs w:val="32"/>
        </w:rPr>
        <w:t>七</w:t>
      </w:r>
      <w:r>
        <w:rPr>
          <w:rFonts w:ascii="黑体" w:hAnsi="黑体" w:eastAsia="黑体"/>
          <w:sz w:val="32"/>
          <w:szCs w:val="32"/>
        </w:rPr>
        <w:t>条</w:t>
      </w:r>
      <w:r>
        <w:rPr>
          <w:rFonts w:hint="eastAsia" w:ascii="黑体" w:hAnsi="黑体" w:eastAsia="黑体"/>
          <w:sz w:val="32"/>
          <w:szCs w:val="32"/>
        </w:rPr>
        <w:t xml:space="preserve"> </w:t>
      </w:r>
      <w:r>
        <w:rPr>
          <w:rFonts w:ascii="黑体" w:hAnsi="黑体" w:eastAsia="黑体"/>
          <w:sz w:val="32"/>
          <w:szCs w:val="32"/>
        </w:rPr>
        <w:t xml:space="preserve"> </w:t>
      </w:r>
      <w:r>
        <w:rPr>
          <w:rFonts w:ascii="Times New Roman" w:hAnsi="Times New Roman" w:eastAsia="仿宋"/>
          <w:sz w:val="32"/>
          <w:szCs w:val="32"/>
        </w:rPr>
        <w:t>有下列情形之一的，上市公司可以根据相关回购条款或有关规定向本所申请办理定向回购：</w:t>
      </w:r>
    </w:p>
    <w:p>
      <w:pPr>
        <w:spacing w:line="600" w:lineRule="exact"/>
        <w:ind w:firstLine="636"/>
        <w:rPr>
          <w:rFonts w:ascii="Times New Roman" w:hAnsi="Times New Roman" w:eastAsia="仿宋"/>
          <w:bCs/>
          <w:sz w:val="32"/>
          <w:szCs w:val="32"/>
        </w:rPr>
      </w:pPr>
      <w:r>
        <w:rPr>
          <w:rFonts w:ascii="Times New Roman" w:hAnsi="Times New Roman" w:eastAsia="仿宋"/>
          <w:sz w:val="32"/>
          <w:szCs w:val="32"/>
        </w:rPr>
        <w:t>（一）</w:t>
      </w:r>
      <w:r>
        <w:rPr>
          <w:rFonts w:ascii="Times New Roman" w:hAnsi="Times New Roman" w:eastAsia="仿宋"/>
          <w:bCs/>
          <w:sz w:val="32"/>
          <w:szCs w:val="32"/>
        </w:rPr>
        <w:t>上市公司发行股份购买资产、重组上市（涉及股份发行），发行对象对标的资产有业绩承诺，因标的资产未完成业绩承诺，上市公司根据相关回购条款回购发行对象所持股份；</w:t>
      </w:r>
    </w:p>
    <w:p>
      <w:pPr>
        <w:spacing w:line="600" w:lineRule="exact"/>
        <w:ind w:firstLine="636"/>
        <w:rPr>
          <w:rFonts w:ascii="Times New Roman" w:hAnsi="Times New Roman" w:eastAsia="仿宋"/>
          <w:bCs/>
          <w:sz w:val="32"/>
          <w:szCs w:val="32"/>
        </w:rPr>
      </w:pPr>
      <w:r>
        <w:rPr>
          <w:rFonts w:ascii="Times New Roman" w:hAnsi="Times New Roman" w:eastAsia="仿宋"/>
          <w:bCs/>
          <w:sz w:val="32"/>
          <w:szCs w:val="32"/>
        </w:rPr>
        <w:t>（二）上市公司</w:t>
      </w:r>
      <w:r>
        <w:rPr>
          <w:rFonts w:hint="eastAsia" w:ascii="Times New Roman" w:hAnsi="Times New Roman" w:eastAsia="仿宋"/>
          <w:bCs/>
          <w:sz w:val="32"/>
          <w:szCs w:val="32"/>
        </w:rPr>
        <w:t>出现股权</w:t>
      </w:r>
      <w:r>
        <w:rPr>
          <w:rFonts w:ascii="Times New Roman" w:hAnsi="Times New Roman" w:eastAsia="仿宋"/>
          <w:bCs/>
          <w:sz w:val="32"/>
          <w:szCs w:val="32"/>
        </w:rPr>
        <w:t>激励计划规定的应当回购注销限制性股票情形的，上市公司根据相关回购条款或有关规定，回购激励对象所持股份；</w:t>
      </w:r>
    </w:p>
    <w:p>
      <w:pPr>
        <w:spacing w:line="600" w:lineRule="exact"/>
        <w:ind w:firstLine="636"/>
        <w:rPr>
          <w:rFonts w:ascii="Times New Roman" w:hAnsi="Times New Roman" w:eastAsia="仿宋"/>
          <w:bCs/>
          <w:sz w:val="32"/>
          <w:szCs w:val="32"/>
        </w:rPr>
      </w:pPr>
      <w:r>
        <w:rPr>
          <w:rFonts w:ascii="Times New Roman" w:hAnsi="Times New Roman" w:eastAsia="仿宋"/>
          <w:bCs/>
          <w:sz w:val="32"/>
          <w:szCs w:val="32"/>
        </w:rPr>
        <w:t>（三）法律法规规定或者中国证监会、本所规定的其他情形。</w:t>
      </w:r>
    </w:p>
    <w:p>
      <w:pPr>
        <w:spacing w:line="600" w:lineRule="exact"/>
        <w:ind w:firstLine="636"/>
        <w:rPr>
          <w:rFonts w:ascii="Times New Roman" w:hAnsi="Times New Roman" w:eastAsia="仿宋"/>
          <w:bCs/>
          <w:sz w:val="32"/>
          <w:szCs w:val="32"/>
        </w:rPr>
      </w:pPr>
      <w:r>
        <w:rPr>
          <w:rFonts w:ascii="Times New Roman" w:hAnsi="Times New Roman" w:eastAsia="仿宋"/>
          <w:bCs/>
          <w:sz w:val="32"/>
          <w:szCs w:val="32"/>
        </w:rPr>
        <w:t>相关回购条款是指在已公开披露的招股说明书、发行情况报告书、重大资产重组报告书、股权激励计划或其他相关文件中载明的触发回购情形的相关条款。</w:t>
      </w:r>
    </w:p>
    <w:p>
      <w:pPr>
        <w:spacing w:line="600" w:lineRule="exact"/>
        <w:ind w:firstLine="636"/>
        <w:rPr>
          <w:rFonts w:ascii="Times New Roman" w:hAnsi="Times New Roman" w:eastAsia="仿宋"/>
          <w:b/>
          <w:sz w:val="32"/>
          <w:szCs w:val="32"/>
        </w:rPr>
      </w:pPr>
      <w:r>
        <w:rPr>
          <w:rFonts w:ascii="黑体" w:hAnsi="黑体" w:eastAsia="黑体"/>
          <w:sz w:val="32"/>
          <w:szCs w:val="32"/>
        </w:rPr>
        <w:t>第六十</w:t>
      </w:r>
      <w:r>
        <w:rPr>
          <w:rFonts w:hint="eastAsia" w:ascii="黑体" w:hAnsi="黑体" w:eastAsia="黑体"/>
          <w:sz w:val="32"/>
          <w:szCs w:val="32"/>
        </w:rPr>
        <w:t>八</w:t>
      </w:r>
      <w:r>
        <w:rPr>
          <w:rFonts w:ascii="黑体" w:hAnsi="黑体" w:eastAsia="黑体"/>
          <w:sz w:val="32"/>
          <w:szCs w:val="32"/>
        </w:rPr>
        <w:t>条</w:t>
      </w:r>
      <w:r>
        <w:rPr>
          <w:rFonts w:hint="eastAsia" w:ascii="黑体" w:hAnsi="黑体" w:eastAsia="黑体"/>
          <w:sz w:val="32"/>
          <w:szCs w:val="32"/>
        </w:rPr>
        <w:t xml:space="preserve"> </w:t>
      </w:r>
      <w:r>
        <w:rPr>
          <w:rFonts w:ascii="黑体" w:hAnsi="黑体" w:eastAsia="黑体"/>
          <w:sz w:val="32"/>
          <w:szCs w:val="32"/>
        </w:rPr>
        <w:t xml:space="preserve"> </w:t>
      </w:r>
      <w:r>
        <w:rPr>
          <w:rFonts w:hint="eastAsia" w:ascii="Times New Roman" w:hAnsi="Times New Roman" w:eastAsia="仿宋"/>
          <w:sz w:val="32"/>
          <w:szCs w:val="32"/>
        </w:rPr>
        <w:t>上市公司因本指引第六十七条第一款第二项规定的情形回购股份的，</w:t>
      </w:r>
      <w:r>
        <w:rPr>
          <w:rFonts w:hint="eastAsia" w:ascii="Times New Roman" w:hAnsi="Times New Roman" w:eastAsia="仿宋"/>
          <w:bCs/>
          <w:sz w:val="32"/>
          <w:szCs w:val="32"/>
        </w:rPr>
        <w:t>按照《北京证券交易所持续监管指引第</w:t>
      </w:r>
      <w:r>
        <w:rPr>
          <w:rFonts w:ascii="Times New Roman" w:hAnsi="Times New Roman" w:eastAsia="仿宋"/>
          <w:bCs/>
          <w:sz w:val="32"/>
          <w:szCs w:val="32"/>
        </w:rPr>
        <w:t>3</w:t>
      </w:r>
      <w:r>
        <w:rPr>
          <w:rFonts w:hint="eastAsia" w:ascii="Times New Roman" w:hAnsi="Times New Roman" w:eastAsia="仿宋"/>
          <w:bCs/>
          <w:sz w:val="32"/>
          <w:szCs w:val="32"/>
        </w:rPr>
        <w:t>号——股权激励和员工持股计划》和本所</w:t>
      </w:r>
      <w:r>
        <w:rPr>
          <w:rFonts w:ascii="Times New Roman" w:hAnsi="Times New Roman" w:eastAsia="仿宋"/>
          <w:bCs/>
          <w:sz w:val="32"/>
          <w:szCs w:val="32"/>
        </w:rPr>
        <w:t>其他</w:t>
      </w:r>
      <w:r>
        <w:rPr>
          <w:rFonts w:hint="eastAsia" w:ascii="Times New Roman" w:hAnsi="Times New Roman" w:eastAsia="仿宋"/>
          <w:bCs/>
          <w:sz w:val="32"/>
          <w:szCs w:val="32"/>
        </w:rPr>
        <w:t>相关规定办理。</w:t>
      </w:r>
    </w:p>
    <w:p>
      <w:pPr>
        <w:spacing w:line="600" w:lineRule="exact"/>
        <w:ind w:firstLine="636"/>
        <w:rPr>
          <w:rFonts w:ascii="Times New Roman" w:hAnsi="Times New Roman" w:eastAsia="仿宋"/>
          <w:bCs/>
          <w:sz w:val="32"/>
          <w:szCs w:val="32"/>
        </w:rPr>
      </w:pPr>
      <w:r>
        <w:rPr>
          <w:rFonts w:ascii="Times New Roman" w:hAnsi="Times New Roman" w:eastAsia="仿宋"/>
          <w:sz w:val="32"/>
          <w:szCs w:val="32"/>
        </w:rPr>
        <w:t>除本指引第六十</w:t>
      </w:r>
      <w:r>
        <w:rPr>
          <w:rFonts w:hint="eastAsia" w:ascii="Times New Roman" w:hAnsi="Times New Roman" w:eastAsia="仿宋"/>
          <w:sz w:val="32"/>
          <w:szCs w:val="32"/>
        </w:rPr>
        <w:t>七</w:t>
      </w:r>
      <w:r>
        <w:rPr>
          <w:rFonts w:ascii="Times New Roman" w:hAnsi="Times New Roman" w:eastAsia="仿宋"/>
          <w:sz w:val="32"/>
          <w:szCs w:val="32"/>
        </w:rPr>
        <w:t>条</w:t>
      </w:r>
      <w:r>
        <w:rPr>
          <w:rFonts w:hint="eastAsia" w:ascii="Times New Roman" w:hAnsi="Times New Roman" w:eastAsia="仿宋"/>
          <w:sz w:val="32"/>
          <w:szCs w:val="32"/>
        </w:rPr>
        <w:t>第一款</w:t>
      </w:r>
      <w:r>
        <w:rPr>
          <w:rFonts w:ascii="Times New Roman" w:hAnsi="Times New Roman" w:eastAsia="仿宋"/>
          <w:sz w:val="32"/>
          <w:szCs w:val="32"/>
        </w:rPr>
        <w:t>第二项规定的情形外，</w:t>
      </w:r>
      <w:r>
        <w:rPr>
          <w:rFonts w:ascii="Times New Roman" w:hAnsi="Times New Roman" w:eastAsia="仿宋"/>
          <w:bCs/>
          <w:sz w:val="32"/>
          <w:szCs w:val="32"/>
        </w:rPr>
        <w:t>上市公司定向回购股份，应当按照本</w:t>
      </w:r>
      <w:r>
        <w:rPr>
          <w:rFonts w:hint="eastAsia" w:ascii="Times New Roman" w:hAnsi="Times New Roman" w:eastAsia="仿宋"/>
          <w:bCs/>
          <w:sz w:val="32"/>
          <w:szCs w:val="32"/>
        </w:rPr>
        <w:t>指引</w:t>
      </w:r>
      <w:r>
        <w:rPr>
          <w:rFonts w:ascii="Times New Roman" w:hAnsi="Times New Roman" w:eastAsia="仿宋"/>
          <w:bCs/>
          <w:sz w:val="32"/>
          <w:szCs w:val="32"/>
        </w:rPr>
        <w:t>第二十</w:t>
      </w:r>
      <w:r>
        <w:rPr>
          <w:rFonts w:hint="eastAsia" w:ascii="Times New Roman" w:hAnsi="Times New Roman" w:eastAsia="仿宋"/>
          <w:bCs/>
          <w:sz w:val="32"/>
          <w:szCs w:val="32"/>
        </w:rPr>
        <w:t>四</w:t>
      </w:r>
      <w:r>
        <w:rPr>
          <w:rFonts w:ascii="Times New Roman" w:hAnsi="Times New Roman" w:eastAsia="仿宋"/>
          <w:bCs/>
          <w:sz w:val="32"/>
          <w:szCs w:val="32"/>
        </w:rPr>
        <w:t>条、第二十</w:t>
      </w:r>
      <w:r>
        <w:rPr>
          <w:rFonts w:hint="eastAsia" w:ascii="Times New Roman" w:hAnsi="Times New Roman" w:eastAsia="仿宋"/>
          <w:bCs/>
          <w:sz w:val="32"/>
          <w:szCs w:val="32"/>
        </w:rPr>
        <w:t>五</w:t>
      </w:r>
      <w:r>
        <w:rPr>
          <w:rFonts w:ascii="Times New Roman" w:hAnsi="Times New Roman" w:eastAsia="仿宋"/>
          <w:bCs/>
          <w:sz w:val="32"/>
          <w:szCs w:val="32"/>
        </w:rPr>
        <w:t>条、第</w:t>
      </w:r>
      <w:r>
        <w:rPr>
          <w:rFonts w:hint="eastAsia" w:ascii="Times New Roman" w:hAnsi="Times New Roman" w:eastAsia="仿宋"/>
          <w:bCs/>
          <w:sz w:val="32"/>
          <w:szCs w:val="32"/>
        </w:rPr>
        <w:t>三十三</w:t>
      </w:r>
      <w:r>
        <w:rPr>
          <w:rFonts w:ascii="Times New Roman" w:hAnsi="Times New Roman" w:eastAsia="仿宋"/>
          <w:bCs/>
          <w:sz w:val="32"/>
          <w:szCs w:val="32"/>
        </w:rPr>
        <w:t>条的规定履行相应审议程序和信息披露义务。</w:t>
      </w:r>
    </w:p>
    <w:p>
      <w:pPr>
        <w:spacing w:line="600" w:lineRule="exact"/>
        <w:ind w:firstLine="636"/>
        <w:rPr>
          <w:rFonts w:ascii="Times New Roman" w:hAnsi="Times New Roman" w:eastAsia="仿宋"/>
          <w:bCs/>
          <w:sz w:val="32"/>
          <w:szCs w:val="32"/>
        </w:rPr>
      </w:pPr>
      <w:r>
        <w:rPr>
          <w:rFonts w:ascii="黑体" w:hAnsi="黑体" w:eastAsia="黑体"/>
          <w:sz w:val="32"/>
          <w:szCs w:val="32"/>
        </w:rPr>
        <w:t>第六十</w:t>
      </w:r>
      <w:r>
        <w:rPr>
          <w:rFonts w:hint="eastAsia" w:ascii="黑体" w:hAnsi="黑体" w:eastAsia="黑体"/>
          <w:sz w:val="32"/>
          <w:szCs w:val="32"/>
        </w:rPr>
        <w:t>九</w:t>
      </w:r>
      <w:r>
        <w:rPr>
          <w:rFonts w:ascii="黑体" w:hAnsi="黑体" w:eastAsia="黑体"/>
          <w:sz w:val="32"/>
          <w:szCs w:val="32"/>
        </w:rPr>
        <w:t>条</w:t>
      </w:r>
      <w:r>
        <w:rPr>
          <w:rFonts w:hint="eastAsia" w:ascii="黑体" w:hAnsi="黑体" w:eastAsia="黑体"/>
          <w:sz w:val="32"/>
          <w:szCs w:val="32"/>
        </w:rPr>
        <w:t xml:space="preserve"> </w:t>
      </w:r>
      <w:r>
        <w:rPr>
          <w:rFonts w:ascii="黑体" w:hAnsi="黑体" w:eastAsia="黑体"/>
          <w:sz w:val="32"/>
          <w:szCs w:val="32"/>
        </w:rPr>
        <w:t xml:space="preserve"> </w:t>
      </w:r>
      <w:r>
        <w:rPr>
          <w:rFonts w:ascii="Times New Roman" w:hAnsi="Times New Roman" w:eastAsia="仿宋"/>
          <w:bCs/>
          <w:sz w:val="32"/>
          <w:szCs w:val="32"/>
        </w:rPr>
        <w:t>定向回购股份方案应当包括以下内容：</w:t>
      </w:r>
    </w:p>
    <w:p>
      <w:pPr>
        <w:spacing w:line="600" w:lineRule="exact"/>
        <w:ind w:firstLine="636"/>
        <w:rPr>
          <w:rFonts w:ascii="Times New Roman" w:hAnsi="Times New Roman" w:eastAsia="仿宋"/>
          <w:bCs/>
          <w:sz w:val="32"/>
          <w:szCs w:val="32"/>
        </w:rPr>
      </w:pPr>
      <w:r>
        <w:rPr>
          <w:rFonts w:ascii="Times New Roman" w:hAnsi="Times New Roman" w:eastAsia="仿宋"/>
          <w:bCs/>
          <w:sz w:val="32"/>
          <w:szCs w:val="32"/>
        </w:rPr>
        <w:t>（一）回购的依据、触发回购情形的说明；</w:t>
      </w:r>
    </w:p>
    <w:p>
      <w:pPr>
        <w:spacing w:line="600" w:lineRule="exact"/>
        <w:ind w:firstLine="636"/>
        <w:rPr>
          <w:rFonts w:ascii="Times New Roman" w:hAnsi="Times New Roman" w:eastAsia="仿宋"/>
          <w:bCs/>
          <w:sz w:val="32"/>
          <w:szCs w:val="32"/>
        </w:rPr>
      </w:pPr>
      <w:r>
        <w:rPr>
          <w:rFonts w:ascii="Times New Roman" w:hAnsi="Times New Roman" w:eastAsia="仿宋"/>
          <w:bCs/>
          <w:sz w:val="32"/>
          <w:szCs w:val="32"/>
        </w:rPr>
        <w:t>（二）回购对象、价格、数量、占总股本的比例，回购金额及拟用于回购的资金来源；</w:t>
      </w:r>
    </w:p>
    <w:p>
      <w:pPr>
        <w:spacing w:line="600" w:lineRule="exact"/>
        <w:ind w:firstLine="636"/>
        <w:rPr>
          <w:rFonts w:ascii="Times New Roman" w:hAnsi="Times New Roman" w:eastAsia="仿宋"/>
          <w:bCs/>
          <w:sz w:val="32"/>
          <w:szCs w:val="32"/>
        </w:rPr>
      </w:pPr>
      <w:r>
        <w:rPr>
          <w:rFonts w:ascii="Times New Roman" w:hAnsi="Times New Roman" w:eastAsia="仿宋"/>
          <w:bCs/>
          <w:sz w:val="32"/>
          <w:szCs w:val="32"/>
        </w:rPr>
        <w:t>（三）预计回购后公司股本及股权结构的变动情况，及本次回购对公司财务状况、</w:t>
      </w:r>
      <w:r>
        <w:rPr>
          <w:rFonts w:ascii="Times New Roman" w:hAnsi="Times New Roman" w:eastAsia="仿宋"/>
          <w:sz w:val="32"/>
          <w:szCs w:val="32"/>
        </w:rPr>
        <w:t>债务履行能力</w:t>
      </w:r>
      <w:r>
        <w:rPr>
          <w:rFonts w:ascii="Times New Roman" w:hAnsi="Times New Roman" w:eastAsia="仿宋"/>
          <w:bCs/>
          <w:sz w:val="32"/>
          <w:szCs w:val="32"/>
        </w:rPr>
        <w:t>和持续经营能力的影响；</w:t>
      </w:r>
    </w:p>
    <w:p>
      <w:pPr>
        <w:spacing w:line="600" w:lineRule="exact"/>
        <w:ind w:firstLine="636"/>
        <w:rPr>
          <w:rFonts w:ascii="Times New Roman" w:hAnsi="Times New Roman" w:eastAsia="仿宋"/>
          <w:bCs/>
          <w:sz w:val="32"/>
          <w:szCs w:val="32"/>
        </w:rPr>
      </w:pPr>
      <w:r>
        <w:rPr>
          <w:rFonts w:ascii="Times New Roman" w:hAnsi="Times New Roman" w:eastAsia="仿宋"/>
          <w:bCs/>
          <w:sz w:val="32"/>
          <w:szCs w:val="32"/>
        </w:rPr>
        <w:t>（四）</w:t>
      </w:r>
      <w:r>
        <w:rPr>
          <w:rFonts w:ascii="Times New Roman" w:hAnsi="Times New Roman" w:eastAsia="仿宋"/>
          <w:sz w:val="32"/>
          <w:szCs w:val="32"/>
        </w:rPr>
        <w:t>防范侵害债权人利益的相关安排；</w:t>
      </w:r>
    </w:p>
    <w:p>
      <w:pPr>
        <w:spacing w:line="600" w:lineRule="exact"/>
        <w:ind w:firstLine="636"/>
        <w:rPr>
          <w:rFonts w:ascii="Times New Roman" w:hAnsi="Times New Roman" w:eastAsia="仿宋"/>
          <w:bCs/>
          <w:sz w:val="32"/>
          <w:szCs w:val="32"/>
        </w:rPr>
      </w:pPr>
      <w:r>
        <w:rPr>
          <w:rFonts w:ascii="Times New Roman" w:hAnsi="Times New Roman" w:eastAsia="仿宋"/>
          <w:bCs/>
          <w:sz w:val="32"/>
          <w:szCs w:val="32"/>
        </w:rPr>
        <w:t>（五）其他应说明的事项。</w:t>
      </w:r>
    </w:p>
    <w:p>
      <w:pPr>
        <w:spacing w:line="600" w:lineRule="exact"/>
        <w:ind w:firstLine="636"/>
        <w:rPr>
          <w:rFonts w:ascii="Times New Roman" w:hAnsi="Times New Roman" w:eastAsia="仿宋"/>
          <w:bCs/>
          <w:sz w:val="32"/>
          <w:szCs w:val="32"/>
        </w:rPr>
      </w:pPr>
      <w:r>
        <w:rPr>
          <w:rFonts w:ascii="黑体" w:hAnsi="黑体" w:eastAsia="黑体"/>
          <w:sz w:val="32"/>
          <w:szCs w:val="32"/>
        </w:rPr>
        <w:t>第</w:t>
      </w:r>
      <w:r>
        <w:rPr>
          <w:rFonts w:hint="eastAsia" w:ascii="黑体" w:hAnsi="黑体" w:eastAsia="黑体"/>
          <w:sz w:val="32"/>
          <w:szCs w:val="32"/>
        </w:rPr>
        <w:t>七十</w:t>
      </w:r>
      <w:r>
        <w:rPr>
          <w:rFonts w:ascii="黑体" w:hAnsi="黑体" w:eastAsia="黑体"/>
          <w:sz w:val="32"/>
          <w:szCs w:val="32"/>
        </w:rPr>
        <w:t>条</w:t>
      </w:r>
      <w:r>
        <w:rPr>
          <w:rFonts w:hint="eastAsia" w:ascii="黑体" w:hAnsi="黑体" w:eastAsia="黑体"/>
          <w:sz w:val="32"/>
          <w:szCs w:val="32"/>
        </w:rPr>
        <w:t xml:space="preserve"> </w:t>
      </w:r>
      <w:r>
        <w:rPr>
          <w:rFonts w:ascii="黑体" w:hAnsi="黑体" w:eastAsia="黑体"/>
          <w:sz w:val="32"/>
          <w:szCs w:val="32"/>
        </w:rPr>
        <w:t xml:space="preserve"> </w:t>
      </w:r>
      <w:r>
        <w:rPr>
          <w:rFonts w:hint="eastAsia" w:ascii="Times New Roman" w:hAnsi="Times New Roman" w:eastAsia="仿宋"/>
          <w:sz w:val="32"/>
          <w:szCs w:val="32"/>
        </w:rPr>
        <w:t>律师事务所应当就回购股份方案是否符合法律、行政法规、本指引的规定，股权激励计划的安排出具专业意见。根据本指引第六十七条第一款第一项规定的情形进行回购的，上市公司聘请的财务顾问也应一并出具专业意见。</w:t>
      </w:r>
    </w:p>
    <w:p>
      <w:pPr>
        <w:spacing w:line="600" w:lineRule="exact"/>
        <w:ind w:firstLine="640" w:firstLineChars="200"/>
        <w:rPr>
          <w:rFonts w:ascii="Times New Roman" w:hAnsi="Times New Roman" w:eastAsia="仿宋"/>
          <w:sz w:val="32"/>
          <w:szCs w:val="32"/>
        </w:rPr>
      </w:pPr>
      <w:r>
        <w:rPr>
          <w:rFonts w:ascii="黑体" w:hAnsi="黑体" w:eastAsia="黑体"/>
          <w:sz w:val="32"/>
          <w:szCs w:val="32"/>
        </w:rPr>
        <w:t>第</w:t>
      </w:r>
      <w:r>
        <w:rPr>
          <w:rFonts w:hint="eastAsia" w:ascii="黑体" w:hAnsi="黑体" w:eastAsia="黑体"/>
          <w:sz w:val="32"/>
          <w:szCs w:val="32"/>
        </w:rPr>
        <w:t>七十一</w:t>
      </w:r>
      <w:r>
        <w:rPr>
          <w:rFonts w:ascii="黑体" w:hAnsi="黑体" w:eastAsia="黑体"/>
          <w:sz w:val="32"/>
          <w:szCs w:val="32"/>
        </w:rPr>
        <w:t>条</w:t>
      </w:r>
      <w:r>
        <w:rPr>
          <w:rFonts w:hint="eastAsia" w:ascii="黑体" w:hAnsi="黑体" w:eastAsia="黑体"/>
          <w:sz w:val="32"/>
          <w:szCs w:val="32"/>
        </w:rPr>
        <w:t xml:space="preserve"> </w:t>
      </w:r>
      <w:r>
        <w:rPr>
          <w:rFonts w:ascii="黑体" w:hAnsi="黑体" w:eastAsia="黑体"/>
          <w:sz w:val="32"/>
          <w:szCs w:val="32"/>
        </w:rPr>
        <w:t xml:space="preserve"> </w:t>
      </w:r>
      <w:r>
        <w:rPr>
          <w:rFonts w:ascii="Times New Roman" w:hAnsi="Times New Roman" w:eastAsia="仿宋"/>
          <w:sz w:val="32"/>
          <w:szCs w:val="32"/>
        </w:rPr>
        <w:t>上市公司应当在董事会或股东会（如须）审议通过定向回购股份方案后，向本所提交定向回购股份过户并注销申请</w:t>
      </w:r>
      <w:r>
        <w:rPr>
          <w:rFonts w:hint="eastAsia" w:ascii="Times New Roman" w:hAnsi="Times New Roman" w:eastAsia="仿宋"/>
          <w:sz w:val="32"/>
          <w:szCs w:val="32"/>
        </w:rPr>
        <w:t>（附件</w:t>
      </w:r>
      <w:r>
        <w:rPr>
          <w:rFonts w:ascii="Times New Roman" w:hAnsi="Times New Roman" w:eastAsia="仿宋"/>
          <w:sz w:val="32"/>
          <w:szCs w:val="32"/>
        </w:rPr>
        <w:t>7</w:t>
      </w:r>
      <w:r>
        <w:rPr>
          <w:rFonts w:hint="eastAsia" w:ascii="Times New Roman" w:hAnsi="Times New Roman" w:eastAsia="仿宋"/>
          <w:sz w:val="32"/>
          <w:szCs w:val="32"/>
        </w:rPr>
        <w:t>）</w:t>
      </w:r>
      <w:r>
        <w:rPr>
          <w:rFonts w:ascii="Times New Roman" w:hAnsi="Times New Roman" w:eastAsia="仿宋"/>
          <w:sz w:val="32"/>
          <w:szCs w:val="32"/>
        </w:rPr>
        <w:t>，并按照中国结算有关规定申请开立回购专户。</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本所经审查无异议的，上市公司应当按照中国结算有关规定办理股份过户和注销手续。</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股份注销完成后，上市公司应当及时披露回购股份注销完成暨股份变动公告，并按有关规定办理工商变更登记手续。</w:t>
      </w:r>
    </w:p>
    <w:p>
      <w:pPr>
        <w:suppressAutoHyphens/>
        <w:spacing w:before="240" w:after="240" w:line="600" w:lineRule="exact"/>
        <w:jc w:val="center"/>
        <w:rPr>
          <w:rFonts w:ascii="黑体" w:hAnsi="黑体" w:eastAsia="黑体"/>
          <w:sz w:val="32"/>
          <w:szCs w:val="32"/>
        </w:rPr>
      </w:pPr>
      <w:r>
        <w:rPr>
          <w:rFonts w:hint="eastAsia" w:ascii="黑体" w:hAnsi="黑体" w:eastAsia="黑体"/>
          <w:sz w:val="32"/>
          <w:szCs w:val="32"/>
        </w:rPr>
        <w:t>第五章  日常监管</w:t>
      </w:r>
    </w:p>
    <w:p>
      <w:pPr>
        <w:spacing w:line="600" w:lineRule="exact"/>
        <w:ind w:firstLine="640" w:firstLineChars="200"/>
        <w:rPr>
          <w:rFonts w:ascii="Times New Roman" w:hAnsi="Times New Roman" w:eastAsia="仿宋"/>
          <w:sz w:val="32"/>
          <w:szCs w:val="32"/>
        </w:rPr>
      </w:pPr>
      <w:r>
        <w:rPr>
          <w:rFonts w:ascii="黑体" w:hAnsi="黑体" w:eastAsia="黑体"/>
          <w:sz w:val="32"/>
          <w:szCs w:val="32"/>
        </w:rPr>
        <w:t>第</w:t>
      </w:r>
      <w:r>
        <w:rPr>
          <w:rFonts w:hint="eastAsia" w:ascii="黑体" w:hAnsi="黑体" w:eastAsia="黑体"/>
          <w:sz w:val="32"/>
          <w:szCs w:val="32"/>
        </w:rPr>
        <w:t>七十二</w:t>
      </w:r>
      <w:r>
        <w:rPr>
          <w:rFonts w:ascii="黑体" w:hAnsi="黑体" w:eastAsia="黑体"/>
          <w:sz w:val="32"/>
          <w:szCs w:val="32"/>
        </w:rPr>
        <w:t>条</w:t>
      </w:r>
      <w:r>
        <w:rPr>
          <w:rFonts w:hint="eastAsia" w:ascii="黑体" w:hAnsi="黑体" w:eastAsia="黑体"/>
          <w:sz w:val="32"/>
          <w:szCs w:val="32"/>
        </w:rPr>
        <w:t xml:space="preserve"> </w:t>
      </w:r>
      <w:r>
        <w:rPr>
          <w:rFonts w:ascii="黑体" w:hAnsi="黑体" w:eastAsia="黑体"/>
          <w:sz w:val="32"/>
          <w:szCs w:val="32"/>
        </w:rPr>
        <w:t xml:space="preserve"> </w:t>
      </w:r>
      <w:r>
        <w:rPr>
          <w:rFonts w:hint="eastAsia" w:ascii="Times New Roman" w:hAnsi="Times New Roman" w:eastAsia="仿宋"/>
          <w:sz w:val="32"/>
          <w:szCs w:val="32"/>
        </w:rPr>
        <w:t>本所对上市公司及相关信息披露义务人的信息披露文件和申请文件进行审查，发现存在问题的，可以采用要求说明、公开问询等方式，要求上市公司及相关信息披露义务人、财务顾问和其他证券服务机构等相关主体进行解释、说明、更正和补充，相关主体应当及时回复，并保证回复内容的真实、准确、完整</w:t>
      </w:r>
      <w:r>
        <w:rPr>
          <w:rFonts w:ascii="Times New Roman" w:hAnsi="Times New Roman" w:eastAsia="仿宋"/>
          <w:sz w:val="32"/>
          <w:szCs w:val="32"/>
        </w:rPr>
        <w:t>。</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上市公司未按照本</w:t>
      </w:r>
      <w:r>
        <w:rPr>
          <w:rFonts w:hint="eastAsia" w:ascii="Times New Roman" w:hAnsi="Times New Roman" w:eastAsia="仿宋"/>
          <w:sz w:val="32"/>
          <w:szCs w:val="32"/>
        </w:rPr>
        <w:t>指引</w:t>
      </w:r>
      <w:r>
        <w:rPr>
          <w:rFonts w:ascii="Times New Roman" w:hAnsi="Times New Roman" w:eastAsia="仿宋"/>
          <w:sz w:val="32"/>
          <w:szCs w:val="32"/>
        </w:rPr>
        <w:t>及本所其他相关规定披露回购股份信息</w:t>
      </w:r>
      <w:r>
        <w:rPr>
          <w:rFonts w:hint="eastAsia" w:ascii="Times New Roman" w:hAnsi="Times New Roman" w:eastAsia="仿宋"/>
          <w:sz w:val="32"/>
          <w:szCs w:val="32"/>
        </w:rPr>
        <w:t>，且</w:t>
      </w:r>
      <w:r>
        <w:rPr>
          <w:rFonts w:ascii="Times New Roman" w:hAnsi="Times New Roman" w:eastAsia="仿宋"/>
          <w:sz w:val="32"/>
          <w:szCs w:val="32"/>
        </w:rPr>
        <w:t>未按照本所要求</w:t>
      </w:r>
      <w:r>
        <w:rPr>
          <w:rFonts w:hint="eastAsia" w:ascii="Times New Roman" w:hAnsi="Times New Roman" w:eastAsia="仿宋"/>
          <w:sz w:val="32"/>
          <w:szCs w:val="32"/>
        </w:rPr>
        <w:t>解释、说明、更正和补充</w:t>
      </w:r>
      <w:r>
        <w:rPr>
          <w:rFonts w:ascii="Times New Roman" w:hAnsi="Times New Roman" w:eastAsia="仿宋"/>
          <w:sz w:val="32"/>
          <w:szCs w:val="32"/>
        </w:rPr>
        <w:t>的，本所可以要求其暂停或者终止回购股份活动。</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本所对回购专户及股份回购行为进行监察。</w:t>
      </w:r>
    </w:p>
    <w:p>
      <w:pPr>
        <w:spacing w:line="600" w:lineRule="exact"/>
        <w:ind w:firstLine="640" w:firstLineChars="200"/>
        <w:rPr>
          <w:rFonts w:ascii="Times New Roman" w:hAnsi="Times New Roman" w:eastAsia="仿宋"/>
          <w:sz w:val="32"/>
          <w:szCs w:val="32"/>
        </w:rPr>
      </w:pPr>
      <w:r>
        <w:rPr>
          <w:rFonts w:ascii="黑体" w:hAnsi="黑体" w:eastAsia="黑体"/>
          <w:sz w:val="32"/>
          <w:szCs w:val="32"/>
        </w:rPr>
        <w:t>第</w:t>
      </w:r>
      <w:r>
        <w:rPr>
          <w:rFonts w:hint="eastAsia" w:ascii="黑体" w:hAnsi="黑体" w:eastAsia="黑体"/>
          <w:sz w:val="32"/>
          <w:szCs w:val="32"/>
        </w:rPr>
        <w:t>七十三</w:t>
      </w:r>
      <w:r>
        <w:rPr>
          <w:rFonts w:ascii="黑体" w:hAnsi="黑体" w:eastAsia="黑体"/>
          <w:sz w:val="32"/>
          <w:szCs w:val="32"/>
        </w:rPr>
        <w:t>条</w:t>
      </w:r>
      <w:r>
        <w:rPr>
          <w:rFonts w:hint="eastAsia" w:ascii="黑体" w:hAnsi="黑体" w:eastAsia="黑体"/>
          <w:sz w:val="32"/>
          <w:szCs w:val="32"/>
        </w:rPr>
        <w:t xml:space="preserve"> </w:t>
      </w:r>
      <w:r>
        <w:rPr>
          <w:rFonts w:ascii="黑体" w:hAnsi="黑体" w:eastAsia="黑体"/>
          <w:sz w:val="32"/>
          <w:szCs w:val="32"/>
        </w:rPr>
        <w:t xml:space="preserve"> </w:t>
      </w:r>
      <w:r>
        <w:rPr>
          <w:rFonts w:hint="eastAsia" w:ascii="Times New Roman" w:hAnsi="Times New Roman" w:eastAsia="仿宋"/>
          <w:sz w:val="32"/>
          <w:szCs w:val="32"/>
        </w:rPr>
        <w:t>上市公司及相关主体在股份回购中有违规行为或者未按照回购报告书实施回购的，本所可以视情节轻重对上市公司及相关责任主体采取工作措施、自律监管措施或纪律处分。涉嫌违反法律法规及中国证监会有关规定的，本所将上报中国证监会查处。</w:t>
      </w:r>
    </w:p>
    <w:p>
      <w:pPr>
        <w:suppressAutoHyphens/>
        <w:spacing w:before="240" w:after="240" w:line="600" w:lineRule="exact"/>
        <w:jc w:val="center"/>
        <w:rPr>
          <w:rFonts w:ascii="黑体" w:hAnsi="黑体" w:eastAsia="黑体"/>
          <w:sz w:val="32"/>
          <w:szCs w:val="32"/>
        </w:rPr>
      </w:pPr>
      <w:r>
        <w:rPr>
          <w:rFonts w:hint="eastAsia" w:ascii="黑体" w:hAnsi="黑体" w:eastAsia="黑体"/>
          <w:sz w:val="32"/>
          <w:szCs w:val="32"/>
        </w:rPr>
        <w:t>第六章  附  则</w:t>
      </w:r>
    </w:p>
    <w:p>
      <w:pPr>
        <w:spacing w:line="600" w:lineRule="exact"/>
        <w:ind w:firstLine="640" w:firstLineChars="200"/>
        <w:rPr>
          <w:rFonts w:ascii="Times New Roman" w:hAnsi="Times New Roman" w:eastAsia="仿宋"/>
          <w:sz w:val="32"/>
          <w:szCs w:val="32"/>
        </w:rPr>
      </w:pPr>
      <w:r>
        <w:rPr>
          <w:rFonts w:ascii="黑体" w:hAnsi="黑体" w:eastAsia="黑体"/>
          <w:sz w:val="32"/>
          <w:szCs w:val="32"/>
        </w:rPr>
        <w:t>第七十</w:t>
      </w:r>
      <w:r>
        <w:rPr>
          <w:rFonts w:hint="eastAsia" w:ascii="黑体" w:hAnsi="黑体" w:eastAsia="黑体"/>
          <w:sz w:val="32"/>
          <w:szCs w:val="32"/>
        </w:rPr>
        <w:t>四</w:t>
      </w:r>
      <w:r>
        <w:rPr>
          <w:rFonts w:ascii="黑体" w:hAnsi="黑体" w:eastAsia="黑体"/>
          <w:sz w:val="32"/>
          <w:szCs w:val="32"/>
        </w:rPr>
        <w:t>条</w:t>
      </w:r>
      <w:r>
        <w:rPr>
          <w:rFonts w:hint="eastAsia" w:ascii="黑体" w:hAnsi="黑体" w:eastAsia="黑体"/>
          <w:sz w:val="32"/>
          <w:szCs w:val="32"/>
        </w:rPr>
        <w:t xml:space="preserve"> </w:t>
      </w:r>
      <w:r>
        <w:rPr>
          <w:rFonts w:ascii="黑体" w:hAnsi="黑体" w:eastAsia="黑体"/>
          <w:sz w:val="32"/>
          <w:szCs w:val="32"/>
        </w:rPr>
        <w:t xml:space="preserve"> </w:t>
      </w:r>
      <w:r>
        <w:rPr>
          <w:rFonts w:hint="eastAsia" w:ascii="Times New Roman" w:hAnsi="Times New Roman" w:eastAsia="仿宋"/>
          <w:sz w:val="32"/>
          <w:szCs w:val="32"/>
        </w:rPr>
        <w:t>计算上市公司已回购股份占公司总股本的比例时，总股本以公司最近一次公告的总股本为准，不扣减回购专用账户中的股份。</w:t>
      </w:r>
    </w:p>
    <w:p>
      <w:pPr>
        <w:spacing w:line="600" w:lineRule="exact"/>
        <w:ind w:firstLine="636"/>
        <w:rPr>
          <w:rFonts w:ascii="Times New Roman" w:hAnsi="Times New Roman" w:eastAsia="仿宋"/>
          <w:sz w:val="32"/>
          <w:szCs w:val="32"/>
        </w:rPr>
      </w:pPr>
      <w:r>
        <w:rPr>
          <w:rFonts w:ascii="黑体" w:hAnsi="黑体" w:eastAsia="黑体"/>
          <w:sz w:val="32"/>
          <w:szCs w:val="32"/>
        </w:rPr>
        <w:t>第七十</w:t>
      </w:r>
      <w:r>
        <w:rPr>
          <w:rFonts w:hint="eastAsia" w:ascii="黑体" w:hAnsi="黑体" w:eastAsia="黑体"/>
          <w:sz w:val="32"/>
          <w:szCs w:val="32"/>
        </w:rPr>
        <w:t>五</w:t>
      </w:r>
      <w:r>
        <w:rPr>
          <w:rFonts w:ascii="黑体" w:hAnsi="黑体" w:eastAsia="黑体"/>
          <w:sz w:val="32"/>
          <w:szCs w:val="32"/>
        </w:rPr>
        <w:t>条</w:t>
      </w:r>
      <w:r>
        <w:rPr>
          <w:rFonts w:hint="eastAsia" w:ascii="黑体" w:hAnsi="黑体" w:eastAsia="黑体"/>
          <w:sz w:val="32"/>
          <w:szCs w:val="32"/>
        </w:rPr>
        <w:t xml:space="preserve"> </w:t>
      </w:r>
      <w:r>
        <w:rPr>
          <w:rFonts w:ascii="黑体" w:hAnsi="黑体" w:eastAsia="黑体"/>
          <w:sz w:val="32"/>
          <w:szCs w:val="32"/>
        </w:rPr>
        <w:t xml:space="preserve"> </w:t>
      </w:r>
      <w:r>
        <w:rPr>
          <w:rFonts w:ascii="Times New Roman" w:hAnsi="Times New Roman" w:eastAsia="仿宋"/>
          <w:sz w:val="32"/>
          <w:szCs w:val="32"/>
        </w:rPr>
        <w:t>本</w:t>
      </w:r>
      <w:r>
        <w:rPr>
          <w:rFonts w:hint="eastAsia" w:ascii="Times New Roman" w:hAnsi="Times New Roman" w:eastAsia="仿宋"/>
          <w:sz w:val="32"/>
          <w:szCs w:val="32"/>
        </w:rPr>
        <w:t>指引所规定的交易均价按照董事会审议通过回购股份决议前</w:t>
      </w:r>
      <w:r>
        <w:rPr>
          <w:rFonts w:ascii="Times New Roman" w:hAnsi="Times New Roman" w:eastAsia="仿宋"/>
          <w:sz w:val="32"/>
          <w:szCs w:val="32"/>
        </w:rPr>
        <w:t>30</w:t>
      </w:r>
      <w:r>
        <w:rPr>
          <w:rFonts w:hint="eastAsia" w:ascii="Times New Roman" w:hAnsi="Times New Roman" w:eastAsia="仿宋"/>
          <w:sz w:val="32"/>
          <w:szCs w:val="32"/>
        </w:rPr>
        <w:t>个交易日（不含停牌日）的股票交易总额除以股票交易总量计算，且不包含大宗交易。</w:t>
      </w:r>
    </w:p>
    <w:p>
      <w:pPr>
        <w:spacing w:line="600" w:lineRule="exact"/>
        <w:ind w:firstLine="636"/>
        <w:rPr>
          <w:rFonts w:ascii="Times New Roman" w:hAnsi="Times New Roman" w:eastAsia="仿宋"/>
          <w:sz w:val="32"/>
          <w:szCs w:val="32"/>
        </w:rPr>
      </w:pPr>
      <w:r>
        <w:rPr>
          <w:rFonts w:ascii="黑体" w:hAnsi="黑体" w:eastAsia="黑体"/>
          <w:sz w:val="32"/>
          <w:szCs w:val="32"/>
        </w:rPr>
        <w:t>第七十</w:t>
      </w:r>
      <w:r>
        <w:rPr>
          <w:rFonts w:hint="eastAsia" w:ascii="黑体" w:hAnsi="黑体" w:eastAsia="黑体"/>
          <w:sz w:val="32"/>
          <w:szCs w:val="32"/>
        </w:rPr>
        <w:t>六</w:t>
      </w:r>
      <w:r>
        <w:rPr>
          <w:rFonts w:ascii="黑体" w:hAnsi="黑体" w:eastAsia="黑体"/>
          <w:sz w:val="32"/>
          <w:szCs w:val="32"/>
        </w:rPr>
        <w:t>条</w:t>
      </w:r>
      <w:r>
        <w:rPr>
          <w:rFonts w:hint="eastAsia" w:ascii="黑体" w:hAnsi="黑体" w:eastAsia="黑体"/>
          <w:sz w:val="32"/>
          <w:szCs w:val="32"/>
        </w:rPr>
        <w:t xml:space="preserve"> </w:t>
      </w:r>
      <w:r>
        <w:rPr>
          <w:rFonts w:ascii="黑体" w:hAnsi="黑体" w:eastAsia="黑体"/>
          <w:sz w:val="32"/>
          <w:szCs w:val="32"/>
        </w:rPr>
        <w:t xml:space="preserve"> </w:t>
      </w:r>
      <w:r>
        <w:rPr>
          <w:rFonts w:hint="eastAsia" w:ascii="Times New Roman" w:hAnsi="Times New Roman" w:eastAsia="仿宋"/>
          <w:sz w:val="32"/>
          <w:szCs w:val="32"/>
        </w:rPr>
        <w:t>本指引关于控股股东、实际控制人、持股5%以上股东、回购股份提议人、第一大股东的相关规定，适用于其一致行动人。</w:t>
      </w:r>
    </w:p>
    <w:p>
      <w:pPr>
        <w:spacing w:line="600" w:lineRule="exact"/>
        <w:ind w:firstLine="636"/>
        <w:rPr>
          <w:rFonts w:ascii="Times New Roman" w:hAnsi="Times New Roman" w:eastAsia="仿宋"/>
          <w:sz w:val="32"/>
          <w:szCs w:val="32"/>
        </w:rPr>
      </w:pPr>
      <w:r>
        <w:rPr>
          <w:rFonts w:ascii="黑体" w:hAnsi="黑体" w:eastAsia="黑体"/>
          <w:sz w:val="32"/>
          <w:szCs w:val="32"/>
        </w:rPr>
        <w:t>第七十</w:t>
      </w:r>
      <w:r>
        <w:rPr>
          <w:rFonts w:hint="eastAsia" w:ascii="黑体" w:hAnsi="黑体" w:eastAsia="黑体"/>
          <w:sz w:val="32"/>
          <w:szCs w:val="32"/>
        </w:rPr>
        <w:t>七</w:t>
      </w:r>
      <w:r>
        <w:rPr>
          <w:rFonts w:ascii="黑体" w:hAnsi="黑体" w:eastAsia="黑体"/>
          <w:sz w:val="32"/>
          <w:szCs w:val="32"/>
        </w:rPr>
        <w:t>条</w:t>
      </w:r>
      <w:r>
        <w:rPr>
          <w:rFonts w:hint="eastAsia" w:ascii="黑体" w:hAnsi="黑体" w:eastAsia="黑体"/>
          <w:sz w:val="32"/>
          <w:szCs w:val="32"/>
        </w:rPr>
        <w:t xml:space="preserve"> </w:t>
      </w:r>
      <w:r>
        <w:rPr>
          <w:rFonts w:ascii="黑体" w:hAnsi="黑体" w:eastAsia="黑体"/>
          <w:sz w:val="32"/>
          <w:szCs w:val="32"/>
        </w:rPr>
        <w:t xml:space="preserve"> </w:t>
      </w:r>
      <w:r>
        <w:rPr>
          <w:rFonts w:ascii="Times New Roman" w:hAnsi="Times New Roman" w:eastAsia="仿宋"/>
          <w:sz w:val="32"/>
          <w:szCs w:val="32"/>
        </w:rPr>
        <w:t>本</w:t>
      </w:r>
      <w:r>
        <w:rPr>
          <w:rFonts w:hint="eastAsia" w:ascii="Times New Roman" w:hAnsi="Times New Roman" w:eastAsia="仿宋"/>
          <w:sz w:val="32"/>
          <w:szCs w:val="32"/>
        </w:rPr>
        <w:t>指引</w:t>
      </w:r>
      <w:r>
        <w:rPr>
          <w:rFonts w:ascii="Times New Roman" w:hAnsi="Times New Roman" w:eastAsia="仿宋"/>
          <w:sz w:val="32"/>
          <w:szCs w:val="32"/>
        </w:rPr>
        <w:t>由本所负责解释。</w:t>
      </w:r>
    </w:p>
    <w:p>
      <w:pPr>
        <w:spacing w:line="600" w:lineRule="exact"/>
        <w:ind w:firstLine="636"/>
        <w:rPr>
          <w:rFonts w:ascii="Times New Roman" w:hAnsi="Times New Roman" w:eastAsia="仿宋"/>
          <w:sz w:val="32"/>
          <w:szCs w:val="32"/>
        </w:rPr>
      </w:pPr>
      <w:r>
        <w:rPr>
          <w:rFonts w:ascii="黑体" w:hAnsi="黑体" w:eastAsia="黑体"/>
          <w:sz w:val="32"/>
          <w:szCs w:val="32"/>
        </w:rPr>
        <w:t>第</w:t>
      </w:r>
      <w:r>
        <w:rPr>
          <w:rFonts w:hint="eastAsia" w:ascii="黑体" w:hAnsi="黑体" w:eastAsia="黑体"/>
          <w:sz w:val="32"/>
          <w:szCs w:val="32"/>
        </w:rPr>
        <w:t>七十八</w:t>
      </w:r>
      <w:r>
        <w:rPr>
          <w:rFonts w:ascii="黑体" w:hAnsi="黑体" w:eastAsia="黑体"/>
          <w:sz w:val="32"/>
          <w:szCs w:val="32"/>
        </w:rPr>
        <w:t>条</w:t>
      </w:r>
      <w:r>
        <w:rPr>
          <w:rFonts w:hint="eastAsia" w:ascii="黑体" w:hAnsi="黑体" w:eastAsia="黑体"/>
          <w:sz w:val="32"/>
          <w:szCs w:val="32"/>
        </w:rPr>
        <w:t xml:space="preserve"> </w:t>
      </w:r>
      <w:r>
        <w:rPr>
          <w:rFonts w:ascii="黑体" w:hAnsi="黑体" w:eastAsia="黑体"/>
          <w:sz w:val="32"/>
          <w:szCs w:val="32"/>
        </w:rPr>
        <w:t xml:space="preserve"> </w:t>
      </w:r>
      <w:r>
        <w:rPr>
          <w:rFonts w:hint="eastAsia" w:ascii="Times New Roman" w:hAnsi="Times New Roman" w:eastAsia="仿宋"/>
          <w:kern w:val="0"/>
          <w:sz w:val="32"/>
          <w:szCs w:val="32"/>
        </w:rPr>
        <w:t>本指引自发布之日起施行。</w:t>
      </w:r>
    </w:p>
    <w:p>
      <w:pPr>
        <w:widowControl/>
        <w:jc w:val="left"/>
        <w:rPr>
          <w:rFonts w:ascii="Times New Roman" w:hAnsi="Times New Roman" w:eastAsia="仿宋"/>
          <w:sz w:val="32"/>
          <w:szCs w:val="32"/>
        </w:rPr>
        <w:sectPr>
          <w:footerReference r:id="rId3" w:type="default"/>
          <w:footerReference r:id="rId4" w:type="even"/>
          <w:pgSz w:w="11906" w:h="16838"/>
          <w:pgMar w:top="2098" w:right="1588" w:bottom="1984" w:left="1588" w:header="851" w:footer="992" w:gutter="0"/>
          <w:pgNumType w:fmt="numberInDash"/>
          <w:cols w:space="425" w:num="1"/>
          <w:docGrid w:type="lines" w:linePitch="312" w:charSpace="0"/>
        </w:sectPr>
      </w:pPr>
      <w:r>
        <w:rPr>
          <w:rFonts w:ascii="Times New Roman" w:hAnsi="Times New Roman" w:eastAsia="仿宋"/>
          <w:sz w:val="32"/>
          <w:szCs w:val="32"/>
        </w:rPr>
        <w:br w:type="page"/>
      </w:r>
    </w:p>
    <w:p>
      <w:pPr>
        <w:spacing w:line="580" w:lineRule="exact"/>
        <w:ind w:right="-59"/>
        <w:rPr>
          <w:rFonts w:ascii="Times New Roman" w:hAnsi="Times New Roman" w:eastAsia="黑体"/>
        </w:rPr>
      </w:pPr>
      <w:r>
        <w:rPr>
          <w:rFonts w:hint="eastAsia" w:ascii="Times New Roman" w:hAnsi="Times New Roman" w:eastAsia="黑体"/>
          <w:sz w:val="32"/>
          <w:szCs w:val="32"/>
        </w:rPr>
        <w:t>附件</w:t>
      </w:r>
      <w:r>
        <w:rPr>
          <w:rFonts w:ascii="Times New Roman" w:hAnsi="Times New Roman" w:eastAsia="黑体"/>
          <w:sz w:val="32"/>
          <w:szCs w:val="32"/>
        </w:rPr>
        <w:t>1</w:t>
      </w:r>
    </w:p>
    <w:p>
      <w:pPr>
        <w:adjustRightInd w:val="0"/>
        <w:snapToGrid w:val="0"/>
        <w:spacing w:line="600" w:lineRule="exact"/>
        <w:jc w:val="center"/>
        <w:rPr>
          <w:rFonts w:ascii="Times New Roman" w:hAnsi="Times New Roman" w:eastAsia="仿宋"/>
          <w:sz w:val="40"/>
          <w:szCs w:val="40"/>
        </w:rPr>
      </w:pPr>
      <w:r>
        <w:rPr>
          <w:rFonts w:hint="eastAsia" w:ascii="Times New Roman" w:hAnsi="Times New Roman" w:eastAsia="黑体"/>
          <w:sz w:val="40"/>
          <w:szCs w:val="40"/>
        </w:rPr>
        <w:t>内幕信息知情人报备文件及要求</w:t>
      </w:r>
    </w:p>
    <w:tbl>
      <w:tblPr>
        <w:tblStyle w:val="9"/>
        <w:tblW w:w="10491" w:type="dxa"/>
        <w:tblInd w:w="-99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41"/>
        <w:gridCol w:w="1953"/>
        <w:gridCol w:w="779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41" w:type="dxa"/>
            <w:shd w:val="clear" w:color="auto" w:fill="FFFFFF" w:themeFill="background1"/>
            <w:vAlign w:val="center"/>
          </w:tcPr>
          <w:p>
            <w:pPr>
              <w:adjustRightInd w:val="0"/>
              <w:snapToGrid w:val="0"/>
              <w:rPr>
                <w:rFonts w:eastAsia="仿宋"/>
                <w:b/>
                <w:sz w:val="24"/>
                <w:szCs w:val="24"/>
              </w:rPr>
            </w:pPr>
            <w:r>
              <w:rPr>
                <w:rFonts w:hint="eastAsia" w:eastAsia="仿宋"/>
                <w:b/>
                <w:sz w:val="24"/>
                <w:szCs w:val="24"/>
              </w:rPr>
              <w:t>序号</w:t>
            </w:r>
          </w:p>
        </w:tc>
        <w:tc>
          <w:tcPr>
            <w:tcW w:w="1953" w:type="dxa"/>
            <w:shd w:val="clear" w:color="auto" w:fill="FFFFFF" w:themeFill="background1"/>
            <w:vAlign w:val="center"/>
          </w:tcPr>
          <w:p>
            <w:pPr>
              <w:adjustRightInd w:val="0"/>
              <w:snapToGrid w:val="0"/>
              <w:jc w:val="center"/>
              <w:rPr>
                <w:rFonts w:eastAsia="仿宋"/>
                <w:b/>
                <w:sz w:val="24"/>
                <w:szCs w:val="24"/>
              </w:rPr>
            </w:pPr>
            <w:r>
              <w:rPr>
                <w:rFonts w:hint="eastAsia" w:eastAsia="仿宋"/>
                <w:b/>
                <w:sz w:val="24"/>
                <w:szCs w:val="24"/>
              </w:rPr>
              <w:t>文件名称</w:t>
            </w:r>
          </w:p>
        </w:tc>
        <w:tc>
          <w:tcPr>
            <w:tcW w:w="7797" w:type="dxa"/>
            <w:shd w:val="clear" w:color="auto" w:fill="FFFFFF" w:themeFill="background1"/>
            <w:vAlign w:val="center"/>
          </w:tcPr>
          <w:p>
            <w:pPr>
              <w:adjustRightInd w:val="0"/>
              <w:snapToGrid w:val="0"/>
              <w:jc w:val="center"/>
              <w:rPr>
                <w:rFonts w:eastAsia="仿宋"/>
                <w:b/>
                <w:sz w:val="24"/>
                <w:szCs w:val="24"/>
              </w:rPr>
            </w:pPr>
            <w:r>
              <w:rPr>
                <w:rFonts w:hint="eastAsia" w:eastAsia="仿宋"/>
                <w:b/>
                <w:sz w:val="24"/>
                <w:szCs w:val="24"/>
              </w:rPr>
              <w:t>内容要求</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41" w:type="dxa"/>
            <w:vAlign w:val="center"/>
          </w:tcPr>
          <w:p>
            <w:pPr>
              <w:adjustRightInd w:val="0"/>
              <w:snapToGrid w:val="0"/>
              <w:jc w:val="center"/>
              <w:rPr>
                <w:rFonts w:hint="default" w:ascii="Times New Roman" w:hAnsi="Times New Roman" w:eastAsia="仿宋" w:cs="Times New Roman"/>
                <w:sz w:val="24"/>
                <w:szCs w:val="24"/>
              </w:rPr>
            </w:pPr>
            <w:r>
              <w:rPr>
                <w:rFonts w:hint="default" w:ascii="Times New Roman" w:hAnsi="Times New Roman" w:eastAsia="仿宋" w:cs="Times New Roman"/>
                <w:sz w:val="24"/>
                <w:szCs w:val="24"/>
              </w:rPr>
              <w:t>1</w:t>
            </w:r>
          </w:p>
        </w:tc>
        <w:tc>
          <w:tcPr>
            <w:tcW w:w="1953" w:type="dxa"/>
            <w:vAlign w:val="center"/>
          </w:tcPr>
          <w:p>
            <w:pPr>
              <w:adjustRightInd w:val="0"/>
              <w:snapToGrid w:val="0"/>
              <w:jc w:val="center"/>
              <w:rPr>
                <w:rFonts w:eastAsia="仿宋"/>
                <w:sz w:val="24"/>
                <w:szCs w:val="24"/>
              </w:rPr>
            </w:pPr>
            <w:r>
              <w:rPr>
                <w:rFonts w:hint="eastAsia" w:eastAsia="仿宋"/>
                <w:sz w:val="24"/>
                <w:szCs w:val="24"/>
              </w:rPr>
              <w:t>内幕信息知情人登记表</w:t>
            </w:r>
          </w:p>
        </w:tc>
        <w:tc>
          <w:tcPr>
            <w:tcW w:w="7797" w:type="dxa"/>
          </w:tcPr>
          <w:p>
            <w:pPr>
              <w:adjustRightInd w:val="0"/>
              <w:snapToGrid w:val="0"/>
              <w:rPr>
                <w:rFonts w:eastAsia="仿宋"/>
                <w:sz w:val="24"/>
                <w:szCs w:val="24"/>
              </w:rPr>
            </w:pPr>
            <w:r>
              <w:rPr>
                <w:rFonts w:hint="eastAsia" w:eastAsia="仿宋"/>
                <w:sz w:val="24"/>
                <w:szCs w:val="24"/>
              </w:rPr>
              <w:t>内幕信息知情人范围，根据《证券法》第五十一条的有关规定确定，包括但不限于：</w:t>
            </w:r>
          </w:p>
          <w:p>
            <w:pPr>
              <w:adjustRightInd w:val="0"/>
              <w:snapToGrid w:val="0"/>
              <w:rPr>
                <w:rFonts w:eastAsia="仿宋"/>
                <w:sz w:val="24"/>
                <w:szCs w:val="24"/>
              </w:rPr>
            </w:pPr>
            <w:r>
              <w:rPr>
                <w:rFonts w:hint="eastAsia" w:eastAsia="仿宋"/>
                <w:sz w:val="24"/>
                <w:szCs w:val="24"/>
              </w:rPr>
              <w:t>（</w:t>
            </w:r>
            <w:r>
              <w:rPr>
                <w:rFonts w:hint="default" w:ascii="Times New Roman" w:hAnsi="Times New Roman" w:eastAsia="仿宋" w:cs="Times New Roman"/>
                <w:sz w:val="24"/>
                <w:szCs w:val="24"/>
              </w:rPr>
              <w:t>1</w:t>
            </w:r>
            <w:r>
              <w:rPr>
                <w:rFonts w:hint="eastAsia" w:eastAsia="仿宋"/>
                <w:sz w:val="24"/>
                <w:szCs w:val="24"/>
              </w:rPr>
              <w:t>）上市公司及其董事</w:t>
            </w:r>
            <w:r>
              <w:rPr>
                <w:rFonts w:hint="eastAsia" w:eastAsia="仿宋"/>
                <w:sz w:val="24"/>
                <w:szCs w:val="24"/>
                <w:lang w:eastAsia="zh-CN"/>
              </w:rPr>
              <w:t>、高级管理人员</w:t>
            </w:r>
            <w:r>
              <w:rPr>
                <w:rFonts w:hint="eastAsia" w:eastAsia="仿宋"/>
                <w:sz w:val="24"/>
                <w:szCs w:val="24"/>
              </w:rPr>
              <w:t>；</w:t>
            </w:r>
          </w:p>
          <w:p>
            <w:pPr>
              <w:adjustRightInd w:val="0"/>
              <w:snapToGrid w:val="0"/>
              <w:rPr>
                <w:rFonts w:eastAsia="仿宋"/>
                <w:sz w:val="24"/>
                <w:szCs w:val="24"/>
              </w:rPr>
            </w:pPr>
            <w:r>
              <w:rPr>
                <w:rFonts w:hint="eastAsia" w:eastAsia="仿宋"/>
                <w:sz w:val="24"/>
                <w:szCs w:val="24"/>
                <w:highlight w:val="none"/>
              </w:rPr>
              <w:t>（</w:t>
            </w:r>
            <w:r>
              <w:rPr>
                <w:rFonts w:hint="default" w:ascii="Times New Roman" w:hAnsi="Times New Roman" w:eastAsia="仿宋" w:cs="Times New Roman"/>
                <w:sz w:val="24"/>
                <w:szCs w:val="24"/>
                <w:highlight w:val="none"/>
              </w:rPr>
              <w:t>2</w:t>
            </w:r>
            <w:r>
              <w:rPr>
                <w:rFonts w:hint="eastAsia" w:eastAsia="仿宋"/>
                <w:sz w:val="24"/>
                <w:szCs w:val="24"/>
                <w:highlight w:val="none"/>
              </w:rPr>
              <w:t>）持有上市公司</w:t>
            </w:r>
            <w:r>
              <w:rPr>
                <w:rFonts w:hint="default" w:ascii="Times New Roman" w:hAnsi="Times New Roman" w:eastAsia="仿宋" w:cs="Times New Roman"/>
                <w:sz w:val="24"/>
                <w:szCs w:val="24"/>
                <w:highlight w:val="none"/>
              </w:rPr>
              <w:t>5%</w:t>
            </w:r>
            <w:r>
              <w:rPr>
                <w:rFonts w:hint="eastAsia" w:eastAsia="仿宋"/>
                <w:sz w:val="24"/>
                <w:szCs w:val="24"/>
                <w:highlight w:val="none"/>
              </w:rPr>
              <w:t>以上股份的股东和上市公司的实际控制人，以及其董事、监事、高级管理人员（如有）；</w:t>
            </w:r>
          </w:p>
          <w:p>
            <w:pPr>
              <w:adjustRightInd w:val="0"/>
              <w:snapToGrid w:val="0"/>
              <w:rPr>
                <w:rFonts w:eastAsia="仿宋"/>
                <w:sz w:val="24"/>
                <w:szCs w:val="24"/>
              </w:rPr>
            </w:pPr>
            <w:r>
              <w:rPr>
                <w:rFonts w:hint="eastAsia" w:eastAsia="仿宋"/>
                <w:sz w:val="24"/>
                <w:szCs w:val="24"/>
              </w:rPr>
              <w:t>（</w:t>
            </w:r>
            <w:r>
              <w:rPr>
                <w:rFonts w:hint="eastAsia" w:ascii="Times New Roman" w:hAnsi="Times New Roman" w:eastAsia="仿宋" w:cs="Times New Roman"/>
                <w:sz w:val="24"/>
                <w:szCs w:val="24"/>
                <w:highlight w:val="none"/>
              </w:rPr>
              <w:t>3</w:t>
            </w:r>
            <w:r>
              <w:rPr>
                <w:rFonts w:hint="eastAsia" w:eastAsia="仿宋"/>
                <w:sz w:val="24"/>
                <w:szCs w:val="24"/>
              </w:rPr>
              <w:t>）回购方案的提议人及其控股股东或第一大股东、实际控制人、董事</w:t>
            </w:r>
            <w:r>
              <w:rPr>
                <w:rFonts w:hint="eastAsia" w:eastAsia="仿宋"/>
                <w:sz w:val="24"/>
                <w:szCs w:val="24"/>
                <w:lang w:eastAsia="zh-CN"/>
              </w:rPr>
              <w:t>、监事、高级管理人员</w:t>
            </w:r>
            <w:r>
              <w:rPr>
                <w:rFonts w:hint="eastAsia" w:eastAsia="仿宋"/>
                <w:sz w:val="24"/>
                <w:szCs w:val="24"/>
              </w:rPr>
              <w:t>（含主要负责人）（如适用）；</w:t>
            </w:r>
          </w:p>
          <w:p>
            <w:pPr>
              <w:adjustRightInd w:val="0"/>
              <w:snapToGrid w:val="0"/>
              <w:rPr>
                <w:rFonts w:hint="default" w:ascii="Times New Roman" w:hAnsi="Times New Roman" w:eastAsia="仿宋" w:cs="Times New Roman"/>
                <w:sz w:val="24"/>
                <w:szCs w:val="24"/>
                <w:highlight w:val="none"/>
              </w:rPr>
            </w:pPr>
            <w:r>
              <w:rPr>
                <w:rFonts w:hint="eastAsia" w:eastAsia="仿宋"/>
                <w:sz w:val="24"/>
                <w:szCs w:val="24"/>
              </w:rPr>
              <w:t>（</w:t>
            </w:r>
            <w:r>
              <w:rPr>
                <w:rFonts w:hint="eastAsia" w:ascii="Times New Roman" w:hAnsi="Times New Roman" w:eastAsia="仿宋" w:cs="Times New Roman"/>
                <w:sz w:val="24"/>
                <w:szCs w:val="24"/>
                <w:highlight w:val="none"/>
              </w:rPr>
              <w:t>4</w:t>
            </w:r>
            <w:r>
              <w:rPr>
                <w:rFonts w:hint="eastAsia" w:eastAsia="仿宋"/>
                <w:sz w:val="24"/>
                <w:szCs w:val="24"/>
              </w:rPr>
              <w:t>）上市公司控股或者实际控制的公司及其董事、监事、高级管理人员（</w:t>
            </w:r>
            <w:r>
              <w:rPr>
                <w:rFonts w:hint="eastAsia" w:ascii="Times New Roman" w:hAnsi="Times New Roman" w:eastAsia="仿宋" w:cs="Times New Roman"/>
                <w:sz w:val="24"/>
                <w:szCs w:val="24"/>
                <w:highlight w:val="none"/>
              </w:rPr>
              <w:t>如有）；</w:t>
            </w:r>
          </w:p>
          <w:p>
            <w:pPr>
              <w:adjustRightInd w:val="0"/>
              <w:snapToGrid w:val="0"/>
              <w:rPr>
                <w:rFonts w:eastAsia="仿宋"/>
                <w:sz w:val="24"/>
                <w:szCs w:val="24"/>
              </w:rPr>
            </w:pPr>
            <w:r>
              <w:rPr>
                <w:rFonts w:hint="eastAsia" w:ascii="Times New Roman" w:hAnsi="Times New Roman" w:eastAsia="仿宋" w:cs="Times New Roman"/>
                <w:sz w:val="24"/>
                <w:szCs w:val="24"/>
                <w:highlight w:val="none"/>
              </w:rPr>
              <w:t>（5</w:t>
            </w:r>
            <w:r>
              <w:rPr>
                <w:rFonts w:hint="eastAsia" w:eastAsia="仿宋"/>
                <w:sz w:val="24"/>
                <w:szCs w:val="24"/>
              </w:rPr>
              <w:t>）由于所任公司职务或者因与公司业务往来可以获取本次股份回购相关内幕信息的人员；</w:t>
            </w:r>
          </w:p>
          <w:p>
            <w:pPr>
              <w:adjustRightInd w:val="0"/>
              <w:snapToGrid w:val="0"/>
              <w:rPr>
                <w:rFonts w:eastAsia="仿宋"/>
                <w:sz w:val="24"/>
                <w:szCs w:val="24"/>
              </w:rPr>
            </w:pPr>
            <w:r>
              <w:rPr>
                <w:rFonts w:hint="eastAsia" w:eastAsia="仿宋"/>
                <w:sz w:val="24"/>
                <w:szCs w:val="24"/>
              </w:rPr>
              <w:t>（</w:t>
            </w:r>
            <w:r>
              <w:rPr>
                <w:rFonts w:hint="eastAsia" w:ascii="Times New Roman" w:hAnsi="Times New Roman" w:eastAsia="仿宋" w:cs="Times New Roman"/>
                <w:sz w:val="24"/>
                <w:szCs w:val="24"/>
                <w:highlight w:val="none"/>
              </w:rPr>
              <w:t>6</w:t>
            </w:r>
            <w:r>
              <w:rPr>
                <w:rFonts w:hint="eastAsia" w:eastAsia="仿宋"/>
                <w:sz w:val="24"/>
                <w:szCs w:val="24"/>
              </w:rPr>
              <w:t>）为本次股份回购提供服务以及参与该事项的咨询、筹划、论证、审批等各环节的相关单位和人员；</w:t>
            </w:r>
          </w:p>
          <w:p>
            <w:pPr>
              <w:adjustRightInd w:val="0"/>
              <w:snapToGrid w:val="0"/>
              <w:rPr>
                <w:rFonts w:eastAsia="仿宋"/>
                <w:sz w:val="24"/>
                <w:szCs w:val="24"/>
              </w:rPr>
            </w:pPr>
            <w:r>
              <w:rPr>
                <w:rFonts w:hint="eastAsia" w:eastAsia="仿宋"/>
                <w:sz w:val="24"/>
                <w:szCs w:val="24"/>
              </w:rPr>
              <w:t>（</w:t>
            </w:r>
            <w:r>
              <w:rPr>
                <w:rFonts w:hint="eastAsia" w:ascii="Times New Roman" w:hAnsi="Times New Roman" w:eastAsia="仿宋" w:cs="Times New Roman"/>
                <w:sz w:val="24"/>
                <w:szCs w:val="24"/>
                <w:highlight w:val="none"/>
              </w:rPr>
              <w:t>7</w:t>
            </w:r>
            <w:r>
              <w:rPr>
                <w:rFonts w:hint="eastAsia" w:eastAsia="仿宋"/>
                <w:sz w:val="24"/>
                <w:szCs w:val="24"/>
              </w:rPr>
              <w:t>）前述自然人的直系亲属（配偶、父母、子女）；</w:t>
            </w:r>
          </w:p>
          <w:p>
            <w:pPr>
              <w:adjustRightInd w:val="0"/>
              <w:snapToGrid w:val="0"/>
              <w:rPr>
                <w:rFonts w:eastAsia="仿宋"/>
                <w:sz w:val="24"/>
                <w:szCs w:val="24"/>
              </w:rPr>
            </w:pPr>
            <w:r>
              <w:rPr>
                <w:rFonts w:hint="eastAsia" w:eastAsia="仿宋"/>
                <w:sz w:val="24"/>
                <w:szCs w:val="24"/>
              </w:rPr>
              <w:t>上市公司的所有董事和</w:t>
            </w:r>
            <w:r>
              <w:rPr>
                <w:rFonts w:hint="eastAsia" w:eastAsia="仿宋"/>
                <w:sz w:val="24"/>
                <w:szCs w:val="24"/>
                <w:lang w:eastAsia="zh-CN"/>
              </w:rPr>
              <w:t>高级管理人员</w:t>
            </w:r>
            <w:r>
              <w:rPr>
                <w:rFonts w:hint="eastAsia" w:eastAsia="仿宋"/>
                <w:sz w:val="24"/>
                <w:szCs w:val="24"/>
              </w:rPr>
              <w:t>及其直系亲属，无论是否知情，均属于内幕信息知情人报备范围；</w:t>
            </w:r>
          </w:p>
          <w:p>
            <w:pPr>
              <w:adjustRightInd w:val="0"/>
              <w:snapToGrid w:val="0"/>
              <w:rPr>
                <w:rFonts w:eastAsia="仿宋"/>
                <w:sz w:val="24"/>
                <w:szCs w:val="24"/>
              </w:rPr>
            </w:pPr>
            <w:r>
              <w:rPr>
                <w:rFonts w:hint="eastAsia" w:eastAsia="仿宋"/>
                <w:sz w:val="24"/>
                <w:szCs w:val="24"/>
              </w:rPr>
              <w:t>（</w:t>
            </w:r>
            <w:r>
              <w:rPr>
                <w:rFonts w:hint="eastAsia" w:ascii="Times New Roman" w:hAnsi="Times New Roman" w:eastAsia="仿宋" w:cs="Times New Roman"/>
                <w:sz w:val="24"/>
                <w:szCs w:val="24"/>
                <w:highlight w:val="none"/>
              </w:rPr>
              <w:t>8</w:t>
            </w:r>
            <w:r>
              <w:rPr>
                <w:rFonts w:hint="eastAsia" w:eastAsia="仿宋"/>
                <w:sz w:val="24"/>
                <w:szCs w:val="24"/>
              </w:rPr>
              <w:t>）可以获取内幕信息的其他人员。</w:t>
            </w:r>
          </w:p>
          <w:p>
            <w:pPr>
              <w:adjustRightInd w:val="0"/>
              <w:snapToGrid w:val="0"/>
              <w:rPr>
                <w:rFonts w:eastAsia="仿宋"/>
                <w:sz w:val="24"/>
                <w:szCs w:val="24"/>
              </w:rPr>
            </w:pPr>
            <w:r>
              <w:rPr>
                <w:rFonts w:hint="eastAsia" w:eastAsia="仿宋"/>
                <w:sz w:val="24"/>
                <w:szCs w:val="24"/>
              </w:rPr>
              <w:t>登记表加盖公司公章或公司董事会公章，并写明填报日期。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41" w:type="dxa"/>
            <w:vAlign w:val="center"/>
          </w:tcPr>
          <w:p>
            <w:pPr>
              <w:adjustRightInd w:val="0"/>
              <w:snapToGrid w:val="0"/>
              <w:jc w:val="center"/>
              <w:rPr>
                <w:rFonts w:hint="default" w:ascii="Times New Roman" w:hAnsi="Times New Roman" w:eastAsia="仿宋" w:cs="Times New Roman"/>
                <w:sz w:val="24"/>
                <w:szCs w:val="24"/>
              </w:rPr>
            </w:pPr>
            <w:r>
              <w:rPr>
                <w:rFonts w:hint="default" w:ascii="Times New Roman" w:hAnsi="Times New Roman" w:eastAsia="仿宋" w:cs="Times New Roman"/>
                <w:sz w:val="24"/>
                <w:szCs w:val="24"/>
              </w:rPr>
              <w:t>2</w:t>
            </w:r>
          </w:p>
        </w:tc>
        <w:tc>
          <w:tcPr>
            <w:tcW w:w="1953" w:type="dxa"/>
            <w:vAlign w:val="center"/>
          </w:tcPr>
          <w:p>
            <w:pPr>
              <w:adjustRightInd w:val="0"/>
              <w:snapToGrid w:val="0"/>
              <w:jc w:val="center"/>
              <w:rPr>
                <w:rFonts w:eastAsia="仿宋"/>
                <w:sz w:val="24"/>
                <w:szCs w:val="24"/>
              </w:rPr>
            </w:pPr>
            <w:r>
              <w:rPr>
                <w:rFonts w:hint="eastAsia" w:eastAsia="仿宋"/>
                <w:sz w:val="24"/>
                <w:szCs w:val="24"/>
              </w:rPr>
              <w:t>自查报告</w:t>
            </w:r>
          </w:p>
        </w:tc>
        <w:tc>
          <w:tcPr>
            <w:tcW w:w="7797" w:type="dxa"/>
          </w:tcPr>
          <w:p>
            <w:pPr>
              <w:adjustRightInd w:val="0"/>
              <w:snapToGrid w:val="0"/>
              <w:rPr>
                <w:rFonts w:eastAsia="仿宋"/>
                <w:sz w:val="24"/>
                <w:szCs w:val="24"/>
              </w:rPr>
            </w:pPr>
            <w:r>
              <w:rPr>
                <w:rFonts w:hint="eastAsia" w:eastAsia="仿宋"/>
                <w:sz w:val="24"/>
                <w:szCs w:val="24"/>
              </w:rPr>
              <w:t>自然人自查报告：应列明自然人的姓名、职务、身份证号码、股票账户、有无买卖股票行为，并经本人签字确认；</w:t>
            </w:r>
          </w:p>
          <w:p>
            <w:pPr>
              <w:adjustRightInd w:val="0"/>
              <w:snapToGrid w:val="0"/>
              <w:rPr>
                <w:rFonts w:eastAsia="仿宋"/>
                <w:sz w:val="24"/>
                <w:szCs w:val="24"/>
              </w:rPr>
            </w:pPr>
            <w:r>
              <w:rPr>
                <w:rFonts w:hint="eastAsia" w:eastAsia="仿宋"/>
                <w:sz w:val="24"/>
                <w:szCs w:val="24"/>
              </w:rPr>
              <w:t>机构的自查报告：应列明机构的名称、统一社会信用代码、股票账户、有无买卖股票行为并加盖公章确认。</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741" w:type="dxa"/>
            <w:vAlign w:val="center"/>
          </w:tcPr>
          <w:p>
            <w:pPr>
              <w:adjustRightInd w:val="0"/>
              <w:snapToGrid w:val="0"/>
              <w:jc w:val="center"/>
              <w:rPr>
                <w:rFonts w:hint="default" w:ascii="Times New Roman" w:hAnsi="Times New Roman" w:eastAsia="仿宋" w:cs="Times New Roman"/>
                <w:sz w:val="24"/>
                <w:szCs w:val="24"/>
              </w:rPr>
            </w:pPr>
            <w:r>
              <w:rPr>
                <w:rFonts w:hint="eastAsia" w:ascii="Times New Roman" w:hAnsi="Times New Roman" w:eastAsia="仿宋" w:cs="Times New Roman"/>
                <w:sz w:val="24"/>
                <w:szCs w:val="24"/>
              </w:rPr>
              <w:t>3</w:t>
            </w:r>
          </w:p>
        </w:tc>
        <w:tc>
          <w:tcPr>
            <w:tcW w:w="1953" w:type="dxa"/>
            <w:vAlign w:val="center"/>
          </w:tcPr>
          <w:p>
            <w:pPr>
              <w:adjustRightInd w:val="0"/>
              <w:snapToGrid w:val="0"/>
              <w:jc w:val="center"/>
              <w:rPr>
                <w:rFonts w:eastAsia="仿宋"/>
                <w:sz w:val="24"/>
                <w:szCs w:val="24"/>
              </w:rPr>
            </w:pPr>
            <w:r>
              <w:rPr>
                <w:rFonts w:hint="eastAsia" w:eastAsia="仿宋"/>
                <w:sz w:val="24"/>
                <w:szCs w:val="24"/>
              </w:rPr>
              <w:t>承诺书</w:t>
            </w:r>
          </w:p>
        </w:tc>
        <w:tc>
          <w:tcPr>
            <w:tcW w:w="7797" w:type="dxa"/>
          </w:tcPr>
          <w:p>
            <w:pPr>
              <w:adjustRightInd w:val="0"/>
              <w:snapToGrid w:val="0"/>
              <w:rPr>
                <w:rFonts w:eastAsia="仿宋"/>
                <w:sz w:val="24"/>
                <w:szCs w:val="24"/>
              </w:rPr>
            </w:pPr>
            <w:r>
              <w:rPr>
                <w:rFonts w:hint="eastAsia" w:eastAsia="仿宋"/>
                <w:sz w:val="24"/>
                <w:szCs w:val="24"/>
              </w:rPr>
              <w:t>上市公司全体董事对内幕信息知情人报备文件真实性、准确性和完整性的承诺书，由全体董事签字并加盖公司公章。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41" w:type="dxa"/>
            <w:vAlign w:val="center"/>
          </w:tcPr>
          <w:p>
            <w:pPr>
              <w:adjustRightInd w:val="0"/>
              <w:snapToGrid w:val="0"/>
              <w:jc w:val="center"/>
              <w:rPr>
                <w:rFonts w:hint="default" w:ascii="Times New Roman" w:hAnsi="Times New Roman" w:eastAsia="仿宋" w:cs="Times New Roman"/>
                <w:sz w:val="24"/>
                <w:szCs w:val="24"/>
              </w:rPr>
            </w:pPr>
            <w:r>
              <w:rPr>
                <w:rFonts w:hint="default" w:ascii="Times New Roman" w:hAnsi="Times New Roman" w:eastAsia="仿宋" w:cs="Times New Roman"/>
                <w:sz w:val="24"/>
                <w:szCs w:val="24"/>
              </w:rPr>
              <w:t>4</w:t>
            </w:r>
          </w:p>
        </w:tc>
        <w:tc>
          <w:tcPr>
            <w:tcW w:w="1953" w:type="dxa"/>
            <w:vAlign w:val="center"/>
          </w:tcPr>
          <w:p>
            <w:pPr>
              <w:adjustRightInd w:val="0"/>
              <w:snapToGrid w:val="0"/>
              <w:jc w:val="center"/>
              <w:rPr>
                <w:rFonts w:eastAsia="仿宋"/>
                <w:sz w:val="24"/>
                <w:szCs w:val="24"/>
              </w:rPr>
            </w:pPr>
            <w:r>
              <w:rPr>
                <w:rFonts w:hint="eastAsia" w:eastAsia="仿宋"/>
                <w:sz w:val="24"/>
                <w:szCs w:val="24"/>
              </w:rPr>
              <w:t>重大事项</w:t>
            </w:r>
          </w:p>
          <w:p>
            <w:pPr>
              <w:adjustRightInd w:val="0"/>
              <w:snapToGrid w:val="0"/>
              <w:jc w:val="center"/>
              <w:rPr>
                <w:rFonts w:eastAsia="仿宋"/>
                <w:sz w:val="24"/>
                <w:szCs w:val="24"/>
              </w:rPr>
            </w:pPr>
            <w:r>
              <w:rPr>
                <w:rFonts w:hint="eastAsia" w:eastAsia="仿宋"/>
                <w:sz w:val="24"/>
                <w:szCs w:val="24"/>
              </w:rPr>
              <w:t>进程备忘录</w:t>
            </w:r>
          </w:p>
        </w:tc>
        <w:tc>
          <w:tcPr>
            <w:tcW w:w="7797" w:type="dxa"/>
          </w:tcPr>
          <w:p>
            <w:pPr>
              <w:adjustRightInd w:val="0"/>
              <w:snapToGrid w:val="0"/>
              <w:rPr>
                <w:rFonts w:eastAsia="仿宋"/>
                <w:sz w:val="24"/>
                <w:szCs w:val="24"/>
              </w:rPr>
            </w:pPr>
            <w:r>
              <w:rPr>
                <w:rFonts w:hint="eastAsia" w:eastAsia="仿宋"/>
                <w:sz w:val="24"/>
                <w:szCs w:val="24"/>
              </w:rPr>
              <w:t>包括但不限于筹划决策过程中各个关键时点的时间、参与筹划决策人员名单、筹划决策方式等。涉及的相关人员均应在备忘录上签名确认。</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41" w:type="dxa"/>
            <w:vAlign w:val="center"/>
          </w:tcPr>
          <w:p>
            <w:pPr>
              <w:adjustRightInd w:val="0"/>
              <w:snapToGrid w:val="0"/>
              <w:jc w:val="center"/>
              <w:rPr>
                <w:rFonts w:hint="default" w:ascii="Times New Roman" w:hAnsi="Times New Roman" w:eastAsia="仿宋" w:cs="Times New Roman"/>
                <w:sz w:val="24"/>
                <w:szCs w:val="24"/>
              </w:rPr>
            </w:pPr>
            <w:r>
              <w:rPr>
                <w:rFonts w:hint="default" w:ascii="Times New Roman" w:hAnsi="Times New Roman" w:eastAsia="仿宋" w:cs="Times New Roman"/>
                <w:sz w:val="24"/>
                <w:szCs w:val="24"/>
              </w:rPr>
              <w:t>5</w:t>
            </w:r>
          </w:p>
        </w:tc>
        <w:tc>
          <w:tcPr>
            <w:tcW w:w="1953" w:type="dxa"/>
            <w:vAlign w:val="center"/>
          </w:tcPr>
          <w:p>
            <w:pPr>
              <w:adjustRightInd w:val="0"/>
              <w:snapToGrid w:val="0"/>
              <w:jc w:val="center"/>
              <w:rPr>
                <w:rFonts w:eastAsia="仿宋"/>
                <w:sz w:val="24"/>
                <w:szCs w:val="24"/>
              </w:rPr>
            </w:pPr>
            <w:r>
              <w:rPr>
                <w:rFonts w:hint="eastAsia" w:eastAsia="仿宋"/>
                <w:sz w:val="24"/>
                <w:szCs w:val="24"/>
              </w:rPr>
              <w:t>股票交易情况</w:t>
            </w:r>
          </w:p>
          <w:p>
            <w:pPr>
              <w:adjustRightInd w:val="0"/>
              <w:snapToGrid w:val="0"/>
              <w:jc w:val="center"/>
              <w:rPr>
                <w:rFonts w:eastAsia="仿宋"/>
                <w:sz w:val="24"/>
                <w:szCs w:val="24"/>
              </w:rPr>
            </w:pPr>
            <w:r>
              <w:rPr>
                <w:rFonts w:hint="eastAsia" w:eastAsia="仿宋"/>
                <w:sz w:val="24"/>
                <w:szCs w:val="24"/>
              </w:rPr>
              <w:t>说明（如有）</w:t>
            </w:r>
          </w:p>
        </w:tc>
        <w:tc>
          <w:tcPr>
            <w:tcW w:w="7797" w:type="dxa"/>
          </w:tcPr>
          <w:p>
            <w:pPr>
              <w:adjustRightInd w:val="0"/>
              <w:snapToGrid w:val="0"/>
              <w:rPr>
                <w:rFonts w:eastAsia="仿宋"/>
                <w:sz w:val="24"/>
                <w:szCs w:val="24"/>
              </w:rPr>
            </w:pPr>
            <w:r>
              <w:rPr>
                <w:rFonts w:hint="eastAsia" w:eastAsia="仿宋"/>
                <w:sz w:val="24"/>
                <w:szCs w:val="24"/>
              </w:rPr>
              <w:t>相关人员存在买卖公司股票行为的，当事人应当书面说明其买卖股票行为是否利用了相关内幕信息；上市公司应当书面说明与买卖股票人员相关事项的动议时间，买卖股票人员是否参与决策，买卖行为与该事项是否存在关联关系以及是否签订了保密协议书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41" w:type="dxa"/>
            <w:vAlign w:val="center"/>
          </w:tcPr>
          <w:p>
            <w:pPr>
              <w:adjustRightInd w:val="0"/>
              <w:snapToGrid w:val="0"/>
              <w:jc w:val="center"/>
              <w:rPr>
                <w:rFonts w:hint="default" w:ascii="Times New Roman" w:hAnsi="Times New Roman" w:eastAsia="仿宋" w:cs="Times New Roman"/>
                <w:sz w:val="24"/>
                <w:szCs w:val="24"/>
              </w:rPr>
            </w:pPr>
            <w:r>
              <w:rPr>
                <w:rFonts w:hint="eastAsia" w:ascii="Times New Roman" w:hAnsi="Times New Roman" w:eastAsia="仿宋" w:cs="Times New Roman"/>
                <w:sz w:val="24"/>
                <w:szCs w:val="24"/>
              </w:rPr>
              <w:t>6</w:t>
            </w:r>
          </w:p>
        </w:tc>
        <w:tc>
          <w:tcPr>
            <w:tcW w:w="1953" w:type="dxa"/>
          </w:tcPr>
          <w:p>
            <w:pPr>
              <w:adjustRightInd w:val="0"/>
              <w:snapToGrid w:val="0"/>
              <w:jc w:val="center"/>
              <w:rPr>
                <w:rFonts w:eastAsia="仿宋"/>
                <w:sz w:val="24"/>
                <w:szCs w:val="24"/>
              </w:rPr>
            </w:pPr>
            <w:r>
              <w:rPr>
                <w:rFonts w:hint="eastAsia" w:eastAsia="仿宋"/>
                <w:sz w:val="24"/>
                <w:szCs w:val="24"/>
              </w:rPr>
              <w:t>报备文件电子件与预留原件一致的鉴证意见</w:t>
            </w:r>
          </w:p>
        </w:tc>
        <w:tc>
          <w:tcPr>
            <w:tcW w:w="7797" w:type="dxa"/>
          </w:tcPr>
          <w:p>
            <w:pPr>
              <w:adjustRightInd w:val="0"/>
              <w:snapToGrid w:val="0"/>
              <w:rPr>
                <w:rFonts w:eastAsia="仿宋"/>
                <w:sz w:val="24"/>
                <w:szCs w:val="24"/>
              </w:rPr>
            </w:pPr>
            <w:r>
              <w:rPr>
                <w:rFonts w:hint="eastAsia" w:eastAsia="仿宋"/>
                <w:sz w:val="24"/>
                <w:szCs w:val="24"/>
              </w:rPr>
              <w:t>律师应当对报送的电子文件与原件的一致性出具鉴证意见，并签名和签署鉴证日期，律师事务所应当在鉴证意见首页加盖律师事务所公章，并在侧面加盖骑缝章。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0491" w:type="dxa"/>
            <w:gridSpan w:val="3"/>
            <w:vAlign w:val="center"/>
          </w:tcPr>
          <w:p>
            <w:pPr>
              <w:adjustRightInd w:val="0"/>
              <w:snapToGrid w:val="0"/>
              <w:jc w:val="left"/>
              <w:rPr>
                <w:rFonts w:eastAsia="仿宋"/>
                <w:sz w:val="24"/>
                <w:szCs w:val="24"/>
              </w:rPr>
            </w:pPr>
            <w:r>
              <w:rPr>
                <w:rFonts w:hint="eastAsia" w:eastAsia="仿宋"/>
                <w:sz w:val="24"/>
                <w:szCs w:val="24"/>
              </w:rPr>
              <w:t>注：</w:t>
            </w:r>
          </w:p>
          <w:p>
            <w:pPr>
              <w:adjustRightInd w:val="0"/>
              <w:snapToGrid w:val="0"/>
              <w:jc w:val="left"/>
              <w:rPr>
                <w:rFonts w:eastAsia="仿宋"/>
                <w:sz w:val="24"/>
                <w:szCs w:val="24"/>
              </w:rPr>
            </w:pPr>
            <w:r>
              <w:rPr>
                <w:rFonts w:hint="eastAsia" w:ascii="Times New Roman" w:hAnsi="Times New Roman" w:eastAsia="仿宋" w:cs="Times New Roman"/>
                <w:sz w:val="24"/>
                <w:szCs w:val="24"/>
                <w:highlight w:val="none"/>
              </w:rPr>
              <w:t>1</w:t>
            </w:r>
            <w:r>
              <w:rPr>
                <w:rFonts w:hint="eastAsia" w:eastAsia="仿宋"/>
                <w:sz w:val="24"/>
                <w:szCs w:val="24"/>
              </w:rPr>
              <w:t>、上市公司应提交与预留原件一致的电子文件（</w:t>
            </w:r>
            <w:r>
              <w:rPr>
                <w:rFonts w:hint="default" w:ascii="Times New Roman" w:hAnsi="Times New Roman" w:eastAsia="仿宋" w:cs="Times New Roman"/>
                <w:sz w:val="24"/>
                <w:szCs w:val="24"/>
              </w:rPr>
              <w:t>WORD、EXCEL、PDF</w:t>
            </w:r>
            <w:r>
              <w:rPr>
                <w:rFonts w:hint="eastAsia" w:eastAsia="仿宋"/>
                <w:sz w:val="24"/>
                <w:szCs w:val="24"/>
              </w:rPr>
              <w:t>等文件格式）；</w:t>
            </w:r>
          </w:p>
          <w:p>
            <w:pPr>
              <w:adjustRightInd w:val="0"/>
              <w:snapToGrid w:val="0"/>
              <w:jc w:val="left"/>
              <w:rPr>
                <w:rFonts w:eastAsia="仿宋"/>
                <w:sz w:val="24"/>
                <w:szCs w:val="24"/>
              </w:rPr>
            </w:pPr>
            <w:r>
              <w:rPr>
                <w:rFonts w:hint="default" w:ascii="Times New Roman" w:hAnsi="Times New Roman" w:eastAsia="仿宋" w:cs="Times New Roman"/>
                <w:sz w:val="24"/>
                <w:szCs w:val="24"/>
                <w:highlight w:val="none"/>
              </w:rPr>
              <w:t>2</w:t>
            </w:r>
            <w:r>
              <w:rPr>
                <w:rFonts w:hint="eastAsia" w:eastAsia="仿宋"/>
                <w:sz w:val="24"/>
                <w:szCs w:val="24"/>
              </w:rPr>
              <w:t>、报备文件中应当注明上市公司、</w:t>
            </w:r>
            <w:r>
              <w:rPr>
                <w:rFonts w:eastAsia="仿宋"/>
                <w:sz w:val="24"/>
                <w:szCs w:val="24"/>
              </w:rPr>
              <w:t>律师事务所（</w:t>
            </w:r>
            <w:r>
              <w:rPr>
                <w:rFonts w:hint="eastAsia" w:eastAsia="仿宋"/>
                <w:sz w:val="24"/>
                <w:szCs w:val="24"/>
              </w:rPr>
              <w:t>如有</w:t>
            </w:r>
            <w:r>
              <w:rPr>
                <w:rFonts w:eastAsia="仿宋"/>
                <w:sz w:val="24"/>
                <w:szCs w:val="24"/>
              </w:rPr>
              <w:t>）</w:t>
            </w:r>
            <w:r>
              <w:rPr>
                <w:rFonts w:hint="eastAsia" w:eastAsia="仿宋"/>
                <w:sz w:val="24"/>
                <w:szCs w:val="24"/>
              </w:rPr>
              <w:t>联系人姓名、电话、联系邮箱等信息；报备文件所需签名处，均应为签名人亲笔签名，不得以名章、签名章等代替。</w:t>
            </w:r>
          </w:p>
        </w:tc>
      </w:tr>
    </w:tbl>
    <w:p>
      <w:pPr>
        <w:snapToGrid w:val="0"/>
        <w:spacing w:line="640" w:lineRule="exact"/>
        <w:jc w:val="left"/>
        <w:rPr>
          <w:rFonts w:ascii="Times New Roman" w:hAnsi="Times New Roman" w:eastAsia="仿宋"/>
          <w:b/>
          <w:sz w:val="28"/>
          <w:szCs w:val="28"/>
        </w:rPr>
        <w:sectPr>
          <w:footerReference r:id="rId5" w:type="default"/>
          <w:footerReference r:id="rId6" w:type="even"/>
          <w:type w:val="continuous"/>
          <w:pgSz w:w="11906" w:h="16838"/>
          <w:pgMar w:top="1440" w:right="1800" w:bottom="1440" w:left="1800" w:header="851" w:footer="992" w:gutter="0"/>
          <w:pgNumType w:fmt="numberInDash"/>
          <w:cols w:space="425" w:num="1"/>
          <w:docGrid w:type="lines" w:linePitch="312" w:charSpace="0"/>
        </w:sectPr>
      </w:pPr>
    </w:p>
    <w:p>
      <w:pPr>
        <w:spacing w:line="600" w:lineRule="exact"/>
        <w:jc w:val="center"/>
        <w:rPr>
          <w:rFonts w:ascii="Times New Roman" w:hAnsi="Times New Roman" w:eastAsia="方正大标宋简体"/>
          <w:sz w:val="44"/>
          <w:szCs w:val="44"/>
        </w:rPr>
      </w:pPr>
      <w:r>
        <w:rPr>
          <w:rFonts w:hint="eastAsia" w:ascii="Times New Roman" w:hAnsi="Times New Roman" w:eastAsia="方正大标宋简体"/>
          <w:sz w:val="44"/>
          <w:szCs w:val="44"/>
        </w:rPr>
        <w:t>内幕信息知情人登记表</w:t>
      </w:r>
    </w:p>
    <w:p>
      <w:pPr>
        <w:spacing w:line="600" w:lineRule="exact"/>
        <w:jc w:val="center"/>
        <w:rPr>
          <w:rFonts w:ascii="Times New Roman" w:hAnsi="Times New Roman" w:eastAsia="方正大标宋简体"/>
          <w:sz w:val="44"/>
          <w:szCs w:val="44"/>
        </w:rPr>
      </w:pPr>
    </w:p>
    <w:p>
      <w:pPr>
        <w:ind w:firstLine="480"/>
        <w:rPr>
          <w:rFonts w:ascii="Times New Roman" w:hAnsi="Times New Roman" w:eastAsia="仿宋"/>
          <w:sz w:val="24"/>
        </w:rPr>
      </w:pPr>
      <w:r>
        <w:rPr>
          <w:rFonts w:hint="eastAsia" w:ascii="Times New Roman" w:hAnsi="Times New Roman" w:eastAsia="仿宋"/>
          <w:sz w:val="24"/>
        </w:rPr>
        <w:t>证券简称：</w:t>
      </w:r>
      <w:r>
        <w:rPr>
          <w:rFonts w:ascii="Times New Roman" w:hAnsi="Times New Roman" w:eastAsia="仿宋"/>
          <w:sz w:val="24"/>
        </w:rPr>
        <w:t xml:space="preserve">                                               </w:t>
      </w:r>
      <w:r>
        <w:rPr>
          <w:rFonts w:hint="eastAsia" w:ascii="Times New Roman" w:hAnsi="Times New Roman" w:eastAsia="仿宋"/>
          <w:sz w:val="24"/>
        </w:rPr>
        <w:t>证券代码：</w:t>
      </w:r>
    </w:p>
    <w:p>
      <w:pPr>
        <w:ind w:firstLine="480"/>
        <w:rPr>
          <w:rFonts w:ascii="Times New Roman" w:hAnsi="Times New Roman" w:eastAsia="仿宋"/>
          <w:sz w:val="24"/>
        </w:rPr>
      </w:pPr>
      <w:r>
        <w:rPr>
          <w:rFonts w:hint="eastAsia" w:ascii="Times New Roman" w:hAnsi="Times New Roman" w:eastAsia="仿宋"/>
          <w:sz w:val="24"/>
        </w:rPr>
        <w:t>内幕信息事项：</w:t>
      </w:r>
    </w:p>
    <w:p>
      <w:pPr>
        <w:ind w:firstLine="480"/>
        <w:rPr>
          <w:rFonts w:ascii="Times New Roman" w:hAnsi="Times New Roman" w:eastAsia="仿宋"/>
          <w:sz w:val="24"/>
        </w:rPr>
      </w:pPr>
    </w:p>
    <w:tbl>
      <w:tblPr>
        <w:tblStyle w:val="8"/>
        <w:tblW w:w="1502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67"/>
        <w:gridCol w:w="992"/>
        <w:gridCol w:w="851"/>
        <w:gridCol w:w="850"/>
        <w:gridCol w:w="851"/>
        <w:gridCol w:w="899"/>
        <w:gridCol w:w="1207"/>
        <w:gridCol w:w="938"/>
        <w:gridCol w:w="1307"/>
        <w:gridCol w:w="1184"/>
        <w:gridCol w:w="1184"/>
        <w:gridCol w:w="1183"/>
        <w:gridCol w:w="1184"/>
        <w:gridCol w:w="832"/>
        <w:gridCol w:w="99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1" w:hRule="atLeast"/>
          <w:jc w:val="center"/>
        </w:trPr>
        <w:tc>
          <w:tcPr>
            <w:tcW w:w="567" w:type="dxa"/>
            <w:vAlign w:val="center"/>
          </w:tcPr>
          <w:p>
            <w:pPr>
              <w:jc w:val="center"/>
              <w:rPr>
                <w:rFonts w:ascii="Times New Roman" w:hAnsi="Times New Roman" w:eastAsia="仿宋"/>
                <w:sz w:val="24"/>
              </w:rPr>
            </w:pPr>
            <w:r>
              <w:rPr>
                <w:rFonts w:hint="eastAsia" w:ascii="Times New Roman" w:hAnsi="Times New Roman" w:eastAsia="仿宋"/>
                <w:sz w:val="24"/>
              </w:rPr>
              <w:t>序号</w:t>
            </w:r>
          </w:p>
        </w:tc>
        <w:tc>
          <w:tcPr>
            <w:tcW w:w="992" w:type="dxa"/>
            <w:vAlign w:val="center"/>
          </w:tcPr>
          <w:p>
            <w:pPr>
              <w:jc w:val="center"/>
              <w:rPr>
                <w:rFonts w:ascii="Times New Roman" w:hAnsi="Times New Roman" w:eastAsia="仿宋"/>
                <w:sz w:val="24"/>
              </w:rPr>
            </w:pPr>
            <w:r>
              <w:rPr>
                <w:rFonts w:hint="eastAsia" w:ascii="Times New Roman" w:hAnsi="Times New Roman" w:eastAsia="仿宋"/>
                <w:sz w:val="24"/>
              </w:rPr>
              <w:t>姓名或名称</w:t>
            </w:r>
          </w:p>
        </w:tc>
        <w:tc>
          <w:tcPr>
            <w:tcW w:w="851" w:type="dxa"/>
            <w:vAlign w:val="center"/>
          </w:tcPr>
          <w:p>
            <w:pPr>
              <w:jc w:val="center"/>
              <w:rPr>
                <w:rFonts w:ascii="Times New Roman" w:hAnsi="Times New Roman" w:eastAsia="仿宋"/>
                <w:sz w:val="24"/>
              </w:rPr>
            </w:pPr>
            <w:r>
              <w:rPr>
                <w:rFonts w:hint="eastAsia" w:ascii="Times New Roman" w:hAnsi="Times New Roman" w:eastAsia="仿宋"/>
                <w:sz w:val="24"/>
              </w:rPr>
              <w:t>证件类型</w:t>
            </w:r>
          </w:p>
        </w:tc>
        <w:tc>
          <w:tcPr>
            <w:tcW w:w="850" w:type="dxa"/>
            <w:vAlign w:val="center"/>
          </w:tcPr>
          <w:p>
            <w:pPr>
              <w:jc w:val="center"/>
              <w:rPr>
                <w:rFonts w:ascii="Times New Roman" w:hAnsi="Times New Roman" w:eastAsia="仿宋"/>
                <w:sz w:val="24"/>
              </w:rPr>
            </w:pPr>
            <w:r>
              <w:rPr>
                <w:rFonts w:hint="eastAsia" w:ascii="Times New Roman" w:hAnsi="Times New Roman" w:eastAsia="仿宋"/>
                <w:sz w:val="24"/>
              </w:rPr>
              <w:t>证件号码</w:t>
            </w:r>
          </w:p>
        </w:tc>
        <w:tc>
          <w:tcPr>
            <w:tcW w:w="851" w:type="dxa"/>
            <w:vAlign w:val="center"/>
          </w:tcPr>
          <w:p>
            <w:pPr>
              <w:jc w:val="center"/>
              <w:rPr>
                <w:rFonts w:ascii="Times New Roman" w:hAnsi="Times New Roman" w:eastAsia="仿宋"/>
                <w:sz w:val="24"/>
              </w:rPr>
            </w:pPr>
            <w:r>
              <w:rPr>
                <w:rFonts w:hint="eastAsia" w:ascii="Times New Roman" w:hAnsi="Times New Roman" w:eastAsia="仿宋"/>
                <w:sz w:val="24"/>
              </w:rPr>
              <w:t>证券账户</w:t>
            </w:r>
          </w:p>
        </w:tc>
        <w:tc>
          <w:tcPr>
            <w:tcW w:w="899" w:type="dxa"/>
            <w:vAlign w:val="center"/>
          </w:tcPr>
          <w:p>
            <w:pPr>
              <w:jc w:val="center"/>
              <w:rPr>
                <w:rFonts w:ascii="Times New Roman" w:hAnsi="Times New Roman" w:eastAsia="仿宋"/>
                <w:sz w:val="24"/>
              </w:rPr>
            </w:pPr>
            <w:r>
              <w:rPr>
                <w:rFonts w:hint="eastAsia" w:ascii="Times New Roman" w:hAnsi="Times New Roman" w:eastAsia="仿宋"/>
                <w:sz w:val="24"/>
              </w:rPr>
              <w:t>联系方式</w:t>
            </w:r>
          </w:p>
        </w:tc>
        <w:tc>
          <w:tcPr>
            <w:tcW w:w="1207" w:type="dxa"/>
            <w:vAlign w:val="center"/>
          </w:tcPr>
          <w:p>
            <w:pPr>
              <w:jc w:val="center"/>
              <w:rPr>
                <w:rFonts w:ascii="Times New Roman" w:hAnsi="Times New Roman" w:eastAsia="仿宋"/>
                <w:sz w:val="24"/>
              </w:rPr>
            </w:pPr>
            <w:r>
              <w:rPr>
                <w:rFonts w:hint="eastAsia" w:ascii="Times New Roman" w:hAnsi="Times New Roman" w:eastAsia="仿宋"/>
                <w:sz w:val="24"/>
              </w:rPr>
              <w:t>所在单位</w:t>
            </w:r>
            <w:r>
              <w:rPr>
                <w:rFonts w:ascii="Times New Roman" w:hAnsi="Times New Roman" w:eastAsia="仿宋"/>
                <w:sz w:val="24"/>
              </w:rPr>
              <w:t>/</w:t>
            </w:r>
            <w:r>
              <w:rPr>
                <w:rFonts w:hint="eastAsia" w:ascii="Times New Roman" w:hAnsi="Times New Roman" w:eastAsia="仿宋"/>
                <w:sz w:val="24"/>
              </w:rPr>
              <w:t>部门</w:t>
            </w:r>
          </w:p>
        </w:tc>
        <w:tc>
          <w:tcPr>
            <w:tcW w:w="938" w:type="dxa"/>
            <w:vAlign w:val="center"/>
          </w:tcPr>
          <w:p>
            <w:pPr>
              <w:jc w:val="center"/>
              <w:rPr>
                <w:rFonts w:ascii="Times New Roman" w:hAnsi="Times New Roman" w:eastAsia="仿宋"/>
                <w:sz w:val="24"/>
              </w:rPr>
            </w:pPr>
            <w:r>
              <w:rPr>
                <w:rFonts w:hint="eastAsia" w:ascii="Times New Roman" w:hAnsi="Times New Roman" w:eastAsia="仿宋"/>
                <w:sz w:val="24"/>
              </w:rPr>
              <w:t>职务</w:t>
            </w:r>
            <w:r>
              <w:rPr>
                <w:rFonts w:ascii="Times New Roman" w:hAnsi="Times New Roman" w:eastAsia="仿宋"/>
                <w:sz w:val="24"/>
              </w:rPr>
              <w:t>/</w:t>
            </w:r>
            <w:r>
              <w:rPr>
                <w:rFonts w:hint="eastAsia" w:ascii="Times New Roman" w:hAnsi="Times New Roman" w:eastAsia="仿宋"/>
                <w:sz w:val="24"/>
              </w:rPr>
              <w:t>岗位</w:t>
            </w:r>
          </w:p>
        </w:tc>
        <w:tc>
          <w:tcPr>
            <w:tcW w:w="1307" w:type="dxa"/>
            <w:vAlign w:val="center"/>
          </w:tcPr>
          <w:p>
            <w:pPr>
              <w:jc w:val="center"/>
              <w:rPr>
                <w:rFonts w:ascii="Times New Roman" w:hAnsi="Times New Roman" w:eastAsia="仿宋"/>
                <w:sz w:val="24"/>
              </w:rPr>
            </w:pPr>
            <w:r>
              <w:rPr>
                <w:rFonts w:hint="eastAsia" w:ascii="Times New Roman" w:hAnsi="Times New Roman" w:eastAsia="仿宋"/>
                <w:sz w:val="24"/>
              </w:rPr>
              <w:t>与上市公司关系</w:t>
            </w:r>
          </w:p>
        </w:tc>
        <w:tc>
          <w:tcPr>
            <w:tcW w:w="1184" w:type="dxa"/>
            <w:vAlign w:val="center"/>
          </w:tcPr>
          <w:p>
            <w:pPr>
              <w:jc w:val="center"/>
              <w:rPr>
                <w:rFonts w:ascii="Times New Roman" w:hAnsi="Times New Roman" w:eastAsia="仿宋"/>
                <w:sz w:val="24"/>
              </w:rPr>
            </w:pPr>
            <w:r>
              <w:rPr>
                <w:rFonts w:hint="eastAsia" w:ascii="Times New Roman" w:hAnsi="Times New Roman" w:eastAsia="仿宋"/>
                <w:sz w:val="24"/>
              </w:rPr>
              <w:t>知悉内幕信息时间</w:t>
            </w:r>
          </w:p>
        </w:tc>
        <w:tc>
          <w:tcPr>
            <w:tcW w:w="1184" w:type="dxa"/>
            <w:vAlign w:val="center"/>
          </w:tcPr>
          <w:p>
            <w:pPr>
              <w:jc w:val="center"/>
              <w:rPr>
                <w:rFonts w:ascii="Times New Roman" w:hAnsi="Times New Roman" w:eastAsia="仿宋"/>
                <w:sz w:val="24"/>
              </w:rPr>
            </w:pPr>
            <w:r>
              <w:rPr>
                <w:rFonts w:hint="eastAsia" w:ascii="Times New Roman" w:hAnsi="Times New Roman" w:eastAsia="仿宋"/>
                <w:sz w:val="24"/>
              </w:rPr>
              <w:t>知悉内幕信息方式</w:t>
            </w:r>
          </w:p>
        </w:tc>
        <w:tc>
          <w:tcPr>
            <w:tcW w:w="1183" w:type="dxa"/>
            <w:vAlign w:val="center"/>
          </w:tcPr>
          <w:p>
            <w:pPr>
              <w:jc w:val="center"/>
              <w:rPr>
                <w:rFonts w:ascii="Times New Roman" w:hAnsi="Times New Roman" w:eastAsia="仿宋"/>
                <w:sz w:val="24"/>
              </w:rPr>
            </w:pPr>
            <w:r>
              <w:rPr>
                <w:rFonts w:hint="eastAsia" w:ascii="Times New Roman" w:hAnsi="Times New Roman" w:eastAsia="仿宋"/>
                <w:sz w:val="24"/>
              </w:rPr>
              <w:t>内幕信息内容</w:t>
            </w:r>
          </w:p>
        </w:tc>
        <w:tc>
          <w:tcPr>
            <w:tcW w:w="1184" w:type="dxa"/>
            <w:vAlign w:val="center"/>
          </w:tcPr>
          <w:p>
            <w:pPr>
              <w:jc w:val="center"/>
              <w:rPr>
                <w:rFonts w:ascii="Times New Roman" w:hAnsi="Times New Roman" w:eastAsia="仿宋"/>
                <w:sz w:val="24"/>
              </w:rPr>
            </w:pPr>
            <w:r>
              <w:rPr>
                <w:rFonts w:hint="eastAsia" w:ascii="Times New Roman" w:hAnsi="Times New Roman" w:eastAsia="仿宋"/>
                <w:sz w:val="24"/>
              </w:rPr>
              <w:t>内幕信息所处阶段</w:t>
            </w:r>
          </w:p>
        </w:tc>
        <w:tc>
          <w:tcPr>
            <w:tcW w:w="832" w:type="dxa"/>
            <w:vAlign w:val="center"/>
          </w:tcPr>
          <w:p>
            <w:pPr>
              <w:jc w:val="center"/>
              <w:rPr>
                <w:rFonts w:ascii="Times New Roman" w:hAnsi="Times New Roman" w:eastAsia="仿宋"/>
                <w:sz w:val="24"/>
              </w:rPr>
            </w:pPr>
            <w:r>
              <w:rPr>
                <w:rFonts w:hint="eastAsia" w:ascii="Times New Roman" w:hAnsi="Times New Roman" w:eastAsia="仿宋"/>
                <w:sz w:val="24"/>
              </w:rPr>
              <w:t>登记时间</w:t>
            </w:r>
          </w:p>
        </w:tc>
        <w:tc>
          <w:tcPr>
            <w:tcW w:w="992" w:type="dxa"/>
            <w:vAlign w:val="center"/>
          </w:tcPr>
          <w:p>
            <w:pPr>
              <w:jc w:val="center"/>
              <w:rPr>
                <w:rFonts w:ascii="Times New Roman" w:hAnsi="Times New Roman" w:eastAsia="仿宋"/>
                <w:sz w:val="24"/>
              </w:rPr>
            </w:pPr>
            <w:r>
              <w:rPr>
                <w:rFonts w:hint="eastAsia" w:ascii="Times New Roman" w:hAnsi="Times New Roman" w:eastAsia="仿宋"/>
                <w:sz w:val="24"/>
              </w:rPr>
              <w:t>登记人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0" w:hRule="atLeast"/>
          <w:jc w:val="center"/>
        </w:trPr>
        <w:tc>
          <w:tcPr>
            <w:tcW w:w="567" w:type="dxa"/>
            <w:vAlign w:val="center"/>
          </w:tcPr>
          <w:p>
            <w:pPr>
              <w:jc w:val="center"/>
              <w:rPr>
                <w:rFonts w:ascii="Times New Roman" w:hAnsi="Times New Roman" w:eastAsia="仿宋"/>
                <w:b/>
                <w:sz w:val="24"/>
              </w:rPr>
            </w:pPr>
          </w:p>
        </w:tc>
        <w:tc>
          <w:tcPr>
            <w:tcW w:w="992" w:type="dxa"/>
            <w:vAlign w:val="center"/>
          </w:tcPr>
          <w:p>
            <w:pPr>
              <w:jc w:val="center"/>
              <w:rPr>
                <w:rFonts w:ascii="Times New Roman" w:hAnsi="Times New Roman" w:eastAsia="仿宋"/>
                <w:b/>
                <w:sz w:val="24"/>
              </w:rPr>
            </w:pPr>
          </w:p>
        </w:tc>
        <w:tc>
          <w:tcPr>
            <w:tcW w:w="851" w:type="dxa"/>
          </w:tcPr>
          <w:p>
            <w:pPr>
              <w:jc w:val="center"/>
              <w:rPr>
                <w:rFonts w:ascii="Times New Roman" w:hAnsi="Times New Roman" w:eastAsia="仿宋"/>
                <w:b/>
                <w:sz w:val="24"/>
              </w:rPr>
            </w:pPr>
          </w:p>
        </w:tc>
        <w:tc>
          <w:tcPr>
            <w:tcW w:w="850" w:type="dxa"/>
          </w:tcPr>
          <w:p>
            <w:pPr>
              <w:jc w:val="center"/>
              <w:rPr>
                <w:rFonts w:ascii="Times New Roman" w:hAnsi="Times New Roman" w:eastAsia="仿宋"/>
                <w:b/>
                <w:sz w:val="24"/>
              </w:rPr>
            </w:pPr>
          </w:p>
        </w:tc>
        <w:tc>
          <w:tcPr>
            <w:tcW w:w="851" w:type="dxa"/>
          </w:tcPr>
          <w:p>
            <w:pPr>
              <w:jc w:val="center"/>
              <w:rPr>
                <w:rFonts w:ascii="Times New Roman" w:hAnsi="Times New Roman" w:eastAsia="仿宋"/>
                <w:b/>
                <w:sz w:val="24"/>
              </w:rPr>
            </w:pPr>
          </w:p>
        </w:tc>
        <w:tc>
          <w:tcPr>
            <w:tcW w:w="899" w:type="dxa"/>
            <w:vAlign w:val="center"/>
          </w:tcPr>
          <w:p>
            <w:pPr>
              <w:jc w:val="center"/>
              <w:rPr>
                <w:rFonts w:ascii="Times New Roman" w:hAnsi="Times New Roman" w:eastAsia="仿宋"/>
                <w:b/>
                <w:sz w:val="24"/>
              </w:rPr>
            </w:pPr>
          </w:p>
        </w:tc>
        <w:tc>
          <w:tcPr>
            <w:tcW w:w="1207" w:type="dxa"/>
            <w:vAlign w:val="center"/>
          </w:tcPr>
          <w:p>
            <w:pPr>
              <w:jc w:val="center"/>
              <w:rPr>
                <w:rFonts w:ascii="Times New Roman" w:hAnsi="Times New Roman" w:eastAsia="仿宋"/>
                <w:b/>
                <w:sz w:val="24"/>
              </w:rPr>
            </w:pPr>
          </w:p>
        </w:tc>
        <w:tc>
          <w:tcPr>
            <w:tcW w:w="938" w:type="dxa"/>
          </w:tcPr>
          <w:p>
            <w:pPr>
              <w:jc w:val="center"/>
              <w:rPr>
                <w:rFonts w:ascii="Times New Roman" w:hAnsi="Times New Roman" w:eastAsia="仿宋"/>
                <w:b/>
                <w:sz w:val="24"/>
              </w:rPr>
            </w:pPr>
          </w:p>
        </w:tc>
        <w:tc>
          <w:tcPr>
            <w:tcW w:w="1307" w:type="dxa"/>
            <w:vAlign w:val="center"/>
          </w:tcPr>
          <w:p>
            <w:pPr>
              <w:jc w:val="center"/>
              <w:rPr>
                <w:rFonts w:ascii="Times New Roman" w:hAnsi="Times New Roman" w:eastAsia="仿宋"/>
                <w:b/>
                <w:sz w:val="24"/>
              </w:rPr>
            </w:pPr>
          </w:p>
        </w:tc>
        <w:tc>
          <w:tcPr>
            <w:tcW w:w="1184" w:type="dxa"/>
            <w:vAlign w:val="center"/>
          </w:tcPr>
          <w:p>
            <w:pPr>
              <w:jc w:val="center"/>
              <w:rPr>
                <w:rFonts w:ascii="Times New Roman" w:hAnsi="Times New Roman" w:eastAsia="仿宋"/>
                <w:b/>
                <w:sz w:val="24"/>
              </w:rPr>
            </w:pPr>
          </w:p>
        </w:tc>
        <w:tc>
          <w:tcPr>
            <w:tcW w:w="1184" w:type="dxa"/>
          </w:tcPr>
          <w:p>
            <w:pPr>
              <w:jc w:val="center"/>
              <w:rPr>
                <w:rFonts w:ascii="Times New Roman" w:hAnsi="Times New Roman" w:eastAsia="仿宋"/>
                <w:b/>
                <w:sz w:val="24"/>
              </w:rPr>
            </w:pPr>
          </w:p>
        </w:tc>
        <w:tc>
          <w:tcPr>
            <w:tcW w:w="1183" w:type="dxa"/>
            <w:vAlign w:val="center"/>
          </w:tcPr>
          <w:p>
            <w:pPr>
              <w:jc w:val="center"/>
              <w:rPr>
                <w:rFonts w:ascii="Times New Roman" w:hAnsi="Times New Roman" w:eastAsia="仿宋"/>
                <w:b/>
                <w:sz w:val="24"/>
              </w:rPr>
            </w:pPr>
          </w:p>
        </w:tc>
        <w:tc>
          <w:tcPr>
            <w:tcW w:w="1184" w:type="dxa"/>
            <w:vAlign w:val="center"/>
          </w:tcPr>
          <w:p>
            <w:pPr>
              <w:jc w:val="center"/>
              <w:rPr>
                <w:rFonts w:ascii="Times New Roman" w:hAnsi="Times New Roman" w:eastAsia="仿宋"/>
                <w:b/>
                <w:sz w:val="24"/>
              </w:rPr>
            </w:pPr>
          </w:p>
        </w:tc>
        <w:tc>
          <w:tcPr>
            <w:tcW w:w="832" w:type="dxa"/>
          </w:tcPr>
          <w:p>
            <w:pPr>
              <w:jc w:val="center"/>
              <w:rPr>
                <w:rFonts w:ascii="Times New Roman" w:hAnsi="Times New Roman" w:eastAsia="仿宋"/>
                <w:b/>
                <w:sz w:val="24"/>
              </w:rPr>
            </w:pPr>
          </w:p>
        </w:tc>
        <w:tc>
          <w:tcPr>
            <w:tcW w:w="992" w:type="dxa"/>
          </w:tcPr>
          <w:p>
            <w:pPr>
              <w:jc w:val="center"/>
              <w:rPr>
                <w:rFonts w:ascii="Times New Roman" w:hAnsi="Times New Roman" w:eastAsia="仿宋"/>
                <w:b/>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0" w:hRule="atLeast"/>
          <w:jc w:val="center"/>
        </w:trPr>
        <w:tc>
          <w:tcPr>
            <w:tcW w:w="567" w:type="dxa"/>
            <w:vAlign w:val="center"/>
          </w:tcPr>
          <w:p>
            <w:pPr>
              <w:jc w:val="center"/>
              <w:rPr>
                <w:rFonts w:ascii="Times New Roman" w:hAnsi="Times New Roman" w:eastAsia="仿宋"/>
                <w:b/>
                <w:sz w:val="24"/>
              </w:rPr>
            </w:pPr>
          </w:p>
        </w:tc>
        <w:tc>
          <w:tcPr>
            <w:tcW w:w="992" w:type="dxa"/>
            <w:vAlign w:val="center"/>
          </w:tcPr>
          <w:p>
            <w:pPr>
              <w:jc w:val="center"/>
              <w:rPr>
                <w:rFonts w:ascii="Times New Roman" w:hAnsi="Times New Roman" w:eastAsia="仿宋"/>
                <w:b/>
                <w:sz w:val="24"/>
              </w:rPr>
            </w:pPr>
          </w:p>
        </w:tc>
        <w:tc>
          <w:tcPr>
            <w:tcW w:w="851" w:type="dxa"/>
          </w:tcPr>
          <w:p>
            <w:pPr>
              <w:jc w:val="center"/>
              <w:rPr>
                <w:rFonts w:ascii="Times New Roman" w:hAnsi="Times New Roman" w:eastAsia="仿宋"/>
                <w:b/>
                <w:sz w:val="24"/>
              </w:rPr>
            </w:pPr>
          </w:p>
        </w:tc>
        <w:tc>
          <w:tcPr>
            <w:tcW w:w="850" w:type="dxa"/>
          </w:tcPr>
          <w:p>
            <w:pPr>
              <w:jc w:val="center"/>
              <w:rPr>
                <w:rFonts w:ascii="Times New Roman" w:hAnsi="Times New Roman" w:eastAsia="仿宋"/>
                <w:b/>
                <w:sz w:val="24"/>
              </w:rPr>
            </w:pPr>
          </w:p>
        </w:tc>
        <w:tc>
          <w:tcPr>
            <w:tcW w:w="851" w:type="dxa"/>
          </w:tcPr>
          <w:p>
            <w:pPr>
              <w:jc w:val="center"/>
              <w:rPr>
                <w:rFonts w:ascii="Times New Roman" w:hAnsi="Times New Roman" w:eastAsia="仿宋"/>
                <w:b/>
                <w:sz w:val="24"/>
              </w:rPr>
            </w:pPr>
          </w:p>
        </w:tc>
        <w:tc>
          <w:tcPr>
            <w:tcW w:w="899" w:type="dxa"/>
            <w:vAlign w:val="center"/>
          </w:tcPr>
          <w:p>
            <w:pPr>
              <w:jc w:val="center"/>
              <w:rPr>
                <w:rFonts w:ascii="Times New Roman" w:hAnsi="Times New Roman" w:eastAsia="仿宋"/>
                <w:b/>
                <w:sz w:val="24"/>
              </w:rPr>
            </w:pPr>
          </w:p>
        </w:tc>
        <w:tc>
          <w:tcPr>
            <w:tcW w:w="1207" w:type="dxa"/>
            <w:vAlign w:val="center"/>
          </w:tcPr>
          <w:p>
            <w:pPr>
              <w:jc w:val="center"/>
              <w:rPr>
                <w:rFonts w:ascii="Times New Roman" w:hAnsi="Times New Roman" w:eastAsia="仿宋"/>
                <w:b/>
                <w:sz w:val="24"/>
              </w:rPr>
            </w:pPr>
          </w:p>
        </w:tc>
        <w:tc>
          <w:tcPr>
            <w:tcW w:w="938" w:type="dxa"/>
          </w:tcPr>
          <w:p>
            <w:pPr>
              <w:jc w:val="center"/>
              <w:rPr>
                <w:rFonts w:ascii="Times New Roman" w:hAnsi="Times New Roman" w:eastAsia="仿宋"/>
                <w:b/>
                <w:sz w:val="24"/>
              </w:rPr>
            </w:pPr>
          </w:p>
        </w:tc>
        <w:tc>
          <w:tcPr>
            <w:tcW w:w="1307" w:type="dxa"/>
            <w:vAlign w:val="center"/>
          </w:tcPr>
          <w:p>
            <w:pPr>
              <w:jc w:val="center"/>
              <w:rPr>
                <w:rFonts w:ascii="Times New Roman" w:hAnsi="Times New Roman" w:eastAsia="仿宋"/>
                <w:b/>
                <w:sz w:val="24"/>
              </w:rPr>
            </w:pPr>
          </w:p>
        </w:tc>
        <w:tc>
          <w:tcPr>
            <w:tcW w:w="1184" w:type="dxa"/>
            <w:vAlign w:val="center"/>
          </w:tcPr>
          <w:p>
            <w:pPr>
              <w:jc w:val="center"/>
              <w:rPr>
                <w:rFonts w:ascii="Times New Roman" w:hAnsi="Times New Roman" w:eastAsia="仿宋"/>
                <w:b/>
                <w:sz w:val="24"/>
              </w:rPr>
            </w:pPr>
          </w:p>
        </w:tc>
        <w:tc>
          <w:tcPr>
            <w:tcW w:w="1184" w:type="dxa"/>
          </w:tcPr>
          <w:p>
            <w:pPr>
              <w:jc w:val="center"/>
              <w:rPr>
                <w:rFonts w:ascii="Times New Roman" w:hAnsi="Times New Roman" w:eastAsia="仿宋"/>
                <w:b/>
                <w:sz w:val="24"/>
              </w:rPr>
            </w:pPr>
          </w:p>
        </w:tc>
        <w:tc>
          <w:tcPr>
            <w:tcW w:w="1183" w:type="dxa"/>
            <w:vAlign w:val="center"/>
          </w:tcPr>
          <w:p>
            <w:pPr>
              <w:jc w:val="center"/>
              <w:rPr>
                <w:rFonts w:ascii="Times New Roman" w:hAnsi="Times New Roman" w:eastAsia="仿宋"/>
                <w:b/>
                <w:sz w:val="24"/>
              </w:rPr>
            </w:pPr>
          </w:p>
        </w:tc>
        <w:tc>
          <w:tcPr>
            <w:tcW w:w="1184" w:type="dxa"/>
            <w:vAlign w:val="center"/>
          </w:tcPr>
          <w:p>
            <w:pPr>
              <w:jc w:val="center"/>
              <w:rPr>
                <w:rFonts w:ascii="Times New Roman" w:hAnsi="Times New Roman" w:eastAsia="仿宋"/>
                <w:b/>
                <w:sz w:val="24"/>
              </w:rPr>
            </w:pPr>
          </w:p>
        </w:tc>
        <w:tc>
          <w:tcPr>
            <w:tcW w:w="832" w:type="dxa"/>
          </w:tcPr>
          <w:p>
            <w:pPr>
              <w:jc w:val="center"/>
              <w:rPr>
                <w:rFonts w:ascii="Times New Roman" w:hAnsi="Times New Roman" w:eastAsia="仿宋"/>
                <w:b/>
                <w:sz w:val="24"/>
              </w:rPr>
            </w:pPr>
          </w:p>
        </w:tc>
        <w:tc>
          <w:tcPr>
            <w:tcW w:w="992" w:type="dxa"/>
          </w:tcPr>
          <w:p>
            <w:pPr>
              <w:jc w:val="center"/>
              <w:rPr>
                <w:rFonts w:ascii="Times New Roman" w:hAnsi="Times New Roman" w:eastAsia="仿宋"/>
                <w:b/>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0" w:hRule="atLeast"/>
          <w:jc w:val="center"/>
        </w:trPr>
        <w:tc>
          <w:tcPr>
            <w:tcW w:w="567" w:type="dxa"/>
            <w:vAlign w:val="center"/>
          </w:tcPr>
          <w:p>
            <w:pPr>
              <w:jc w:val="center"/>
              <w:rPr>
                <w:rFonts w:ascii="Times New Roman" w:hAnsi="Times New Roman" w:eastAsia="仿宋"/>
                <w:b/>
                <w:sz w:val="24"/>
              </w:rPr>
            </w:pPr>
          </w:p>
        </w:tc>
        <w:tc>
          <w:tcPr>
            <w:tcW w:w="992" w:type="dxa"/>
            <w:vAlign w:val="center"/>
          </w:tcPr>
          <w:p>
            <w:pPr>
              <w:jc w:val="center"/>
              <w:rPr>
                <w:rFonts w:ascii="Times New Roman" w:hAnsi="Times New Roman" w:eastAsia="仿宋"/>
                <w:b/>
                <w:sz w:val="24"/>
              </w:rPr>
            </w:pPr>
          </w:p>
        </w:tc>
        <w:tc>
          <w:tcPr>
            <w:tcW w:w="851" w:type="dxa"/>
          </w:tcPr>
          <w:p>
            <w:pPr>
              <w:jc w:val="center"/>
              <w:rPr>
                <w:rFonts w:ascii="Times New Roman" w:hAnsi="Times New Roman" w:eastAsia="仿宋"/>
                <w:b/>
                <w:sz w:val="24"/>
              </w:rPr>
            </w:pPr>
          </w:p>
        </w:tc>
        <w:tc>
          <w:tcPr>
            <w:tcW w:w="850" w:type="dxa"/>
          </w:tcPr>
          <w:p>
            <w:pPr>
              <w:jc w:val="center"/>
              <w:rPr>
                <w:rFonts w:ascii="Times New Roman" w:hAnsi="Times New Roman" w:eastAsia="仿宋"/>
                <w:b/>
                <w:sz w:val="24"/>
              </w:rPr>
            </w:pPr>
          </w:p>
        </w:tc>
        <w:tc>
          <w:tcPr>
            <w:tcW w:w="851" w:type="dxa"/>
          </w:tcPr>
          <w:p>
            <w:pPr>
              <w:jc w:val="center"/>
              <w:rPr>
                <w:rFonts w:ascii="Times New Roman" w:hAnsi="Times New Roman" w:eastAsia="仿宋"/>
                <w:b/>
                <w:sz w:val="24"/>
              </w:rPr>
            </w:pPr>
          </w:p>
        </w:tc>
        <w:tc>
          <w:tcPr>
            <w:tcW w:w="899" w:type="dxa"/>
            <w:vAlign w:val="center"/>
          </w:tcPr>
          <w:p>
            <w:pPr>
              <w:jc w:val="center"/>
              <w:rPr>
                <w:rFonts w:ascii="Times New Roman" w:hAnsi="Times New Roman" w:eastAsia="仿宋"/>
                <w:b/>
                <w:sz w:val="24"/>
              </w:rPr>
            </w:pPr>
          </w:p>
        </w:tc>
        <w:tc>
          <w:tcPr>
            <w:tcW w:w="1207" w:type="dxa"/>
            <w:vAlign w:val="center"/>
          </w:tcPr>
          <w:p>
            <w:pPr>
              <w:jc w:val="center"/>
              <w:rPr>
                <w:rFonts w:ascii="Times New Roman" w:hAnsi="Times New Roman" w:eastAsia="仿宋"/>
                <w:b/>
                <w:sz w:val="24"/>
              </w:rPr>
            </w:pPr>
          </w:p>
        </w:tc>
        <w:tc>
          <w:tcPr>
            <w:tcW w:w="938" w:type="dxa"/>
          </w:tcPr>
          <w:p>
            <w:pPr>
              <w:jc w:val="center"/>
              <w:rPr>
                <w:rFonts w:ascii="Times New Roman" w:hAnsi="Times New Roman" w:eastAsia="仿宋"/>
                <w:b/>
                <w:sz w:val="24"/>
              </w:rPr>
            </w:pPr>
          </w:p>
        </w:tc>
        <w:tc>
          <w:tcPr>
            <w:tcW w:w="1307" w:type="dxa"/>
            <w:vAlign w:val="center"/>
          </w:tcPr>
          <w:p>
            <w:pPr>
              <w:jc w:val="center"/>
              <w:rPr>
                <w:rFonts w:ascii="Times New Roman" w:hAnsi="Times New Roman" w:eastAsia="仿宋"/>
                <w:b/>
                <w:sz w:val="24"/>
              </w:rPr>
            </w:pPr>
          </w:p>
        </w:tc>
        <w:tc>
          <w:tcPr>
            <w:tcW w:w="1184" w:type="dxa"/>
            <w:vAlign w:val="center"/>
          </w:tcPr>
          <w:p>
            <w:pPr>
              <w:jc w:val="center"/>
              <w:rPr>
                <w:rFonts w:ascii="Times New Roman" w:hAnsi="Times New Roman" w:eastAsia="仿宋"/>
                <w:b/>
                <w:sz w:val="24"/>
              </w:rPr>
            </w:pPr>
          </w:p>
        </w:tc>
        <w:tc>
          <w:tcPr>
            <w:tcW w:w="1184" w:type="dxa"/>
          </w:tcPr>
          <w:p>
            <w:pPr>
              <w:jc w:val="center"/>
              <w:rPr>
                <w:rFonts w:ascii="Times New Roman" w:hAnsi="Times New Roman" w:eastAsia="仿宋"/>
                <w:b/>
                <w:sz w:val="24"/>
              </w:rPr>
            </w:pPr>
          </w:p>
        </w:tc>
        <w:tc>
          <w:tcPr>
            <w:tcW w:w="1183" w:type="dxa"/>
            <w:vAlign w:val="center"/>
          </w:tcPr>
          <w:p>
            <w:pPr>
              <w:jc w:val="center"/>
              <w:rPr>
                <w:rFonts w:ascii="Times New Roman" w:hAnsi="Times New Roman" w:eastAsia="仿宋"/>
                <w:b/>
                <w:sz w:val="24"/>
              </w:rPr>
            </w:pPr>
          </w:p>
        </w:tc>
        <w:tc>
          <w:tcPr>
            <w:tcW w:w="1184" w:type="dxa"/>
            <w:vAlign w:val="center"/>
          </w:tcPr>
          <w:p>
            <w:pPr>
              <w:jc w:val="center"/>
              <w:rPr>
                <w:rFonts w:ascii="Times New Roman" w:hAnsi="Times New Roman" w:eastAsia="仿宋"/>
                <w:b/>
                <w:sz w:val="24"/>
              </w:rPr>
            </w:pPr>
          </w:p>
        </w:tc>
        <w:tc>
          <w:tcPr>
            <w:tcW w:w="832" w:type="dxa"/>
          </w:tcPr>
          <w:p>
            <w:pPr>
              <w:jc w:val="center"/>
              <w:rPr>
                <w:rFonts w:ascii="Times New Roman" w:hAnsi="Times New Roman" w:eastAsia="仿宋"/>
                <w:b/>
                <w:sz w:val="24"/>
              </w:rPr>
            </w:pPr>
          </w:p>
        </w:tc>
        <w:tc>
          <w:tcPr>
            <w:tcW w:w="992" w:type="dxa"/>
          </w:tcPr>
          <w:p>
            <w:pPr>
              <w:jc w:val="center"/>
              <w:rPr>
                <w:rFonts w:ascii="Times New Roman" w:hAnsi="Times New Roman" w:eastAsia="仿宋"/>
                <w:b/>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0" w:hRule="atLeast"/>
          <w:jc w:val="center"/>
        </w:trPr>
        <w:tc>
          <w:tcPr>
            <w:tcW w:w="567" w:type="dxa"/>
            <w:vAlign w:val="center"/>
          </w:tcPr>
          <w:p>
            <w:pPr>
              <w:jc w:val="center"/>
              <w:rPr>
                <w:rFonts w:ascii="Times New Roman" w:hAnsi="Times New Roman" w:eastAsia="仿宋"/>
                <w:b/>
                <w:sz w:val="24"/>
              </w:rPr>
            </w:pPr>
          </w:p>
        </w:tc>
        <w:tc>
          <w:tcPr>
            <w:tcW w:w="992" w:type="dxa"/>
            <w:vAlign w:val="center"/>
          </w:tcPr>
          <w:p>
            <w:pPr>
              <w:jc w:val="center"/>
              <w:rPr>
                <w:rFonts w:ascii="Times New Roman" w:hAnsi="Times New Roman" w:eastAsia="仿宋"/>
                <w:b/>
                <w:sz w:val="24"/>
              </w:rPr>
            </w:pPr>
          </w:p>
        </w:tc>
        <w:tc>
          <w:tcPr>
            <w:tcW w:w="851" w:type="dxa"/>
          </w:tcPr>
          <w:p>
            <w:pPr>
              <w:jc w:val="center"/>
              <w:rPr>
                <w:rFonts w:ascii="Times New Roman" w:hAnsi="Times New Roman" w:eastAsia="仿宋"/>
                <w:b/>
                <w:sz w:val="24"/>
              </w:rPr>
            </w:pPr>
          </w:p>
        </w:tc>
        <w:tc>
          <w:tcPr>
            <w:tcW w:w="850" w:type="dxa"/>
          </w:tcPr>
          <w:p>
            <w:pPr>
              <w:jc w:val="center"/>
              <w:rPr>
                <w:rFonts w:ascii="Times New Roman" w:hAnsi="Times New Roman" w:eastAsia="仿宋"/>
                <w:b/>
                <w:sz w:val="24"/>
              </w:rPr>
            </w:pPr>
          </w:p>
        </w:tc>
        <w:tc>
          <w:tcPr>
            <w:tcW w:w="851" w:type="dxa"/>
          </w:tcPr>
          <w:p>
            <w:pPr>
              <w:jc w:val="center"/>
              <w:rPr>
                <w:rFonts w:ascii="Times New Roman" w:hAnsi="Times New Roman" w:eastAsia="仿宋"/>
                <w:b/>
                <w:sz w:val="24"/>
              </w:rPr>
            </w:pPr>
          </w:p>
        </w:tc>
        <w:tc>
          <w:tcPr>
            <w:tcW w:w="899" w:type="dxa"/>
            <w:vAlign w:val="center"/>
          </w:tcPr>
          <w:p>
            <w:pPr>
              <w:jc w:val="center"/>
              <w:rPr>
                <w:rFonts w:ascii="Times New Roman" w:hAnsi="Times New Roman" w:eastAsia="仿宋"/>
                <w:b/>
                <w:sz w:val="24"/>
              </w:rPr>
            </w:pPr>
          </w:p>
        </w:tc>
        <w:tc>
          <w:tcPr>
            <w:tcW w:w="1207" w:type="dxa"/>
            <w:vAlign w:val="center"/>
          </w:tcPr>
          <w:p>
            <w:pPr>
              <w:jc w:val="center"/>
              <w:rPr>
                <w:rFonts w:ascii="Times New Roman" w:hAnsi="Times New Roman" w:eastAsia="仿宋"/>
                <w:b/>
                <w:sz w:val="24"/>
              </w:rPr>
            </w:pPr>
          </w:p>
        </w:tc>
        <w:tc>
          <w:tcPr>
            <w:tcW w:w="938" w:type="dxa"/>
          </w:tcPr>
          <w:p>
            <w:pPr>
              <w:jc w:val="center"/>
              <w:rPr>
                <w:rFonts w:ascii="Times New Roman" w:hAnsi="Times New Roman" w:eastAsia="仿宋"/>
                <w:b/>
                <w:sz w:val="24"/>
              </w:rPr>
            </w:pPr>
          </w:p>
        </w:tc>
        <w:tc>
          <w:tcPr>
            <w:tcW w:w="1307" w:type="dxa"/>
            <w:vAlign w:val="center"/>
          </w:tcPr>
          <w:p>
            <w:pPr>
              <w:jc w:val="center"/>
              <w:rPr>
                <w:rFonts w:ascii="Times New Roman" w:hAnsi="Times New Roman" w:eastAsia="仿宋"/>
                <w:b/>
                <w:sz w:val="24"/>
              </w:rPr>
            </w:pPr>
          </w:p>
        </w:tc>
        <w:tc>
          <w:tcPr>
            <w:tcW w:w="1184" w:type="dxa"/>
            <w:vAlign w:val="center"/>
          </w:tcPr>
          <w:p>
            <w:pPr>
              <w:jc w:val="center"/>
              <w:rPr>
                <w:rFonts w:ascii="Times New Roman" w:hAnsi="Times New Roman" w:eastAsia="仿宋"/>
                <w:b/>
                <w:sz w:val="24"/>
              </w:rPr>
            </w:pPr>
          </w:p>
        </w:tc>
        <w:tc>
          <w:tcPr>
            <w:tcW w:w="1184" w:type="dxa"/>
          </w:tcPr>
          <w:p>
            <w:pPr>
              <w:jc w:val="center"/>
              <w:rPr>
                <w:rFonts w:ascii="Times New Roman" w:hAnsi="Times New Roman" w:eastAsia="仿宋"/>
                <w:b/>
                <w:sz w:val="24"/>
              </w:rPr>
            </w:pPr>
          </w:p>
        </w:tc>
        <w:tc>
          <w:tcPr>
            <w:tcW w:w="1183" w:type="dxa"/>
            <w:vAlign w:val="center"/>
          </w:tcPr>
          <w:p>
            <w:pPr>
              <w:jc w:val="center"/>
              <w:rPr>
                <w:rFonts w:ascii="Times New Roman" w:hAnsi="Times New Roman" w:eastAsia="仿宋"/>
                <w:b/>
                <w:sz w:val="24"/>
              </w:rPr>
            </w:pPr>
          </w:p>
        </w:tc>
        <w:tc>
          <w:tcPr>
            <w:tcW w:w="1184" w:type="dxa"/>
            <w:vAlign w:val="center"/>
          </w:tcPr>
          <w:p>
            <w:pPr>
              <w:jc w:val="center"/>
              <w:rPr>
                <w:rFonts w:ascii="Times New Roman" w:hAnsi="Times New Roman" w:eastAsia="仿宋"/>
                <w:b/>
                <w:sz w:val="24"/>
              </w:rPr>
            </w:pPr>
          </w:p>
        </w:tc>
        <w:tc>
          <w:tcPr>
            <w:tcW w:w="832" w:type="dxa"/>
          </w:tcPr>
          <w:p>
            <w:pPr>
              <w:jc w:val="center"/>
              <w:rPr>
                <w:rFonts w:ascii="Times New Roman" w:hAnsi="Times New Roman" w:eastAsia="仿宋"/>
                <w:b/>
                <w:sz w:val="24"/>
              </w:rPr>
            </w:pPr>
          </w:p>
        </w:tc>
        <w:tc>
          <w:tcPr>
            <w:tcW w:w="992" w:type="dxa"/>
          </w:tcPr>
          <w:p>
            <w:pPr>
              <w:jc w:val="center"/>
              <w:rPr>
                <w:rFonts w:ascii="Times New Roman" w:hAnsi="Times New Roman" w:eastAsia="仿宋"/>
                <w:b/>
                <w:sz w:val="24"/>
              </w:rPr>
            </w:pPr>
          </w:p>
        </w:tc>
      </w:tr>
    </w:tbl>
    <w:p>
      <w:pPr>
        <w:rPr>
          <w:rFonts w:ascii="Times New Roman" w:hAnsi="Times New Roman" w:eastAsia="仿宋"/>
          <w:sz w:val="24"/>
        </w:rPr>
      </w:pPr>
    </w:p>
    <w:p>
      <w:pPr>
        <w:ind w:right="1200"/>
        <w:rPr>
          <w:rFonts w:ascii="Times New Roman" w:hAnsi="Times New Roman" w:eastAsia="方正仿宋简体"/>
          <w:sz w:val="24"/>
          <w:szCs w:val="30"/>
        </w:rPr>
      </w:pPr>
      <w:r>
        <w:rPr>
          <w:rFonts w:hint="eastAsia" w:ascii="Times New Roman" w:hAnsi="Times New Roman" w:eastAsia="方正仿宋简体"/>
          <w:sz w:val="24"/>
          <w:szCs w:val="30"/>
        </w:rPr>
        <w:t>（加盖公章</w:t>
      </w:r>
      <w:r>
        <w:rPr>
          <w:rFonts w:ascii="Times New Roman" w:hAnsi="Times New Roman" w:eastAsia="方正仿宋简体"/>
          <w:sz w:val="24"/>
          <w:szCs w:val="30"/>
        </w:rPr>
        <w:t>或董事会章</w:t>
      </w:r>
      <w:r>
        <w:rPr>
          <w:rFonts w:hint="eastAsia" w:ascii="Times New Roman" w:hAnsi="Times New Roman" w:eastAsia="方正仿宋简体"/>
          <w:sz w:val="24"/>
          <w:szCs w:val="30"/>
        </w:rPr>
        <w:t>）</w:t>
      </w:r>
    </w:p>
    <w:p>
      <w:pPr>
        <w:rPr>
          <w:rFonts w:ascii="Times New Roman" w:hAnsi="Times New Roman" w:eastAsia="仿宋"/>
          <w:sz w:val="24"/>
        </w:rPr>
      </w:pPr>
      <w:r>
        <w:rPr>
          <w:rFonts w:hint="eastAsia" w:ascii="Times New Roman" w:hAnsi="Times New Roman" w:eastAsia="仿宋"/>
          <w:sz w:val="24"/>
        </w:rPr>
        <w:t>填报日期：</w:t>
      </w:r>
    </w:p>
    <w:p>
      <w:pPr>
        <w:rPr>
          <w:rFonts w:ascii="Times New Roman" w:hAnsi="Times New Roman" w:eastAsia="仿宋"/>
          <w:sz w:val="24"/>
        </w:rPr>
      </w:pPr>
    </w:p>
    <w:p>
      <w:pPr>
        <w:rPr>
          <w:rFonts w:hint="eastAsia" w:ascii="Times New Roman" w:hAnsi="Times New Roman" w:eastAsia="仿宋"/>
          <w:sz w:val="24"/>
          <w:lang w:eastAsia="zh-CN"/>
        </w:rPr>
      </w:pPr>
      <w:r>
        <w:rPr>
          <w:rFonts w:hint="eastAsia" w:ascii="Times New Roman" w:hAnsi="Times New Roman" w:eastAsia="仿宋"/>
          <w:sz w:val="24"/>
        </w:rPr>
        <w:t>注：</w:t>
      </w:r>
      <w:r>
        <w:rPr>
          <w:rFonts w:ascii="Times New Roman" w:hAnsi="Times New Roman" w:eastAsia="仿宋"/>
          <w:sz w:val="24"/>
        </w:rPr>
        <w:t>1</w:t>
      </w:r>
      <w:r>
        <w:rPr>
          <w:rFonts w:hint="eastAsia" w:ascii="Times New Roman" w:hAnsi="Times New Roman" w:eastAsia="仿宋"/>
          <w:sz w:val="24"/>
        </w:rPr>
        <w:t>、本表所列项目仅为必备项目，上市公司可根据自身内幕信息管理的需要增加内容</w:t>
      </w:r>
      <w:r>
        <w:rPr>
          <w:rFonts w:hint="eastAsia" w:ascii="Times New Roman" w:hAnsi="Times New Roman" w:eastAsia="仿宋"/>
          <w:sz w:val="24"/>
          <w:lang w:eastAsia="zh-CN"/>
        </w:rPr>
        <w:t>；</w:t>
      </w:r>
    </w:p>
    <w:p>
      <w:pPr>
        <w:ind w:firstLine="480" w:firstLineChars="200"/>
        <w:rPr>
          <w:rFonts w:ascii="Times New Roman" w:hAnsi="Times New Roman" w:eastAsia="仿宋"/>
          <w:sz w:val="24"/>
        </w:rPr>
      </w:pPr>
      <w:r>
        <w:rPr>
          <w:rFonts w:ascii="Times New Roman" w:hAnsi="Times New Roman" w:eastAsia="仿宋"/>
          <w:sz w:val="24"/>
        </w:rPr>
        <w:t>2</w:t>
      </w:r>
      <w:r>
        <w:rPr>
          <w:rFonts w:hint="eastAsia" w:ascii="Times New Roman" w:hAnsi="Times New Roman" w:eastAsia="仿宋"/>
          <w:sz w:val="24"/>
        </w:rPr>
        <w:t>、内幕信息事项应当采取一事一记的方式，即每份内幕信息知情人登记表仅涉及一个内幕信息事项，不同内幕信息事项涉及的知情人档案应当分别记录；</w:t>
      </w:r>
    </w:p>
    <w:p>
      <w:pPr>
        <w:ind w:firstLine="480" w:firstLineChars="200"/>
        <w:rPr>
          <w:rFonts w:ascii="Times New Roman" w:hAnsi="Times New Roman" w:eastAsia="仿宋"/>
          <w:sz w:val="24"/>
        </w:rPr>
      </w:pPr>
      <w:r>
        <w:rPr>
          <w:rFonts w:ascii="Times New Roman" w:hAnsi="Times New Roman" w:eastAsia="仿宋"/>
          <w:sz w:val="24"/>
        </w:rPr>
        <w:t>3、填报获取内幕信息的方式，包括但不限于会谈、电话、传真、书面报告、电子邮件等；</w:t>
      </w:r>
    </w:p>
    <w:p>
      <w:pPr>
        <w:ind w:firstLine="480" w:firstLineChars="200"/>
        <w:rPr>
          <w:rFonts w:ascii="Times New Roman" w:hAnsi="Times New Roman" w:eastAsia="仿宋"/>
          <w:sz w:val="24"/>
        </w:rPr>
      </w:pPr>
      <w:r>
        <w:rPr>
          <w:rFonts w:ascii="Times New Roman" w:hAnsi="Times New Roman" w:eastAsia="仿宋"/>
          <w:sz w:val="24"/>
        </w:rPr>
        <w:t>4、填报各内幕信息知情人员所获知的内幕信息的内容，可根据需要添加附页进行详细说明；</w:t>
      </w:r>
    </w:p>
    <w:p>
      <w:pPr>
        <w:ind w:firstLine="480" w:firstLineChars="200"/>
        <w:rPr>
          <w:rFonts w:ascii="Times New Roman" w:hAnsi="Times New Roman" w:eastAsia="仿宋"/>
          <w:sz w:val="24"/>
        </w:rPr>
      </w:pPr>
      <w:r>
        <w:rPr>
          <w:rFonts w:ascii="Times New Roman" w:hAnsi="Times New Roman" w:eastAsia="仿宋"/>
          <w:sz w:val="24"/>
        </w:rPr>
        <w:t>5、填报内幕信息所处阶段，包括商议筹划，论证咨询，合同订立，公司内部的报告、传递、编制、决议等；</w:t>
      </w:r>
    </w:p>
    <w:p>
      <w:pPr>
        <w:widowControl/>
        <w:ind w:firstLine="480" w:firstLineChars="200"/>
        <w:jc w:val="left"/>
        <w:rPr>
          <w:rFonts w:ascii="Times New Roman" w:hAnsi="Times New Roman" w:eastAsia="仿宋"/>
          <w:sz w:val="24"/>
        </w:rPr>
      </w:pPr>
      <w:r>
        <w:rPr>
          <w:rFonts w:ascii="Times New Roman" w:hAnsi="Times New Roman" w:eastAsia="仿宋"/>
          <w:sz w:val="24"/>
        </w:rPr>
        <w:t>6</w:t>
      </w:r>
      <w:r>
        <w:rPr>
          <w:rFonts w:hint="eastAsia" w:ascii="Times New Roman" w:hAnsi="Times New Roman" w:eastAsia="仿宋"/>
          <w:sz w:val="24"/>
        </w:rPr>
        <w:t>、如为上市公司登记，填写上市公司登记人姓名；如为上市公司汇总，保留所汇总表格中原登记人姓名。</w:t>
      </w:r>
    </w:p>
    <w:p>
      <w:pPr>
        <w:spacing w:line="600" w:lineRule="exact"/>
        <w:jc w:val="center"/>
        <w:rPr>
          <w:rFonts w:ascii="Times New Roman" w:hAnsi="Times New Roman" w:eastAsia="方正大标宋简体"/>
          <w:sz w:val="44"/>
          <w:szCs w:val="44"/>
        </w:rPr>
      </w:pPr>
      <w:r>
        <w:rPr>
          <w:rFonts w:hint="eastAsia" w:ascii="Times New Roman" w:hAnsi="Times New Roman" w:eastAsia="方正大标宋简体"/>
          <w:sz w:val="44"/>
          <w:szCs w:val="44"/>
        </w:rPr>
        <w:t>重大事项进程备忘录</w:t>
      </w:r>
    </w:p>
    <w:p>
      <w:pPr>
        <w:spacing w:line="560" w:lineRule="exact"/>
        <w:jc w:val="center"/>
        <w:rPr>
          <w:rFonts w:ascii="Times New Roman" w:hAnsi="Times New Roman" w:eastAsia="方正仿宋简体"/>
          <w:sz w:val="30"/>
          <w:szCs w:val="30"/>
        </w:rPr>
      </w:pPr>
    </w:p>
    <w:p>
      <w:pPr>
        <w:autoSpaceDE w:val="0"/>
        <w:autoSpaceDN w:val="0"/>
        <w:ind w:firstLine="240" w:firstLineChars="100"/>
        <w:rPr>
          <w:rFonts w:ascii="Times New Roman" w:hAnsi="Times New Roman" w:eastAsia="仿宋"/>
          <w:sz w:val="24"/>
        </w:rPr>
      </w:pPr>
      <w:r>
        <w:rPr>
          <w:rFonts w:hint="eastAsia" w:ascii="Times New Roman" w:hAnsi="Times New Roman" w:eastAsia="仿宋"/>
          <w:sz w:val="24"/>
        </w:rPr>
        <w:t>证券简称：</w:t>
      </w:r>
      <w:r>
        <w:rPr>
          <w:rFonts w:ascii="Times New Roman" w:hAnsi="Times New Roman" w:eastAsia="仿宋"/>
          <w:sz w:val="24"/>
        </w:rPr>
        <w:t xml:space="preserve">                                      </w:t>
      </w:r>
      <w:r>
        <w:rPr>
          <w:rFonts w:hint="eastAsia" w:ascii="Times New Roman" w:hAnsi="Times New Roman" w:eastAsia="仿宋"/>
          <w:sz w:val="24"/>
        </w:rPr>
        <w:t>证券代码：</w:t>
      </w:r>
    </w:p>
    <w:p>
      <w:pPr>
        <w:autoSpaceDE w:val="0"/>
        <w:autoSpaceDN w:val="0"/>
        <w:ind w:firstLine="240" w:firstLineChars="100"/>
        <w:rPr>
          <w:rFonts w:ascii="Times New Roman" w:hAnsi="Times New Roman" w:eastAsia="仿宋"/>
          <w:sz w:val="24"/>
        </w:rPr>
      </w:pPr>
      <w:r>
        <w:rPr>
          <w:rFonts w:hint="eastAsia" w:ascii="Times New Roman" w:hAnsi="Times New Roman" w:eastAsia="仿宋"/>
          <w:sz w:val="24"/>
        </w:rPr>
        <w:t>所涉重大事项简述：</w:t>
      </w:r>
      <w:r>
        <w:rPr>
          <w:rFonts w:ascii="Times New Roman" w:hAnsi="Times New Roman" w:eastAsia="仿宋"/>
          <w:sz w:val="24"/>
        </w:rPr>
        <w:t xml:space="preserve">        </w:t>
      </w:r>
    </w:p>
    <w:p>
      <w:pPr>
        <w:autoSpaceDE w:val="0"/>
        <w:autoSpaceDN w:val="0"/>
        <w:ind w:firstLine="240" w:firstLineChars="100"/>
        <w:rPr>
          <w:rFonts w:ascii="Times New Roman" w:hAnsi="Times New Roman" w:eastAsia="仿宋"/>
          <w:sz w:val="24"/>
        </w:rPr>
      </w:pP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91"/>
        <w:gridCol w:w="1992"/>
        <w:gridCol w:w="1682"/>
        <w:gridCol w:w="2304"/>
        <w:gridCol w:w="1993"/>
        <w:gridCol w:w="1993"/>
        <w:gridCol w:w="199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4" w:hRule="atLeast"/>
        </w:trPr>
        <w:tc>
          <w:tcPr>
            <w:tcW w:w="1991" w:type="dxa"/>
            <w:shd w:val="clear" w:color="auto" w:fill="auto"/>
            <w:vAlign w:val="center"/>
          </w:tcPr>
          <w:p>
            <w:pPr>
              <w:jc w:val="center"/>
              <w:rPr>
                <w:rFonts w:eastAsia="仿宋"/>
                <w:sz w:val="24"/>
              </w:rPr>
            </w:pPr>
            <w:r>
              <w:rPr>
                <w:rFonts w:hint="eastAsia" w:eastAsia="仿宋"/>
                <w:sz w:val="24"/>
              </w:rPr>
              <w:t>关键时点</w:t>
            </w:r>
          </w:p>
        </w:tc>
        <w:tc>
          <w:tcPr>
            <w:tcW w:w="1992" w:type="dxa"/>
            <w:shd w:val="clear" w:color="auto" w:fill="auto"/>
            <w:vAlign w:val="center"/>
          </w:tcPr>
          <w:p>
            <w:pPr>
              <w:jc w:val="center"/>
              <w:rPr>
                <w:rFonts w:eastAsia="仿宋"/>
                <w:sz w:val="24"/>
              </w:rPr>
            </w:pPr>
            <w:r>
              <w:rPr>
                <w:rFonts w:hint="eastAsia" w:eastAsia="仿宋"/>
                <w:sz w:val="24"/>
              </w:rPr>
              <w:t>时间</w:t>
            </w:r>
          </w:p>
        </w:tc>
        <w:tc>
          <w:tcPr>
            <w:tcW w:w="1682" w:type="dxa"/>
            <w:shd w:val="clear" w:color="auto" w:fill="auto"/>
            <w:vAlign w:val="center"/>
          </w:tcPr>
          <w:p>
            <w:pPr>
              <w:jc w:val="center"/>
              <w:rPr>
                <w:rFonts w:eastAsia="仿宋"/>
                <w:sz w:val="24"/>
              </w:rPr>
            </w:pPr>
            <w:r>
              <w:rPr>
                <w:rFonts w:hint="eastAsia" w:eastAsia="仿宋"/>
                <w:sz w:val="24"/>
              </w:rPr>
              <w:t>地点</w:t>
            </w:r>
          </w:p>
        </w:tc>
        <w:tc>
          <w:tcPr>
            <w:tcW w:w="2304" w:type="dxa"/>
            <w:shd w:val="clear" w:color="auto" w:fill="auto"/>
            <w:vAlign w:val="center"/>
          </w:tcPr>
          <w:p>
            <w:pPr>
              <w:jc w:val="center"/>
              <w:rPr>
                <w:rFonts w:eastAsia="仿宋"/>
                <w:sz w:val="24"/>
              </w:rPr>
            </w:pPr>
            <w:r>
              <w:rPr>
                <w:rFonts w:hint="eastAsia" w:eastAsia="仿宋"/>
                <w:sz w:val="24"/>
              </w:rPr>
              <w:t>参与筹划决策人员</w:t>
            </w:r>
          </w:p>
        </w:tc>
        <w:tc>
          <w:tcPr>
            <w:tcW w:w="1993" w:type="dxa"/>
            <w:shd w:val="clear" w:color="auto" w:fill="auto"/>
            <w:vAlign w:val="center"/>
          </w:tcPr>
          <w:p>
            <w:pPr>
              <w:jc w:val="center"/>
              <w:rPr>
                <w:rFonts w:eastAsia="仿宋"/>
                <w:sz w:val="24"/>
              </w:rPr>
            </w:pPr>
            <w:r>
              <w:rPr>
                <w:rFonts w:hint="eastAsia" w:eastAsia="仿宋"/>
                <w:sz w:val="24"/>
              </w:rPr>
              <w:t>筹划决策方式</w:t>
            </w:r>
          </w:p>
        </w:tc>
        <w:tc>
          <w:tcPr>
            <w:tcW w:w="1993" w:type="dxa"/>
            <w:shd w:val="clear" w:color="auto" w:fill="auto"/>
            <w:vAlign w:val="center"/>
          </w:tcPr>
          <w:p>
            <w:pPr>
              <w:jc w:val="center"/>
              <w:rPr>
                <w:rFonts w:eastAsia="仿宋"/>
                <w:sz w:val="24"/>
              </w:rPr>
            </w:pPr>
            <w:r>
              <w:rPr>
                <w:rFonts w:hint="eastAsia" w:eastAsia="仿宋"/>
                <w:sz w:val="24"/>
              </w:rPr>
              <w:t>商议和决议内容</w:t>
            </w:r>
          </w:p>
        </w:tc>
        <w:tc>
          <w:tcPr>
            <w:tcW w:w="1993" w:type="dxa"/>
            <w:shd w:val="clear" w:color="auto" w:fill="auto"/>
            <w:vAlign w:val="center"/>
          </w:tcPr>
          <w:p>
            <w:pPr>
              <w:jc w:val="center"/>
              <w:rPr>
                <w:rFonts w:eastAsia="仿宋"/>
                <w:sz w:val="24"/>
              </w:rPr>
            </w:pPr>
            <w:r>
              <w:rPr>
                <w:rFonts w:hint="eastAsia" w:eastAsia="仿宋"/>
                <w:sz w:val="24"/>
              </w:rPr>
              <w:t>签名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91" w:type="dxa"/>
          </w:tcPr>
          <w:p>
            <w:pPr>
              <w:spacing w:line="560" w:lineRule="exact"/>
              <w:jc w:val="center"/>
              <w:rPr>
                <w:rFonts w:eastAsia="方正仿宋简体"/>
                <w:sz w:val="30"/>
                <w:szCs w:val="30"/>
              </w:rPr>
            </w:pPr>
          </w:p>
        </w:tc>
        <w:tc>
          <w:tcPr>
            <w:tcW w:w="1992" w:type="dxa"/>
          </w:tcPr>
          <w:p>
            <w:pPr>
              <w:spacing w:line="560" w:lineRule="exact"/>
              <w:jc w:val="center"/>
              <w:rPr>
                <w:rFonts w:eastAsia="方正仿宋简体"/>
                <w:sz w:val="30"/>
                <w:szCs w:val="30"/>
              </w:rPr>
            </w:pPr>
          </w:p>
        </w:tc>
        <w:tc>
          <w:tcPr>
            <w:tcW w:w="1682" w:type="dxa"/>
          </w:tcPr>
          <w:p>
            <w:pPr>
              <w:spacing w:line="560" w:lineRule="exact"/>
              <w:jc w:val="center"/>
              <w:rPr>
                <w:rFonts w:eastAsia="方正仿宋简体"/>
                <w:sz w:val="30"/>
                <w:szCs w:val="30"/>
              </w:rPr>
            </w:pPr>
          </w:p>
        </w:tc>
        <w:tc>
          <w:tcPr>
            <w:tcW w:w="2304" w:type="dxa"/>
          </w:tcPr>
          <w:p>
            <w:pPr>
              <w:spacing w:line="560" w:lineRule="exact"/>
              <w:jc w:val="center"/>
              <w:rPr>
                <w:rFonts w:eastAsia="方正仿宋简体"/>
                <w:sz w:val="30"/>
                <w:szCs w:val="30"/>
              </w:rPr>
            </w:pPr>
          </w:p>
        </w:tc>
        <w:tc>
          <w:tcPr>
            <w:tcW w:w="1993" w:type="dxa"/>
          </w:tcPr>
          <w:p>
            <w:pPr>
              <w:spacing w:line="560" w:lineRule="exact"/>
              <w:jc w:val="center"/>
              <w:rPr>
                <w:rFonts w:eastAsia="方正仿宋简体"/>
                <w:sz w:val="30"/>
                <w:szCs w:val="30"/>
              </w:rPr>
            </w:pPr>
          </w:p>
        </w:tc>
        <w:tc>
          <w:tcPr>
            <w:tcW w:w="1993" w:type="dxa"/>
          </w:tcPr>
          <w:p>
            <w:pPr>
              <w:spacing w:line="560" w:lineRule="exact"/>
              <w:jc w:val="center"/>
              <w:rPr>
                <w:rFonts w:eastAsia="方正仿宋简体"/>
                <w:sz w:val="30"/>
                <w:szCs w:val="30"/>
              </w:rPr>
            </w:pPr>
          </w:p>
        </w:tc>
        <w:tc>
          <w:tcPr>
            <w:tcW w:w="1993" w:type="dxa"/>
          </w:tcPr>
          <w:p>
            <w:pPr>
              <w:spacing w:line="560" w:lineRule="exact"/>
              <w:jc w:val="center"/>
              <w:rPr>
                <w:rFonts w:eastAsia="方正仿宋简体"/>
                <w:sz w:val="30"/>
                <w:szCs w:val="3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91" w:type="dxa"/>
          </w:tcPr>
          <w:p>
            <w:pPr>
              <w:spacing w:line="560" w:lineRule="exact"/>
              <w:jc w:val="center"/>
              <w:rPr>
                <w:rFonts w:eastAsia="方正仿宋简体"/>
                <w:sz w:val="30"/>
                <w:szCs w:val="30"/>
              </w:rPr>
            </w:pPr>
          </w:p>
        </w:tc>
        <w:tc>
          <w:tcPr>
            <w:tcW w:w="1992" w:type="dxa"/>
          </w:tcPr>
          <w:p>
            <w:pPr>
              <w:spacing w:line="560" w:lineRule="exact"/>
              <w:jc w:val="center"/>
              <w:rPr>
                <w:rFonts w:eastAsia="方正仿宋简体"/>
                <w:sz w:val="30"/>
                <w:szCs w:val="30"/>
              </w:rPr>
            </w:pPr>
          </w:p>
        </w:tc>
        <w:tc>
          <w:tcPr>
            <w:tcW w:w="1682" w:type="dxa"/>
          </w:tcPr>
          <w:p>
            <w:pPr>
              <w:spacing w:line="560" w:lineRule="exact"/>
              <w:jc w:val="center"/>
              <w:rPr>
                <w:rFonts w:eastAsia="方正仿宋简体"/>
                <w:sz w:val="30"/>
                <w:szCs w:val="30"/>
              </w:rPr>
            </w:pPr>
          </w:p>
        </w:tc>
        <w:tc>
          <w:tcPr>
            <w:tcW w:w="2304" w:type="dxa"/>
          </w:tcPr>
          <w:p>
            <w:pPr>
              <w:spacing w:line="560" w:lineRule="exact"/>
              <w:jc w:val="center"/>
              <w:rPr>
                <w:rFonts w:eastAsia="方正仿宋简体"/>
                <w:sz w:val="30"/>
                <w:szCs w:val="30"/>
              </w:rPr>
            </w:pPr>
          </w:p>
        </w:tc>
        <w:tc>
          <w:tcPr>
            <w:tcW w:w="1993" w:type="dxa"/>
          </w:tcPr>
          <w:p>
            <w:pPr>
              <w:spacing w:line="560" w:lineRule="exact"/>
              <w:jc w:val="center"/>
              <w:rPr>
                <w:rFonts w:eastAsia="方正仿宋简体"/>
                <w:sz w:val="30"/>
                <w:szCs w:val="30"/>
              </w:rPr>
            </w:pPr>
          </w:p>
        </w:tc>
        <w:tc>
          <w:tcPr>
            <w:tcW w:w="1993" w:type="dxa"/>
          </w:tcPr>
          <w:p>
            <w:pPr>
              <w:spacing w:line="560" w:lineRule="exact"/>
              <w:jc w:val="center"/>
              <w:rPr>
                <w:rFonts w:eastAsia="方正仿宋简体"/>
                <w:sz w:val="30"/>
                <w:szCs w:val="30"/>
              </w:rPr>
            </w:pPr>
          </w:p>
        </w:tc>
        <w:tc>
          <w:tcPr>
            <w:tcW w:w="1993" w:type="dxa"/>
          </w:tcPr>
          <w:p>
            <w:pPr>
              <w:spacing w:line="560" w:lineRule="exact"/>
              <w:jc w:val="center"/>
              <w:rPr>
                <w:rFonts w:eastAsia="方正仿宋简体"/>
                <w:sz w:val="30"/>
                <w:szCs w:val="3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91" w:type="dxa"/>
          </w:tcPr>
          <w:p>
            <w:pPr>
              <w:spacing w:line="560" w:lineRule="exact"/>
              <w:jc w:val="center"/>
              <w:rPr>
                <w:rFonts w:eastAsia="方正仿宋简体"/>
                <w:sz w:val="30"/>
                <w:szCs w:val="30"/>
              </w:rPr>
            </w:pPr>
          </w:p>
        </w:tc>
        <w:tc>
          <w:tcPr>
            <w:tcW w:w="1992" w:type="dxa"/>
          </w:tcPr>
          <w:p>
            <w:pPr>
              <w:spacing w:line="560" w:lineRule="exact"/>
              <w:jc w:val="center"/>
              <w:rPr>
                <w:rFonts w:eastAsia="方正仿宋简体"/>
                <w:sz w:val="30"/>
                <w:szCs w:val="30"/>
              </w:rPr>
            </w:pPr>
          </w:p>
        </w:tc>
        <w:tc>
          <w:tcPr>
            <w:tcW w:w="1682" w:type="dxa"/>
          </w:tcPr>
          <w:p>
            <w:pPr>
              <w:spacing w:line="560" w:lineRule="exact"/>
              <w:jc w:val="center"/>
              <w:rPr>
                <w:rFonts w:eastAsia="方正仿宋简体"/>
                <w:sz w:val="30"/>
                <w:szCs w:val="30"/>
              </w:rPr>
            </w:pPr>
          </w:p>
        </w:tc>
        <w:tc>
          <w:tcPr>
            <w:tcW w:w="2304" w:type="dxa"/>
          </w:tcPr>
          <w:p>
            <w:pPr>
              <w:spacing w:line="560" w:lineRule="exact"/>
              <w:jc w:val="center"/>
              <w:rPr>
                <w:rFonts w:eastAsia="方正仿宋简体"/>
                <w:sz w:val="30"/>
                <w:szCs w:val="30"/>
              </w:rPr>
            </w:pPr>
          </w:p>
        </w:tc>
        <w:tc>
          <w:tcPr>
            <w:tcW w:w="1993" w:type="dxa"/>
          </w:tcPr>
          <w:p>
            <w:pPr>
              <w:spacing w:line="560" w:lineRule="exact"/>
              <w:jc w:val="center"/>
              <w:rPr>
                <w:rFonts w:eastAsia="方正仿宋简体"/>
                <w:sz w:val="30"/>
                <w:szCs w:val="30"/>
              </w:rPr>
            </w:pPr>
          </w:p>
        </w:tc>
        <w:tc>
          <w:tcPr>
            <w:tcW w:w="1993" w:type="dxa"/>
          </w:tcPr>
          <w:p>
            <w:pPr>
              <w:spacing w:line="560" w:lineRule="exact"/>
              <w:jc w:val="center"/>
              <w:rPr>
                <w:rFonts w:eastAsia="方正仿宋简体"/>
                <w:sz w:val="30"/>
                <w:szCs w:val="30"/>
              </w:rPr>
            </w:pPr>
          </w:p>
        </w:tc>
        <w:tc>
          <w:tcPr>
            <w:tcW w:w="1993" w:type="dxa"/>
          </w:tcPr>
          <w:p>
            <w:pPr>
              <w:spacing w:line="560" w:lineRule="exact"/>
              <w:jc w:val="center"/>
              <w:rPr>
                <w:rFonts w:eastAsia="方正仿宋简体"/>
                <w:sz w:val="30"/>
                <w:szCs w:val="3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91" w:type="dxa"/>
          </w:tcPr>
          <w:p>
            <w:pPr>
              <w:spacing w:line="560" w:lineRule="exact"/>
              <w:jc w:val="center"/>
              <w:rPr>
                <w:rFonts w:eastAsia="方正仿宋简体"/>
                <w:sz w:val="30"/>
                <w:szCs w:val="30"/>
              </w:rPr>
            </w:pPr>
          </w:p>
        </w:tc>
        <w:tc>
          <w:tcPr>
            <w:tcW w:w="1992" w:type="dxa"/>
          </w:tcPr>
          <w:p>
            <w:pPr>
              <w:spacing w:line="560" w:lineRule="exact"/>
              <w:jc w:val="center"/>
              <w:rPr>
                <w:rFonts w:eastAsia="方正仿宋简体"/>
                <w:sz w:val="30"/>
                <w:szCs w:val="30"/>
              </w:rPr>
            </w:pPr>
          </w:p>
        </w:tc>
        <w:tc>
          <w:tcPr>
            <w:tcW w:w="1682" w:type="dxa"/>
          </w:tcPr>
          <w:p>
            <w:pPr>
              <w:spacing w:line="560" w:lineRule="exact"/>
              <w:jc w:val="center"/>
              <w:rPr>
                <w:rFonts w:eastAsia="方正仿宋简体"/>
                <w:sz w:val="30"/>
                <w:szCs w:val="30"/>
              </w:rPr>
            </w:pPr>
          </w:p>
        </w:tc>
        <w:tc>
          <w:tcPr>
            <w:tcW w:w="2304" w:type="dxa"/>
          </w:tcPr>
          <w:p>
            <w:pPr>
              <w:spacing w:line="560" w:lineRule="exact"/>
              <w:jc w:val="center"/>
              <w:rPr>
                <w:rFonts w:eastAsia="方正仿宋简体"/>
                <w:sz w:val="30"/>
                <w:szCs w:val="30"/>
              </w:rPr>
            </w:pPr>
          </w:p>
        </w:tc>
        <w:tc>
          <w:tcPr>
            <w:tcW w:w="1993" w:type="dxa"/>
          </w:tcPr>
          <w:p>
            <w:pPr>
              <w:spacing w:line="560" w:lineRule="exact"/>
              <w:jc w:val="center"/>
              <w:rPr>
                <w:rFonts w:eastAsia="方正仿宋简体"/>
                <w:sz w:val="30"/>
                <w:szCs w:val="30"/>
              </w:rPr>
            </w:pPr>
          </w:p>
        </w:tc>
        <w:tc>
          <w:tcPr>
            <w:tcW w:w="1993" w:type="dxa"/>
          </w:tcPr>
          <w:p>
            <w:pPr>
              <w:spacing w:line="560" w:lineRule="exact"/>
              <w:jc w:val="center"/>
              <w:rPr>
                <w:rFonts w:eastAsia="方正仿宋简体"/>
                <w:sz w:val="30"/>
                <w:szCs w:val="30"/>
              </w:rPr>
            </w:pPr>
          </w:p>
        </w:tc>
        <w:tc>
          <w:tcPr>
            <w:tcW w:w="1993" w:type="dxa"/>
          </w:tcPr>
          <w:p>
            <w:pPr>
              <w:spacing w:line="560" w:lineRule="exact"/>
              <w:jc w:val="center"/>
              <w:rPr>
                <w:rFonts w:eastAsia="方正仿宋简体"/>
                <w:sz w:val="30"/>
                <w:szCs w:val="30"/>
              </w:rPr>
            </w:pPr>
          </w:p>
        </w:tc>
      </w:tr>
    </w:tbl>
    <w:p>
      <w:pPr>
        <w:ind w:firstLine="480" w:firstLineChars="200"/>
        <w:rPr>
          <w:rFonts w:ascii="Times New Roman" w:hAnsi="Times New Roman" w:eastAsia="仿宋"/>
          <w:sz w:val="24"/>
        </w:rPr>
      </w:pPr>
    </w:p>
    <w:p>
      <w:pPr>
        <w:spacing w:line="560" w:lineRule="exact"/>
        <w:ind w:right="600"/>
        <w:rPr>
          <w:rFonts w:ascii="Times New Roman" w:hAnsi="Times New Roman" w:eastAsia="方正仿宋简体"/>
          <w:sz w:val="24"/>
          <w:szCs w:val="30"/>
        </w:rPr>
      </w:pPr>
      <w:r>
        <w:rPr>
          <w:rFonts w:hint="eastAsia" w:ascii="Times New Roman" w:hAnsi="Times New Roman" w:eastAsia="方正仿宋简体"/>
          <w:sz w:val="24"/>
          <w:szCs w:val="30"/>
        </w:rPr>
        <w:t>法定代表人签名：</w:t>
      </w:r>
      <w:r>
        <w:rPr>
          <w:rFonts w:ascii="Times New Roman" w:hAnsi="Times New Roman" w:eastAsia="方正仿宋简体"/>
          <w:sz w:val="24"/>
          <w:szCs w:val="30"/>
        </w:rPr>
        <w:t xml:space="preserve">                   </w:t>
      </w:r>
    </w:p>
    <w:p>
      <w:pPr>
        <w:ind w:right="1200"/>
        <w:rPr>
          <w:rFonts w:ascii="Times New Roman" w:hAnsi="Times New Roman" w:eastAsia="方正仿宋简体"/>
          <w:sz w:val="24"/>
          <w:szCs w:val="30"/>
        </w:rPr>
      </w:pPr>
      <w:r>
        <w:rPr>
          <w:rFonts w:hint="eastAsia" w:ascii="Times New Roman" w:hAnsi="Times New Roman" w:eastAsia="方正仿宋简体"/>
          <w:sz w:val="24"/>
          <w:szCs w:val="30"/>
        </w:rPr>
        <w:t>（加盖公章</w:t>
      </w:r>
      <w:r>
        <w:rPr>
          <w:rFonts w:ascii="Times New Roman" w:hAnsi="Times New Roman" w:eastAsia="方正仿宋简体"/>
          <w:sz w:val="24"/>
          <w:szCs w:val="30"/>
        </w:rPr>
        <w:t>或董事会章</w:t>
      </w:r>
      <w:r>
        <w:rPr>
          <w:rFonts w:hint="eastAsia" w:ascii="Times New Roman" w:hAnsi="Times New Roman" w:eastAsia="方正仿宋简体"/>
          <w:sz w:val="24"/>
          <w:szCs w:val="30"/>
        </w:rPr>
        <w:t>）</w:t>
      </w:r>
    </w:p>
    <w:p>
      <w:pPr>
        <w:ind w:right="1200"/>
        <w:rPr>
          <w:sz w:val="18"/>
        </w:rPr>
      </w:pPr>
    </w:p>
    <w:p>
      <w:pPr>
        <w:rPr>
          <w:rFonts w:ascii="Times New Roman" w:hAnsi="Times New Roman" w:eastAsia="仿宋"/>
          <w:sz w:val="24"/>
        </w:rPr>
      </w:pPr>
      <w:r>
        <w:rPr>
          <w:rFonts w:hint="eastAsia" w:ascii="Times New Roman" w:hAnsi="Times New Roman" w:eastAsia="仿宋"/>
          <w:sz w:val="24"/>
        </w:rPr>
        <w:t>注：</w:t>
      </w:r>
      <w:r>
        <w:rPr>
          <w:rFonts w:ascii="Times New Roman" w:hAnsi="Times New Roman" w:eastAsia="仿宋"/>
          <w:sz w:val="24"/>
        </w:rPr>
        <w:t>1</w:t>
      </w:r>
      <w:r>
        <w:rPr>
          <w:rFonts w:hint="eastAsia" w:ascii="Times New Roman" w:hAnsi="Times New Roman" w:eastAsia="仿宋"/>
          <w:sz w:val="24"/>
        </w:rPr>
        <w:t>、本表所列项目仅为必备项目，上市公司可根据自身内幕信息管理的需要增加内容；</w:t>
      </w:r>
    </w:p>
    <w:p>
      <w:pPr>
        <w:ind w:firstLine="480" w:firstLineChars="200"/>
        <w:rPr>
          <w:rFonts w:ascii="Times New Roman" w:hAnsi="Times New Roman" w:eastAsia="仿宋"/>
          <w:sz w:val="24"/>
        </w:rPr>
      </w:pPr>
      <w:r>
        <w:rPr>
          <w:rFonts w:ascii="Times New Roman" w:hAnsi="Times New Roman" w:eastAsia="仿宋"/>
          <w:sz w:val="24"/>
        </w:rPr>
        <w:t>2</w:t>
      </w:r>
      <w:r>
        <w:rPr>
          <w:rFonts w:hint="eastAsia" w:ascii="Times New Roman" w:hAnsi="Times New Roman" w:eastAsia="仿宋"/>
          <w:sz w:val="24"/>
        </w:rPr>
        <w:t>、重大事项进程备忘录涉及的相关人员应当在备忘录上签名确认。</w:t>
      </w:r>
    </w:p>
    <w:p>
      <w:pPr>
        <w:ind w:firstLine="480" w:firstLineChars="200"/>
        <w:rPr>
          <w:rFonts w:ascii="Times New Roman" w:hAnsi="Times New Roman" w:eastAsia="仿宋"/>
          <w:sz w:val="24"/>
        </w:rPr>
      </w:pPr>
    </w:p>
    <w:p>
      <w:pPr>
        <w:widowControl/>
        <w:jc w:val="left"/>
        <w:rPr>
          <w:rFonts w:ascii="Times New Roman" w:hAnsi="Times New Roman" w:eastAsia="黑体"/>
          <w:sz w:val="32"/>
          <w:szCs w:val="32"/>
        </w:rPr>
        <w:sectPr>
          <w:footerReference r:id="rId7" w:type="default"/>
          <w:pgSz w:w="16838" w:h="11906" w:orient="landscape"/>
          <w:pgMar w:top="1797" w:right="1440" w:bottom="1797" w:left="1440" w:header="851" w:footer="992" w:gutter="0"/>
          <w:pgNumType w:fmt="numberInDash"/>
          <w:cols w:space="425" w:num="1"/>
          <w:docGrid w:type="linesAndChars" w:linePitch="312" w:charSpace="0"/>
        </w:sectPr>
      </w:pPr>
      <w:r>
        <w:rPr>
          <w:rFonts w:ascii="Times New Roman" w:hAnsi="Times New Roman" w:eastAsia="黑体"/>
          <w:sz w:val="32"/>
          <w:szCs w:val="32"/>
        </w:rPr>
        <w:br w:type="page"/>
      </w:r>
    </w:p>
    <w:p>
      <w:pPr>
        <w:spacing w:line="580" w:lineRule="exact"/>
        <w:ind w:right="-59"/>
        <w:rPr>
          <w:rFonts w:ascii="Times New Roman" w:hAnsi="Times New Roman" w:eastAsia="黑体"/>
          <w:sz w:val="32"/>
          <w:szCs w:val="32"/>
        </w:rPr>
      </w:pPr>
      <w:r>
        <w:rPr>
          <w:rFonts w:ascii="Times New Roman" w:hAnsi="Times New Roman" w:eastAsia="黑体"/>
          <w:sz w:val="32"/>
          <w:szCs w:val="32"/>
        </w:rPr>
        <w:t>附件2</w:t>
      </w:r>
    </w:p>
    <w:p>
      <w:pPr>
        <w:jc w:val="center"/>
        <w:rPr>
          <w:rFonts w:ascii="黑体" w:hAnsi="黑体" w:eastAsia="黑体"/>
          <w:b/>
          <w:sz w:val="28"/>
          <w:szCs w:val="28"/>
        </w:rPr>
      </w:pPr>
      <w:r>
        <w:rPr>
          <w:rFonts w:ascii="黑体" w:hAnsi="黑体" w:eastAsia="黑体"/>
          <w:b/>
          <w:sz w:val="28"/>
          <w:szCs w:val="28"/>
        </w:rPr>
        <w:t>XXXX公司注销回购股份申请表</w:t>
      </w:r>
    </w:p>
    <w:p>
      <w:pPr>
        <w:ind w:firstLine="1440" w:firstLineChars="600"/>
        <w:jc w:val="left"/>
        <w:rPr>
          <w:rFonts w:ascii="仿宋" w:hAnsi="仿宋" w:eastAsia="仿宋"/>
          <w:sz w:val="24"/>
          <w:szCs w:val="21"/>
        </w:rPr>
      </w:pPr>
    </w:p>
    <w:p>
      <w:pPr>
        <w:spacing w:after="240"/>
        <w:ind w:firstLine="1440" w:firstLineChars="600"/>
        <w:jc w:val="left"/>
        <w:rPr>
          <w:rFonts w:ascii="仿宋" w:hAnsi="仿宋" w:eastAsia="仿宋"/>
          <w:sz w:val="24"/>
          <w:szCs w:val="21"/>
        </w:rPr>
      </w:pPr>
      <w:r>
        <w:rPr>
          <w:rFonts w:hint="eastAsia" w:ascii="仿宋" w:hAnsi="仿宋" w:eastAsia="仿宋"/>
          <w:sz w:val="24"/>
          <w:szCs w:val="21"/>
        </w:rPr>
        <w:t>证券简称：</w:t>
      </w:r>
      <w:r>
        <w:rPr>
          <w:rFonts w:ascii="仿宋" w:hAnsi="仿宋" w:eastAsia="仿宋"/>
          <w:sz w:val="24"/>
          <w:szCs w:val="21"/>
        </w:rPr>
        <w:t xml:space="preserve">               </w:t>
      </w:r>
      <w:r>
        <w:rPr>
          <w:rFonts w:hint="eastAsia" w:ascii="仿宋" w:hAnsi="仿宋" w:eastAsia="仿宋"/>
          <w:sz w:val="24"/>
          <w:szCs w:val="21"/>
        </w:rPr>
        <w:t>证券代码：</w:t>
      </w:r>
      <w:r>
        <w:rPr>
          <w:rFonts w:ascii="仿宋" w:hAnsi="仿宋" w:eastAsia="仿宋"/>
          <w:sz w:val="24"/>
          <w:szCs w:val="21"/>
        </w:rPr>
        <w:t xml:space="preserve">      </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42"/>
        <w:gridCol w:w="1166"/>
        <w:gridCol w:w="290"/>
        <w:gridCol w:w="3059"/>
        <w:gridCol w:w="226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5000" w:type="pct"/>
            <w:gridSpan w:val="5"/>
            <w:shd w:val="clear" w:color="auto" w:fill="E7E6E6" w:themeFill="background2"/>
            <w:vAlign w:val="center"/>
          </w:tcPr>
          <w:p>
            <w:pPr>
              <w:jc w:val="center"/>
              <w:rPr>
                <w:rFonts w:ascii="仿宋" w:hAnsi="仿宋" w:eastAsia="仿宋"/>
                <w:b/>
                <w:sz w:val="24"/>
                <w:szCs w:val="21"/>
              </w:rPr>
            </w:pPr>
            <w:r>
              <w:rPr>
                <w:rFonts w:hint="eastAsia" w:ascii="仿宋" w:hAnsi="仿宋" w:eastAsia="仿宋"/>
                <w:b/>
                <w:sz w:val="24"/>
                <w:szCs w:val="21"/>
              </w:rPr>
              <w:t>回购方案实施情况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96" w:hRule="atLeast"/>
        </w:trPr>
        <w:tc>
          <w:tcPr>
            <w:tcW w:w="1022" w:type="pct"/>
            <w:shd w:val="clear" w:color="auto" w:fill="auto"/>
            <w:vAlign w:val="center"/>
          </w:tcPr>
          <w:p>
            <w:pPr>
              <w:jc w:val="center"/>
              <w:rPr>
                <w:rFonts w:ascii="仿宋" w:hAnsi="仿宋" w:eastAsia="仿宋"/>
                <w:b/>
                <w:sz w:val="24"/>
                <w:szCs w:val="21"/>
              </w:rPr>
            </w:pPr>
            <w:r>
              <w:rPr>
                <w:rFonts w:hint="eastAsia" w:ascii="仿宋" w:hAnsi="仿宋" w:eastAsia="仿宋"/>
                <w:b/>
                <w:sz w:val="24"/>
                <w:szCs w:val="21"/>
              </w:rPr>
              <w:t>回购方案概述</w:t>
            </w:r>
          </w:p>
        </w:tc>
        <w:tc>
          <w:tcPr>
            <w:tcW w:w="3977" w:type="pct"/>
            <w:gridSpan w:val="4"/>
            <w:shd w:val="clear" w:color="auto" w:fill="auto"/>
            <w:vAlign w:val="center"/>
          </w:tcPr>
          <w:p>
            <w:pPr>
              <w:rPr>
                <w:rFonts w:ascii="仿宋" w:hAnsi="仿宋" w:eastAsia="仿宋"/>
                <w:i/>
                <w:color w:val="808080" w:themeColor="text1" w:themeTint="80"/>
                <w:sz w:val="24"/>
                <w:szCs w:val="21"/>
                <w14:textFill>
                  <w14:solidFill>
                    <w14:schemeClr w14:val="tx1">
                      <w14:lumMod w14:val="50000"/>
                      <w14:lumOff w14:val="50000"/>
                    </w14:schemeClr>
                  </w14:solidFill>
                </w14:textFill>
              </w:rPr>
            </w:pPr>
            <w:r>
              <w:rPr>
                <w:rFonts w:hint="eastAsia" w:ascii="仿宋" w:hAnsi="仿宋" w:eastAsia="仿宋"/>
                <w:i/>
                <w:color w:val="808080" w:themeColor="text1" w:themeTint="80"/>
                <w:sz w:val="24"/>
                <w:szCs w:val="21"/>
                <w14:textFill>
                  <w14:solidFill>
                    <w14:schemeClr w14:val="tx1">
                      <w14:lumMod w14:val="50000"/>
                      <w14:lumOff w14:val="50000"/>
                    </w14:schemeClr>
                  </w14:solidFill>
                </w14:textFill>
              </w:rPr>
              <w:t>简要说明本次回购方案的基本情况，包括回购目的、方式、数量、占总股本及拟回购总数量的比例、价格、资金总额等。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71" w:hRule="atLeast"/>
        </w:trPr>
        <w:tc>
          <w:tcPr>
            <w:tcW w:w="1022" w:type="pct"/>
            <w:shd w:val="clear" w:color="auto" w:fill="auto"/>
            <w:vAlign w:val="center"/>
          </w:tcPr>
          <w:p>
            <w:pPr>
              <w:jc w:val="center"/>
              <w:rPr>
                <w:rFonts w:ascii="仿宋" w:hAnsi="仿宋" w:eastAsia="仿宋"/>
                <w:b/>
                <w:sz w:val="24"/>
                <w:szCs w:val="21"/>
              </w:rPr>
            </w:pPr>
            <w:r>
              <w:rPr>
                <w:rFonts w:hint="eastAsia" w:ascii="仿宋" w:hAnsi="仿宋" w:eastAsia="仿宋"/>
                <w:b/>
                <w:sz w:val="24"/>
                <w:szCs w:val="21"/>
              </w:rPr>
              <w:t>回购结果概述</w:t>
            </w:r>
          </w:p>
        </w:tc>
        <w:tc>
          <w:tcPr>
            <w:tcW w:w="3977" w:type="pct"/>
            <w:gridSpan w:val="4"/>
            <w:shd w:val="clear" w:color="auto" w:fill="auto"/>
            <w:vAlign w:val="center"/>
          </w:tcPr>
          <w:p>
            <w:pPr>
              <w:rPr>
                <w:rFonts w:ascii="仿宋" w:hAnsi="仿宋" w:eastAsia="仿宋"/>
                <w:i/>
                <w:color w:val="808080" w:themeColor="text1" w:themeTint="80"/>
                <w:sz w:val="24"/>
                <w:szCs w:val="21"/>
                <w14:textFill>
                  <w14:solidFill>
                    <w14:schemeClr w14:val="tx1">
                      <w14:lumMod w14:val="50000"/>
                      <w14:lumOff w14:val="50000"/>
                    </w14:schemeClr>
                  </w14:solidFill>
                </w14:textFill>
              </w:rPr>
            </w:pPr>
            <w:r>
              <w:rPr>
                <w:rFonts w:ascii="仿宋" w:hAnsi="仿宋" w:eastAsia="仿宋"/>
                <w:i/>
                <w:color w:val="808080" w:themeColor="text1" w:themeTint="80"/>
                <w:sz w:val="24"/>
                <w:szCs w:val="21"/>
                <w14:textFill>
                  <w14:solidFill>
                    <w14:schemeClr w14:val="tx1">
                      <w14:lumMod w14:val="50000"/>
                      <w14:lumOff w14:val="50000"/>
                    </w14:schemeClr>
                  </w14:solidFill>
                </w14:textFill>
              </w:rPr>
              <w:t>1.</w:t>
            </w:r>
            <w:r>
              <w:rPr>
                <w:rFonts w:hint="eastAsia" w:ascii="仿宋" w:hAnsi="仿宋" w:eastAsia="仿宋"/>
                <w:i/>
                <w:color w:val="808080" w:themeColor="text1" w:themeTint="80"/>
                <w:sz w:val="24"/>
                <w:szCs w:val="21"/>
                <w14:textFill>
                  <w14:solidFill>
                    <w14:schemeClr w14:val="tx1">
                      <w14:lumMod w14:val="50000"/>
                      <w14:lumOff w14:val="50000"/>
                    </w14:schemeClr>
                  </w14:solidFill>
                </w14:textFill>
              </w:rPr>
              <w:t>如为</w:t>
            </w:r>
            <w:r>
              <w:rPr>
                <w:rFonts w:hint="eastAsia" w:ascii="仿宋" w:hAnsi="仿宋" w:eastAsia="仿宋"/>
                <w:b/>
                <w:i/>
                <w:color w:val="808080" w:themeColor="text1" w:themeTint="80"/>
                <w:sz w:val="24"/>
                <w:szCs w:val="21"/>
                <w14:textFill>
                  <w14:solidFill>
                    <w14:schemeClr w14:val="tx1">
                      <w14:lumMod w14:val="50000"/>
                      <w14:lumOff w14:val="50000"/>
                    </w14:schemeClr>
                  </w14:solidFill>
                </w14:textFill>
              </w:rPr>
              <w:t>竞价回购</w:t>
            </w:r>
            <w:r>
              <w:rPr>
                <w:rFonts w:hint="eastAsia" w:ascii="仿宋" w:hAnsi="仿宋" w:eastAsia="仿宋"/>
                <w:i/>
                <w:color w:val="808080" w:themeColor="text1" w:themeTint="80"/>
                <w:sz w:val="24"/>
                <w:szCs w:val="21"/>
                <w14:textFill>
                  <w14:solidFill>
                    <w14:schemeClr w14:val="tx1">
                      <w14:lumMod w14:val="50000"/>
                      <w14:lumOff w14:val="50000"/>
                    </w14:schemeClr>
                  </w14:solidFill>
                </w14:textFill>
              </w:rPr>
              <w:t>，简要说明本次实际回购股份的数量、占总股本及拟回购总数量的比例、实际回购最高价和最低价、使用资金总额等；如回购期间涉及</w:t>
            </w:r>
            <w:r>
              <w:rPr>
                <w:rFonts w:hint="eastAsia" w:ascii="仿宋" w:hAnsi="仿宋" w:eastAsia="仿宋"/>
                <w:b/>
                <w:i/>
                <w:color w:val="808080" w:themeColor="text1" w:themeTint="80"/>
                <w:sz w:val="24"/>
                <w:szCs w:val="21"/>
                <w14:textFill>
                  <w14:solidFill>
                    <w14:schemeClr w14:val="tx1">
                      <w14:lumMod w14:val="50000"/>
                      <w14:lumOff w14:val="50000"/>
                    </w14:schemeClr>
                  </w14:solidFill>
                </w14:textFill>
              </w:rPr>
              <w:t>权益分派</w:t>
            </w:r>
            <w:r>
              <w:rPr>
                <w:rFonts w:hint="eastAsia" w:ascii="仿宋" w:hAnsi="仿宋" w:eastAsia="仿宋"/>
                <w:i/>
                <w:color w:val="808080" w:themeColor="text1" w:themeTint="80"/>
                <w:sz w:val="24"/>
                <w:szCs w:val="21"/>
                <w14:textFill>
                  <w14:solidFill>
                    <w14:schemeClr w14:val="tx1">
                      <w14:lumMod w14:val="50000"/>
                      <w14:lumOff w14:val="50000"/>
                    </w14:schemeClr>
                  </w14:solidFill>
                </w14:textFill>
              </w:rPr>
              <w:t>，应当分阶段列示实际回购情况，包括权益分派实施前相关情况，权益分派导致回购价格及剩余应回购股份数量的调整情况，以及权益分派调整后的相关情况等。</w:t>
            </w:r>
          </w:p>
          <w:p>
            <w:pPr>
              <w:rPr>
                <w:rFonts w:ascii="仿宋" w:hAnsi="仿宋" w:eastAsia="仿宋"/>
                <w:i/>
                <w:color w:val="808080" w:themeColor="text1" w:themeTint="80"/>
                <w:sz w:val="24"/>
                <w:szCs w:val="21"/>
                <w14:textFill>
                  <w14:solidFill>
                    <w14:schemeClr w14:val="tx1">
                      <w14:lumMod w14:val="50000"/>
                      <w14:lumOff w14:val="50000"/>
                    </w14:schemeClr>
                  </w14:solidFill>
                </w14:textFill>
              </w:rPr>
            </w:pPr>
            <w:r>
              <w:rPr>
                <w:rFonts w:ascii="仿宋" w:hAnsi="仿宋" w:eastAsia="仿宋"/>
                <w:i/>
                <w:color w:val="808080" w:themeColor="text1" w:themeTint="80"/>
                <w:sz w:val="24"/>
                <w:szCs w:val="21"/>
                <w14:textFill>
                  <w14:solidFill>
                    <w14:schemeClr w14:val="tx1">
                      <w14:lumMod w14:val="50000"/>
                      <w14:lumOff w14:val="50000"/>
                    </w14:schemeClr>
                  </w14:solidFill>
                </w14:textFill>
              </w:rPr>
              <w:t>2.</w:t>
            </w:r>
            <w:r>
              <w:rPr>
                <w:rFonts w:hint="eastAsia" w:ascii="仿宋" w:hAnsi="仿宋" w:eastAsia="仿宋"/>
                <w:i/>
                <w:color w:val="808080" w:themeColor="text1" w:themeTint="80"/>
                <w:sz w:val="24"/>
                <w:szCs w:val="21"/>
                <w14:textFill>
                  <w14:solidFill>
                    <w14:schemeClr w14:val="tx1">
                      <w14:lumMod w14:val="50000"/>
                      <w14:lumOff w14:val="50000"/>
                    </w14:schemeClr>
                  </w14:solidFill>
                </w14:textFill>
              </w:rPr>
              <w:t>如为</w:t>
            </w:r>
            <w:r>
              <w:rPr>
                <w:rFonts w:hint="eastAsia" w:ascii="仿宋" w:hAnsi="仿宋" w:eastAsia="仿宋"/>
                <w:b/>
                <w:i/>
                <w:color w:val="808080" w:themeColor="text1" w:themeTint="80"/>
                <w:sz w:val="24"/>
                <w:szCs w:val="21"/>
                <w14:textFill>
                  <w14:solidFill>
                    <w14:schemeClr w14:val="tx1">
                      <w14:lumMod w14:val="50000"/>
                      <w14:lumOff w14:val="50000"/>
                    </w14:schemeClr>
                  </w14:solidFill>
                </w14:textFill>
              </w:rPr>
              <w:t>要约回购</w:t>
            </w:r>
            <w:r>
              <w:rPr>
                <w:rFonts w:hint="eastAsia" w:ascii="仿宋" w:hAnsi="仿宋" w:eastAsia="仿宋"/>
                <w:i/>
                <w:color w:val="808080" w:themeColor="text1" w:themeTint="80"/>
                <w:sz w:val="24"/>
                <w:szCs w:val="21"/>
                <w14:textFill>
                  <w14:solidFill>
                    <w14:schemeClr w14:val="tx1">
                      <w14:lumMod w14:val="50000"/>
                      <w14:lumOff w14:val="50000"/>
                    </w14:schemeClr>
                  </w14:solidFill>
                </w14:textFill>
              </w:rPr>
              <w:t>，简要说明本次预受股份数量、须回购股份数量、占总股本及拟回购总数量的比例、使用资金总额等；如回购期间涉及权益分派，应当说明权益分派导致回购价格、数量的调整情况，并说明回购实施期限届满时须回购股份数量、价格、资金总额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98" w:hRule="atLeast"/>
        </w:trPr>
        <w:tc>
          <w:tcPr>
            <w:tcW w:w="1022" w:type="pct"/>
            <w:shd w:val="clear" w:color="auto" w:fill="auto"/>
            <w:vAlign w:val="center"/>
          </w:tcPr>
          <w:p>
            <w:pPr>
              <w:jc w:val="center"/>
              <w:rPr>
                <w:rFonts w:ascii="仿宋" w:hAnsi="仿宋" w:eastAsia="仿宋"/>
                <w:b/>
                <w:sz w:val="24"/>
                <w:szCs w:val="21"/>
              </w:rPr>
            </w:pPr>
            <w:r>
              <w:rPr>
                <w:rFonts w:hint="eastAsia" w:ascii="仿宋" w:hAnsi="仿宋" w:eastAsia="仿宋"/>
                <w:b/>
                <w:sz w:val="24"/>
                <w:szCs w:val="21"/>
              </w:rPr>
              <w:t>回购结果与回购方案差异说明</w:t>
            </w:r>
          </w:p>
        </w:tc>
        <w:tc>
          <w:tcPr>
            <w:tcW w:w="3977" w:type="pct"/>
            <w:gridSpan w:val="4"/>
            <w:shd w:val="clear" w:color="auto" w:fill="auto"/>
            <w:vAlign w:val="center"/>
          </w:tcPr>
          <w:p>
            <w:pPr>
              <w:rPr>
                <w:rFonts w:ascii="仿宋" w:hAnsi="仿宋" w:eastAsia="仿宋"/>
                <w:i/>
                <w:color w:val="808080" w:themeColor="text1" w:themeTint="80"/>
                <w:sz w:val="24"/>
                <w:szCs w:val="21"/>
                <w14:textFill>
                  <w14:solidFill>
                    <w14:schemeClr w14:val="tx1">
                      <w14:lumMod w14:val="50000"/>
                      <w14:lumOff w14:val="50000"/>
                    </w14:schemeClr>
                  </w14:solidFill>
                </w14:textFill>
              </w:rPr>
            </w:pPr>
            <w:r>
              <w:rPr>
                <w:rFonts w:hint="eastAsia" w:ascii="仿宋" w:hAnsi="仿宋" w:eastAsia="仿宋"/>
                <w:i/>
                <w:color w:val="808080" w:themeColor="text1" w:themeTint="80"/>
                <w:sz w:val="24"/>
                <w:szCs w:val="21"/>
                <w14:textFill>
                  <w14:solidFill>
                    <w14:schemeClr w14:val="tx1">
                      <w14:lumMod w14:val="50000"/>
                      <w14:lumOff w14:val="50000"/>
                    </w14:schemeClr>
                  </w14:solidFill>
                </w14:textFill>
              </w:rPr>
              <w:t>对比说明回购实施结果与回购股份方案是否一致，如存在差异，应当说明具体原因，并说明是否已在回购结果公告中作出充分披露。</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44" w:hRule="atLeast"/>
        </w:trPr>
        <w:tc>
          <w:tcPr>
            <w:tcW w:w="1022" w:type="pct"/>
            <w:vMerge w:val="restart"/>
            <w:shd w:val="clear" w:color="auto" w:fill="auto"/>
            <w:vAlign w:val="center"/>
          </w:tcPr>
          <w:p>
            <w:pPr>
              <w:jc w:val="center"/>
              <w:rPr>
                <w:rFonts w:ascii="仿宋" w:hAnsi="仿宋" w:eastAsia="仿宋"/>
                <w:b/>
                <w:sz w:val="24"/>
                <w:szCs w:val="21"/>
              </w:rPr>
            </w:pPr>
            <w:r>
              <w:rPr>
                <w:rFonts w:hint="eastAsia" w:ascii="仿宋" w:hAnsi="仿宋" w:eastAsia="仿宋"/>
                <w:b/>
                <w:sz w:val="24"/>
                <w:szCs w:val="21"/>
              </w:rPr>
              <w:t>回购实施过程</w:t>
            </w:r>
          </w:p>
          <w:p>
            <w:pPr>
              <w:jc w:val="center"/>
              <w:rPr>
                <w:rFonts w:ascii="仿宋" w:hAnsi="仿宋" w:eastAsia="仿宋"/>
                <w:b/>
                <w:sz w:val="24"/>
                <w:szCs w:val="21"/>
              </w:rPr>
            </w:pPr>
            <w:r>
              <w:rPr>
                <w:rFonts w:hint="eastAsia" w:ascii="仿宋" w:hAnsi="仿宋" w:eastAsia="仿宋"/>
                <w:b/>
                <w:sz w:val="24"/>
                <w:szCs w:val="21"/>
              </w:rPr>
              <w:t>合规性说明</w:t>
            </w:r>
          </w:p>
          <w:p>
            <w:pPr>
              <w:jc w:val="center"/>
              <w:rPr>
                <w:rFonts w:ascii="仿宋" w:hAnsi="仿宋" w:eastAsia="仿宋"/>
                <w:b/>
                <w:sz w:val="24"/>
                <w:szCs w:val="21"/>
              </w:rPr>
            </w:pPr>
            <w:r>
              <w:rPr>
                <w:rFonts w:hint="eastAsia" w:ascii="仿宋" w:hAnsi="仿宋" w:eastAsia="仿宋"/>
                <w:b/>
                <w:sz w:val="24"/>
                <w:szCs w:val="21"/>
              </w:rPr>
              <w:t>（竞价回购适用）</w:t>
            </w:r>
          </w:p>
        </w:tc>
        <w:tc>
          <w:tcPr>
            <w:tcW w:w="2649" w:type="pct"/>
            <w:gridSpan w:val="3"/>
            <w:shd w:val="clear" w:color="auto" w:fill="auto"/>
            <w:vAlign w:val="center"/>
          </w:tcPr>
          <w:p>
            <w:pPr>
              <w:rPr>
                <w:rFonts w:ascii="仿宋" w:hAnsi="仿宋" w:eastAsia="仿宋"/>
                <w:sz w:val="24"/>
                <w:szCs w:val="21"/>
              </w:rPr>
            </w:pPr>
            <w:r>
              <w:rPr>
                <w:rFonts w:hint="eastAsia" w:ascii="仿宋" w:hAnsi="仿宋" w:eastAsia="仿宋"/>
                <w:sz w:val="24"/>
                <w:szCs w:val="21"/>
              </w:rPr>
              <w:t>通知债权人的情况公告、回购进展公告、回购结果公告等已按相关规定及时披露</w:t>
            </w:r>
          </w:p>
        </w:tc>
        <w:tc>
          <w:tcPr>
            <w:tcW w:w="1328" w:type="pct"/>
            <w:shd w:val="clear" w:color="auto" w:fill="auto"/>
            <w:vAlign w:val="center"/>
          </w:tcPr>
          <w:p>
            <w:pPr>
              <w:rPr>
                <w:rFonts w:ascii="仿宋" w:hAnsi="仿宋" w:eastAsia="仿宋"/>
                <w:color w:val="000000" w:themeColor="text1"/>
                <w:sz w:val="24"/>
                <w:szCs w:val="21"/>
                <w14:textFill>
                  <w14:solidFill>
                    <w14:schemeClr w14:val="tx1"/>
                  </w14:solidFill>
                </w14:textFill>
              </w:rPr>
            </w:pPr>
            <w:r>
              <w:rPr>
                <w:rFonts w:hint="eastAsia" w:ascii="仿宋" w:hAnsi="仿宋" w:eastAsia="仿宋"/>
                <w:color w:val="000000" w:themeColor="text1"/>
                <w:sz w:val="24"/>
                <w:szCs w:val="21"/>
                <w14:textFill>
                  <w14:solidFill>
                    <w14:schemeClr w14:val="tx1"/>
                  </w14:solidFill>
                </w14:textFill>
              </w:rPr>
              <w:t>□是</w:t>
            </w:r>
          </w:p>
          <w:p>
            <w:pPr>
              <w:rPr>
                <w:rFonts w:ascii="仿宋" w:hAnsi="仿宋" w:eastAsia="仿宋"/>
                <w:color w:val="808080" w:themeColor="text1" w:themeTint="80"/>
                <w:sz w:val="24"/>
                <w:szCs w:val="21"/>
                <w14:textFill>
                  <w14:solidFill>
                    <w14:schemeClr w14:val="tx1">
                      <w14:lumMod w14:val="50000"/>
                      <w14:lumOff w14:val="50000"/>
                    </w14:schemeClr>
                  </w14:solidFill>
                </w14:textFill>
              </w:rPr>
            </w:pPr>
            <w:r>
              <w:rPr>
                <w:rFonts w:hint="eastAsia" w:ascii="仿宋" w:hAnsi="仿宋" w:eastAsia="仿宋"/>
                <w:color w:val="000000" w:themeColor="text1"/>
                <w:sz w:val="24"/>
                <w:szCs w:val="21"/>
                <w14:textFill>
                  <w14:solidFill>
                    <w14:schemeClr w14:val="tx1"/>
                  </w14:solidFill>
                </w14:textFill>
              </w:rPr>
              <w:t>□</w:t>
            </w:r>
            <w:r>
              <w:rPr>
                <w:rFonts w:hint="eastAsia" w:ascii="仿宋" w:hAnsi="仿宋" w:eastAsia="仿宋"/>
                <w:sz w:val="24"/>
                <w:szCs w:val="21"/>
              </w:rPr>
              <w:t>否（说明具体情况）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72" w:hRule="atLeast"/>
        </w:trPr>
        <w:tc>
          <w:tcPr>
            <w:tcW w:w="1022" w:type="pct"/>
            <w:vMerge w:val="continue"/>
            <w:shd w:val="clear" w:color="auto" w:fill="auto"/>
            <w:vAlign w:val="center"/>
          </w:tcPr>
          <w:p>
            <w:pPr>
              <w:jc w:val="center"/>
              <w:rPr>
                <w:rFonts w:ascii="仿宋" w:hAnsi="仿宋" w:eastAsia="仿宋"/>
                <w:sz w:val="24"/>
                <w:szCs w:val="21"/>
              </w:rPr>
            </w:pPr>
          </w:p>
        </w:tc>
        <w:tc>
          <w:tcPr>
            <w:tcW w:w="2649" w:type="pct"/>
            <w:gridSpan w:val="3"/>
            <w:shd w:val="clear" w:color="auto" w:fill="auto"/>
            <w:vAlign w:val="center"/>
          </w:tcPr>
          <w:p>
            <w:pPr>
              <w:rPr>
                <w:rFonts w:ascii="仿宋" w:hAnsi="仿宋" w:eastAsia="仿宋"/>
                <w:sz w:val="24"/>
                <w:szCs w:val="21"/>
              </w:rPr>
            </w:pPr>
            <w:r>
              <w:rPr>
                <w:rFonts w:hint="eastAsia" w:ascii="仿宋" w:hAnsi="仿宋" w:eastAsia="仿宋"/>
                <w:color w:val="000000" w:themeColor="text1"/>
                <w:sz w:val="24"/>
                <w:szCs w:val="21"/>
                <w14:textFill>
                  <w14:solidFill>
                    <w14:schemeClr w14:val="tx1"/>
                  </w14:solidFill>
                </w14:textFill>
              </w:rPr>
              <w:t>未在自可能对本公司证券及其衍生品种交易价格产生重大影响的重大事项发生之日或者在决策过程中至依法披露之日内实施回购</w:t>
            </w:r>
          </w:p>
        </w:tc>
        <w:tc>
          <w:tcPr>
            <w:tcW w:w="1328" w:type="pct"/>
            <w:shd w:val="clear" w:color="auto" w:fill="auto"/>
            <w:vAlign w:val="center"/>
          </w:tcPr>
          <w:p>
            <w:pPr>
              <w:rPr>
                <w:rFonts w:ascii="仿宋" w:hAnsi="仿宋" w:eastAsia="仿宋"/>
                <w:color w:val="000000" w:themeColor="text1"/>
                <w:sz w:val="24"/>
                <w:szCs w:val="21"/>
                <w14:textFill>
                  <w14:solidFill>
                    <w14:schemeClr w14:val="tx1"/>
                  </w14:solidFill>
                </w14:textFill>
              </w:rPr>
            </w:pPr>
            <w:r>
              <w:rPr>
                <w:rFonts w:hint="eastAsia" w:ascii="仿宋" w:hAnsi="仿宋" w:eastAsia="仿宋"/>
                <w:color w:val="000000" w:themeColor="text1"/>
                <w:sz w:val="24"/>
                <w:szCs w:val="21"/>
                <w14:textFill>
                  <w14:solidFill>
                    <w14:schemeClr w14:val="tx1"/>
                  </w14:solidFill>
                </w14:textFill>
              </w:rPr>
              <w:t>□是</w:t>
            </w:r>
          </w:p>
          <w:p>
            <w:pPr>
              <w:rPr>
                <w:rFonts w:ascii="仿宋" w:hAnsi="仿宋" w:eastAsia="仿宋"/>
                <w:color w:val="000000" w:themeColor="text1"/>
                <w:sz w:val="24"/>
                <w:szCs w:val="21"/>
                <w14:textFill>
                  <w14:solidFill>
                    <w14:schemeClr w14:val="tx1"/>
                  </w14:solidFill>
                </w14:textFill>
              </w:rPr>
            </w:pPr>
            <w:r>
              <w:rPr>
                <w:rFonts w:hint="eastAsia" w:ascii="仿宋" w:hAnsi="仿宋" w:eastAsia="仿宋"/>
                <w:color w:val="000000" w:themeColor="text1"/>
                <w:sz w:val="24"/>
                <w:szCs w:val="21"/>
                <w14:textFill>
                  <w14:solidFill>
                    <w14:schemeClr w14:val="tx1"/>
                  </w14:solidFill>
                </w14:textFill>
              </w:rPr>
              <w:t>□</w:t>
            </w:r>
            <w:r>
              <w:rPr>
                <w:rFonts w:hint="eastAsia" w:ascii="仿宋" w:hAnsi="仿宋" w:eastAsia="仿宋"/>
                <w:sz w:val="24"/>
                <w:szCs w:val="21"/>
              </w:rPr>
              <w:t>否（说明具体情况）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96" w:hRule="atLeast"/>
        </w:trPr>
        <w:tc>
          <w:tcPr>
            <w:tcW w:w="1022" w:type="pct"/>
            <w:vMerge w:val="continue"/>
            <w:shd w:val="clear" w:color="auto" w:fill="auto"/>
            <w:vAlign w:val="center"/>
          </w:tcPr>
          <w:p>
            <w:pPr>
              <w:jc w:val="center"/>
              <w:rPr>
                <w:rFonts w:ascii="仿宋" w:hAnsi="仿宋" w:eastAsia="仿宋"/>
                <w:sz w:val="24"/>
                <w:szCs w:val="21"/>
              </w:rPr>
            </w:pPr>
          </w:p>
        </w:tc>
        <w:tc>
          <w:tcPr>
            <w:tcW w:w="2649" w:type="pct"/>
            <w:gridSpan w:val="3"/>
            <w:shd w:val="clear" w:color="auto" w:fill="auto"/>
            <w:vAlign w:val="center"/>
          </w:tcPr>
          <w:p>
            <w:pPr>
              <w:rPr>
                <w:rFonts w:ascii="仿宋" w:hAnsi="仿宋" w:eastAsia="仿宋"/>
                <w:sz w:val="24"/>
                <w:szCs w:val="21"/>
              </w:rPr>
            </w:pPr>
            <w:r>
              <w:rPr>
                <w:rFonts w:hint="eastAsia" w:ascii="仿宋" w:hAnsi="仿宋" w:eastAsia="仿宋"/>
                <w:color w:val="000000" w:themeColor="text1"/>
                <w:sz w:val="24"/>
                <w:szCs w:val="21"/>
                <w14:textFill>
                  <w14:solidFill>
                    <w14:schemeClr w14:val="tx1"/>
                  </w14:solidFill>
                </w14:textFill>
              </w:rPr>
              <w:t>不存在上市公司在限制时段内进行回购股份申报的情形</w:t>
            </w:r>
          </w:p>
        </w:tc>
        <w:tc>
          <w:tcPr>
            <w:tcW w:w="1328" w:type="pct"/>
            <w:shd w:val="clear" w:color="auto" w:fill="auto"/>
            <w:vAlign w:val="center"/>
          </w:tcPr>
          <w:p>
            <w:pPr>
              <w:rPr>
                <w:rFonts w:ascii="仿宋" w:hAnsi="仿宋" w:eastAsia="仿宋"/>
                <w:color w:val="000000" w:themeColor="text1"/>
                <w:sz w:val="24"/>
                <w:szCs w:val="21"/>
                <w14:textFill>
                  <w14:solidFill>
                    <w14:schemeClr w14:val="tx1"/>
                  </w14:solidFill>
                </w14:textFill>
              </w:rPr>
            </w:pPr>
            <w:r>
              <w:rPr>
                <w:rFonts w:hint="eastAsia" w:ascii="仿宋" w:hAnsi="仿宋" w:eastAsia="仿宋"/>
                <w:color w:val="000000" w:themeColor="text1"/>
                <w:sz w:val="24"/>
                <w:szCs w:val="21"/>
                <w14:textFill>
                  <w14:solidFill>
                    <w14:schemeClr w14:val="tx1"/>
                  </w14:solidFill>
                </w14:textFill>
              </w:rPr>
              <w:t>□是</w:t>
            </w:r>
          </w:p>
          <w:p>
            <w:pPr>
              <w:rPr>
                <w:rFonts w:ascii="仿宋" w:hAnsi="仿宋" w:eastAsia="仿宋"/>
                <w:color w:val="000000" w:themeColor="text1"/>
                <w:sz w:val="24"/>
                <w:szCs w:val="21"/>
                <w14:textFill>
                  <w14:solidFill>
                    <w14:schemeClr w14:val="tx1"/>
                  </w14:solidFill>
                </w14:textFill>
              </w:rPr>
            </w:pPr>
            <w:r>
              <w:rPr>
                <w:rFonts w:hint="eastAsia" w:ascii="仿宋" w:hAnsi="仿宋" w:eastAsia="仿宋"/>
                <w:color w:val="000000" w:themeColor="text1"/>
                <w:sz w:val="24"/>
                <w:szCs w:val="21"/>
                <w14:textFill>
                  <w14:solidFill>
                    <w14:schemeClr w14:val="tx1"/>
                  </w14:solidFill>
                </w14:textFill>
              </w:rPr>
              <w:t>□</w:t>
            </w:r>
            <w:r>
              <w:rPr>
                <w:rFonts w:hint="eastAsia" w:ascii="仿宋" w:hAnsi="仿宋" w:eastAsia="仿宋"/>
                <w:sz w:val="24"/>
                <w:szCs w:val="21"/>
              </w:rPr>
              <w:t>否（说明具体情况）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1" w:hRule="exact"/>
        </w:trPr>
        <w:tc>
          <w:tcPr>
            <w:tcW w:w="1022" w:type="pct"/>
            <w:vMerge w:val="continue"/>
            <w:shd w:val="clear" w:color="auto" w:fill="auto"/>
            <w:vAlign w:val="center"/>
          </w:tcPr>
          <w:p>
            <w:pPr>
              <w:jc w:val="center"/>
              <w:rPr>
                <w:rFonts w:ascii="仿宋" w:hAnsi="仿宋" w:eastAsia="仿宋"/>
                <w:b/>
                <w:color w:val="000000" w:themeColor="text1"/>
                <w:sz w:val="24"/>
                <w:szCs w:val="21"/>
                <w14:textFill>
                  <w14:solidFill>
                    <w14:schemeClr w14:val="tx1"/>
                  </w14:solidFill>
                </w14:textFill>
              </w:rPr>
            </w:pPr>
          </w:p>
        </w:tc>
        <w:tc>
          <w:tcPr>
            <w:tcW w:w="684" w:type="pct"/>
            <w:shd w:val="clear" w:color="auto" w:fill="auto"/>
            <w:vAlign w:val="center"/>
          </w:tcPr>
          <w:p>
            <w:pPr>
              <w:jc w:val="center"/>
              <w:rPr>
                <w:rFonts w:ascii="仿宋" w:hAnsi="仿宋" w:eastAsia="仿宋"/>
                <w:i/>
                <w:color w:val="000000" w:themeColor="text1"/>
                <w:sz w:val="24"/>
                <w:szCs w:val="21"/>
                <w14:textFill>
                  <w14:solidFill>
                    <w14:schemeClr w14:val="tx1"/>
                  </w14:solidFill>
                </w14:textFill>
              </w:rPr>
            </w:pPr>
            <w:r>
              <w:rPr>
                <w:rFonts w:hint="eastAsia" w:ascii="仿宋" w:hAnsi="仿宋" w:eastAsia="仿宋"/>
                <w:b/>
                <w:color w:val="000000" w:themeColor="text1"/>
                <w:sz w:val="24"/>
                <w:szCs w:val="21"/>
                <w14:textFill>
                  <w14:solidFill>
                    <w14:schemeClr w14:val="tx1"/>
                  </w14:solidFill>
                </w14:textFill>
              </w:rPr>
              <w:t>备注</w:t>
            </w:r>
          </w:p>
        </w:tc>
        <w:tc>
          <w:tcPr>
            <w:tcW w:w="3293" w:type="pct"/>
            <w:gridSpan w:val="3"/>
            <w:shd w:val="clear" w:color="auto" w:fill="auto"/>
            <w:vAlign w:val="center"/>
          </w:tcPr>
          <w:p>
            <w:pPr>
              <w:jc w:val="left"/>
              <w:rPr>
                <w:rFonts w:ascii="仿宋" w:hAnsi="仿宋" w:eastAsia="仿宋"/>
                <w:i/>
                <w:color w:val="000000" w:themeColor="text1"/>
                <w:sz w:val="24"/>
                <w:szCs w:val="21"/>
                <w14:textFill>
                  <w14:solidFill>
                    <w14:schemeClr w14:val="tx1"/>
                  </w14:solidFill>
                </w14:textFill>
              </w:rPr>
            </w:pPr>
            <w:r>
              <w:rPr>
                <w:rFonts w:hint="eastAsia" w:ascii="仿宋" w:hAnsi="仿宋" w:eastAsia="仿宋"/>
                <w:i/>
                <w:color w:val="808080" w:themeColor="text1" w:themeTint="80"/>
                <w:sz w:val="24"/>
                <w:szCs w:val="21"/>
                <w14:textFill>
                  <w14:solidFill>
                    <w14:schemeClr w14:val="tx1">
                      <w14:lumMod w14:val="50000"/>
                      <w14:lumOff w14:val="50000"/>
                    </w14:schemeClr>
                  </w14:solidFill>
                </w14:textFill>
              </w:rPr>
              <w:t>回购实施过程合规性说明如为</w:t>
            </w:r>
            <w:r>
              <w:rPr>
                <w:rFonts w:ascii="仿宋" w:hAnsi="仿宋" w:eastAsia="仿宋"/>
                <w:i/>
                <w:color w:val="808080" w:themeColor="text1" w:themeTint="80"/>
                <w:sz w:val="24"/>
                <w:szCs w:val="21"/>
                <w14:textFill>
                  <w14:solidFill>
                    <w14:schemeClr w14:val="tx1">
                      <w14:lumMod w14:val="50000"/>
                      <w14:lumOff w14:val="50000"/>
                    </w14:schemeClr>
                  </w14:solidFill>
                </w14:textFill>
              </w:rPr>
              <w:t>“</w:t>
            </w:r>
            <w:r>
              <w:rPr>
                <w:rFonts w:hint="eastAsia" w:ascii="仿宋" w:hAnsi="仿宋" w:eastAsia="仿宋"/>
                <w:i/>
                <w:color w:val="808080" w:themeColor="text1" w:themeTint="80"/>
                <w:sz w:val="24"/>
                <w:szCs w:val="21"/>
                <w14:textFill>
                  <w14:solidFill>
                    <w14:schemeClr w14:val="tx1">
                      <w14:lumMod w14:val="50000"/>
                      <w14:lumOff w14:val="50000"/>
                    </w14:schemeClr>
                  </w14:solidFill>
                </w14:textFill>
              </w:rPr>
              <w:t>否</w:t>
            </w:r>
            <w:r>
              <w:rPr>
                <w:rFonts w:ascii="仿宋" w:hAnsi="仿宋" w:eastAsia="仿宋"/>
                <w:i/>
                <w:color w:val="808080" w:themeColor="text1" w:themeTint="80"/>
                <w:sz w:val="24"/>
                <w:szCs w:val="21"/>
                <w14:textFill>
                  <w14:solidFill>
                    <w14:schemeClr w14:val="tx1">
                      <w14:lumMod w14:val="50000"/>
                      <w14:lumOff w14:val="50000"/>
                    </w14:schemeClr>
                  </w14:solidFill>
                </w14:textFill>
              </w:rPr>
              <w:t>”</w:t>
            </w:r>
            <w:r>
              <w:rPr>
                <w:rFonts w:hint="eastAsia" w:ascii="仿宋" w:hAnsi="仿宋" w:eastAsia="仿宋"/>
                <w:i/>
                <w:color w:val="808080" w:themeColor="text1" w:themeTint="80"/>
                <w:sz w:val="24"/>
                <w:szCs w:val="21"/>
                <w14:textFill>
                  <w14:solidFill>
                    <w14:schemeClr w14:val="tx1">
                      <w14:lumMod w14:val="50000"/>
                      <w14:lumOff w14:val="50000"/>
                    </w14:schemeClr>
                  </w14:solidFill>
                </w14:textFill>
              </w:rPr>
              <w:t>，应当在此栏说明具体情况，并说明原因。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1" w:hRule="exact"/>
        </w:trPr>
        <w:tc>
          <w:tcPr>
            <w:tcW w:w="1022" w:type="pct"/>
            <w:shd w:val="clear" w:color="auto" w:fill="auto"/>
            <w:vAlign w:val="center"/>
          </w:tcPr>
          <w:p>
            <w:pPr>
              <w:jc w:val="center"/>
              <w:rPr>
                <w:rFonts w:ascii="仿宋" w:hAnsi="仿宋" w:eastAsia="仿宋"/>
                <w:b/>
                <w:color w:val="000000" w:themeColor="text1"/>
                <w:sz w:val="24"/>
                <w:szCs w:val="21"/>
                <w14:textFill>
                  <w14:solidFill>
                    <w14:schemeClr w14:val="tx1"/>
                  </w14:solidFill>
                </w14:textFill>
              </w:rPr>
            </w:pPr>
            <w:r>
              <w:rPr>
                <w:rFonts w:hint="eastAsia" w:ascii="仿宋" w:hAnsi="仿宋" w:eastAsia="仿宋"/>
                <w:b/>
                <w:color w:val="000000" w:themeColor="text1"/>
                <w:sz w:val="24"/>
                <w:szCs w:val="21"/>
                <w14:textFill>
                  <w14:solidFill>
                    <w14:schemeClr w14:val="tx1"/>
                  </w14:solidFill>
                </w14:textFill>
              </w:rPr>
              <w:t>其他需说明的</w:t>
            </w:r>
          </w:p>
          <w:p>
            <w:pPr>
              <w:jc w:val="center"/>
              <w:rPr>
                <w:rFonts w:ascii="仿宋" w:hAnsi="仿宋" w:eastAsia="仿宋"/>
                <w:b/>
                <w:color w:val="000000" w:themeColor="text1"/>
                <w:sz w:val="24"/>
                <w:szCs w:val="21"/>
                <w14:textFill>
                  <w14:solidFill>
                    <w14:schemeClr w14:val="tx1"/>
                  </w14:solidFill>
                </w14:textFill>
              </w:rPr>
            </w:pPr>
            <w:r>
              <w:rPr>
                <w:rFonts w:hint="eastAsia" w:ascii="仿宋" w:hAnsi="仿宋" w:eastAsia="仿宋"/>
                <w:b/>
                <w:color w:val="000000" w:themeColor="text1"/>
                <w:sz w:val="24"/>
                <w:szCs w:val="21"/>
                <w14:textFill>
                  <w14:solidFill>
                    <w14:schemeClr w14:val="tx1"/>
                  </w14:solidFill>
                </w14:textFill>
              </w:rPr>
              <w:t>情况</w:t>
            </w:r>
          </w:p>
        </w:tc>
        <w:tc>
          <w:tcPr>
            <w:tcW w:w="3977" w:type="pct"/>
            <w:gridSpan w:val="4"/>
            <w:shd w:val="clear" w:color="auto" w:fill="auto"/>
            <w:vAlign w:val="center"/>
          </w:tcPr>
          <w:p>
            <w:pPr>
              <w:jc w:val="left"/>
              <w:rPr>
                <w:rFonts w:ascii="仿宋" w:hAnsi="仿宋" w:eastAsia="仿宋"/>
                <w:b/>
                <w:color w:val="000000" w:themeColor="text1"/>
                <w:sz w:val="24"/>
                <w:szCs w:val="21"/>
                <w14:textFill>
                  <w14:solidFill>
                    <w14:schemeClr w14:val="tx1"/>
                  </w14:solidFill>
                </w14:textFill>
              </w:rPr>
            </w:pPr>
            <w:r>
              <w:rPr>
                <w:rFonts w:hint="eastAsia" w:ascii="仿宋" w:hAnsi="仿宋" w:eastAsia="仿宋"/>
                <w:i/>
                <w:color w:val="767171" w:themeColor="background2" w:themeShade="80"/>
                <w:sz w:val="24"/>
                <w:szCs w:val="21"/>
              </w:rPr>
              <w:t>如拟自行注销库存股或因库存股持有期限届满依法注销的，应当说明相关审议程序及信息披露情况。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2" w:hRule="exact"/>
        </w:trPr>
        <w:tc>
          <w:tcPr>
            <w:tcW w:w="5000" w:type="pct"/>
            <w:gridSpan w:val="5"/>
            <w:shd w:val="clear" w:color="auto" w:fill="E7E6E6" w:themeFill="background2"/>
            <w:vAlign w:val="center"/>
          </w:tcPr>
          <w:p>
            <w:pPr>
              <w:jc w:val="center"/>
              <w:rPr>
                <w:rFonts w:ascii="仿宋" w:hAnsi="仿宋" w:eastAsia="仿宋"/>
                <w:b/>
                <w:color w:val="767171" w:themeColor="background2" w:themeShade="80"/>
                <w:sz w:val="24"/>
                <w:szCs w:val="21"/>
              </w:rPr>
            </w:pPr>
            <w:r>
              <w:rPr>
                <w:rFonts w:hint="eastAsia" w:ascii="仿宋" w:hAnsi="仿宋" w:eastAsia="仿宋"/>
                <w:b/>
                <w:color w:val="000000" w:themeColor="text1"/>
                <w:sz w:val="24"/>
                <w:szCs w:val="21"/>
                <w14:textFill>
                  <w14:solidFill>
                    <w14:schemeClr w14:val="tx1"/>
                  </w14:solidFill>
                </w14:textFill>
              </w:rPr>
              <w:t>回购专用证券账户基本情况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1876" w:type="pct"/>
            <w:gridSpan w:val="3"/>
            <w:vAlign w:val="center"/>
          </w:tcPr>
          <w:p>
            <w:pPr>
              <w:jc w:val="center"/>
              <w:rPr>
                <w:rFonts w:ascii="仿宋" w:hAnsi="仿宋" w:eastAsia="仿宋"/>
                <w:sz w:val="24"/>
                <w:szCs w:val="21"/>
              </w:rPr>
            </w:pPr>
            <w:r>
              <w:rPr>
                <w:rFonts w:hint="eastAsia" w:ascii="仿宋" w:hAnsi="仿宋" w:eastAsia="仿宋"/>
                <w:sz w:val="24"/>
                <w:szCs w:val="21"/>
              </w:rPr>
              <w:t>回购专用证券账户名称</w:t>
            </w:r>
          </w:p>
        </w:tc>
        <w:tc>
          <w:tcPr>
            <w:tcW w:w="3123" w:type="pct"/>
            <w:gridSpan w:val="2"/>
            <w:vAlign w:val="center"/>
          </w:tcPr>
          <w:p>
            <w:pPr>
              <w:ind w:firstLine="480" w:firstLineChars="200"/>
              <w:jc w:val="center"/>
              <w:rPr>
                <w:rFonts w:ascii="仿宋" w:hAnsi="仿宋" w:eastAsia="仿宋"/>
                <w:sz w:val="24"/>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1876" w:type="pct"/>
            <w:gridSpan w:val="3"/>
            <w:vAlign w:val="center"/>
          </w:tcPr>
          <w:p>
            <w:pPr>
              <w:jc w:val="center"/>
              <w:rPr>
                <w:rFonts w:ascii="仿宋" w:hAnsi="仿宋" w:eastAsia="仿宋"/>
                <w:sz w:val="24"/>
                <w:szCs w:val="21"/>
              </w:rPr>
            </w:pPr>
            <w:r>
              <w:rPr>
                <w:rFonts w:hint="eastAsia" w:ascii="仿宋" w:hAnsi="仿宋" w:eastAsia="仿宋"/>
                <w:sz w:val="24"/>
                <w:szCs w:val="21"/>
              </w:rPr>
              <w:t>回购专用证券账户号码</w:t>
            </w:r>
          </w:p>
        </w:tc>
        <w:tc>
          <w:tcPr>
            <w:tcW w:w="3123" w:type="pct"/>
            <w:gridSpan w:val="2"/>
            <w:vAlign w:val="center"/>
          </w:tcPr>
          <w:p>
            <w:pPr>
              <w:ind w:firstLine="480" w:firstLineChars="200"/>
              <w:jc w:val="center"/>
              <w:rPr>
                <w:rFonts w:ascii="仿宋" w:hAnsi="仿宋" w:eastAsia="仿宋"/>
                <w:sz w:val="24"/>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1876" w:type="pct"/>
            <w:gridSpan w:val="3"/>
            <w:vAlign w:val="center"/>
          </w:tcPr>
          <w:p>
            <w:pPr>
              <w:jc w:val="center"/>
              <w:rPr>
                <w:rFonts w:ascii="仿宋" w:hAnsi="仿宋" w:eastAsia="仿宋"/>
                <w:sz w:val="24"/>
                <w:szCs w:val="21"/>
              </w:rPr>
            </w:pPr>
            <w:r>
              <w:rPr>
                <w:rFonts w:hint="eastAsia" w:ascii="仿宋" w:hAnsi="仿宋" w:eastAsia="仿宋"/>
                <w:sz w:val="24"/>
                <w:szCs w:val="21"/>
              </w:rPr>
              <w:t>注销股份性质</w:t>
            </w:r>
          </w:p>
        </w:tc>
        <w:tc>
          <w:tcPr>
            <w:tcW w:w="3123" w:type="pct"/>
            <w:gridSpan w:val="2"/>
            <w:vAlign w:val="center"/>
          </w:tcPr>
          <w:p>
            <w:pPr>
              <w:ind w:firstLine="480" w:firstLineChars="200"/>
              <w:jc w:val="center"/>
              <w:rPr>
                <w:rFonts w:ascii="仿宋" w:hAnsi="仿宋" w:eastAsia="仿宋"/>
                <w:sz w:val="24"/>
                <w:szCs w:val="21"/>
              </w:rPr>
            </w:pPr>
            <w:r>
              <w:rPr>
                <w:rFonts w:hint="eastAsia" w:ascii="仿宋" w:hAnsi="仿宋" w:eastAsia="仿宋"/>
                <w:i/>
                <w:color w:val="767171" w:themeColor="background2" w:themeShade="80"/>
                <w:sz w:val="24"/>
                <w:szCs w:val="21"/>
              </w:rPr>
              <w:t>限售股</w:t>
            </w:r>
            <w:r>
              <w:rPr>
                <w:rFonts w:ascii="仿宋" w:hAnsi="仿宋" w:eastAsia="仿宋"/>
                <w:i/>
                <w:color w:val="767171" w:themeColor="background2" w:themeShade="80"/>
                <w:sz w:val="24"/>
                <w:szCs w:val="21"/>
              </w:rPr>
              <w:t>/</w:t>
            </w:r>
            <w:r>
              <w:rPr>
                <w:rFonts w:hint="eastAsia" w:ascii="仿宋" w:hAnsi="仿宋" w:eastAsia="仿宋"/>
                <w:i/>
                <w:color w:val="767171" w:themeColor="background2" w:themeShade="80"/>
                <w:sz w:val="24"/>
                <w:szCs w:val="21"/>
              </w:rPr>
              <w:t>无限售流通股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1876" w:type="pct"/>
            <w:gridSpan w:val="3"/>
            <w:vAlign w:val="center"/>
          </w:tcPr>
          <w:p>
            <w:pPr>
              <w:jc w:val="center"/>
              <w:rPr>
                <w:rFonts w:ascii="仿宋" w:hAnsi="仿宋" w:eastAsia="仿宋"/>
                <w:sz w:val="24"/>
                <w:szCs w:val="21"/>
              </w:rPr>
            </w:pPr>
            <w:r>
              <w:rPr>
                <w:rFonts w:hint="eastAsia" w:ascii="仿宋" w:hAnsi="仿宋" w:eastAsia="仿宋"/>
                <w:sz w:val="24"/>
                <w:szCs w:val="21"/>
              </w:rPr>
              <w:t>注销股份数量（股）</w:t>
            </w:r>
          </w:p>
        </w:tc>
        <w:tc>
          <w:tcPr>
            <w:tcW w:w="3123" w:type="pct"/>
            <w:gridSpan w:val="2"/>
            <w:vAlign w:val="center"/>
          </w:tcPr>
          <w:p>
            <w:pPr>
              <w:ind w:firstLine="480" w:firstLineChars="200"/>
              <w:jc w:val="center"/>
              <w:rPr>
                <w:rFonts w:ascii="仿宋" w:hAnsi="仿宋" w:eastAsia="仿宋"/>
                <w:sz w:val="24"/>
                <w:szCs w:val="21"/>
              </w:rPr>
            </w:pPr>
            <w:r>
              <w:rPr>
                <w:rFonts w:hint="eastAsia" w:ascii="仿宋" w:hAnsi="仿宋" w:eastAsia="仿宋"/>
                <w:i/>
                <w:color w:val="767171" w:themeColor="background2" w:themeShade="80"/>
                <w:sz w:val="24"/>
                <w:szCs w:val="21"/>
              </w:rPr>
              <w:t>区分限售股</w:t>
            </w:r>
            <w:r>
              <w:rPr>
                <w:rFonts w:ascii="仿宋" w:hAnsi="仿宋" w:eastAsia="仿宋"/>
                <w:i/>
                <w:color w:val="767171" w:themeColor="background2" w:themeShade="80"/>
                <w:sz w:val="24"/>
                <w:szCs w:val="21"/>
              </w:rPr>
              <w:t>/</w:t>
            </w:r>
            <w:r>
              <w:rPr>
                <w:rFonts w:hint="eastAsia" w:ascii="仿宋" w:hAnsi="仿宋" w:eastAsia="仿宋"/>
                <w:i/>
                <w:color w:val="767171" w:themeColor="background2" w:themeShade="80"/>
                <w:sz w:val="24"/>
                <w:szCs w:val="21"/>
              </w:rPr>
              <w:t>无限售流通股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48" w:hRule="exact"/>
        </w:trPr>
        <w:tc>
          <w:tcPr>
            <w:tcW w:w="1876" w:type="pct"/>
            <w:gridSpan w:val="3"/>
            <w:vAlign w:val="center"/>
          </w:tcPr>
          <w:p>
            <w:pPr>
              <w:jc w:val="center"/>
              <w:rPr>
                <w:rFonts w:ascii="仿宋" w:hAnsi="仿宋" w:eastAsia="仿宋"/>
                <w:sz w:val="24"/>
                <w:szCs w:val="21"/>
              </w:rPr>
            </w:pPr>
            <w:r>
              <w:rPr>
                <w:rFonts w:hint="eastAsia" w:ascii="仿宋" w:hAnsi="仿宋" w:eastAsia="仿宋"/>
                <w:sz w:val="24"/>
                <w:szCs w:val="21"/>
              </w:rPr>
              <w:t>注销股份原因</w:t>
            </w:r>
          </w:p>
        </w:tc>
        <w:tc>
          <w:tcPr>
            <w:tcW w:w="3123" w:type="pct"/>
            <w:gridSpan w:val="2"/>
            <w:vAlign w:val="center"/>
          </w:tcPr>
          <w:p>
            <w:pPr>
              <w:rPr>
                <w:rFonts w:ascii="仿宋" w:hAnsi="仿宋" w:eastAsia="仿宋"/>
                <w:color w:val="000000" w:themeColor="text1"/>
                <w:sz w:val="24"/>
                <w:szCs w:val="21"/>
                <w14:textFill>
                  <w14:solidFill>
                    <w14:schemeClr w14:val="tx1"/>
                  </w14:solidFill>
                </w14:textFill>
              </w:rPr>
            </w:pPr>
            <w:r>
              <w:rPr>
                <w:rFonts w:hint="eastAsia" w:ascii="仿宋" w:hAnsi="仿宋" w:eastAsia="仿宋"/>
                <w:color w:val="000000" w:themeColor="text1"/>
                <w:sz w:val="24"/>
                <w:szCs w:val="21"/>
                <w14:textFill>
                  <w14:solidFill>
                    <w14:schemeClr w14:val="tx1"/>
                  </w14:solidFill>
                </w14:textFill>
              </w:rPr>
              <w:t>□回购减资（□竞价</w:t>
            </w:r>
            <w:r>
              <w:rPr>
                <w:rFonts w:ascii="仿宋" w:hAnsi="仿宋" w:eastAsia="仿宋"/>
                <w:color w:val="000000" w:themeColor="text1"/>
                <w:sz w:val="24"/>
                <w:szCs w:val="21"/>
                <w14:textFill>
                  <w14:solidFill>
                    <w14:schemeClr w14:val="tx1"/>
                  </w14:solidFill>
                </w14:textFill>
              </w:rPr>
              <w:t xml:space="preserve">  </w:t>
            </w:r>
            <w:r>
              <w:rPr>
                <w:rFonts w:hint="eastAsia" w:ascii="仿宋" w:hAnsi="仿宋" w:eastAsia="仿宋"/>
                <w:color w:val="000000" w:themeColor="text1"/>
                <w:sz w:val="24"/>
                <w:szCs w:val="21"/>
                <w14:textFill>
                  <w14:solidFill>
                    <w14:schemeClr w14:val="tx1"/>
                  </w14:solidFill>
                </w14:textFill>
              </w:rPr>
              <w:t>□要约）</w:t>
            </w:r>
          </w:p>
          <w:p>
            <w:pPr>
              <w:rPr>
                <w:rFonts w:ascii="仿宋" w:hAnsi="仿宋" w:eastAsia="仿宋"/>
                <w:color w:val="000000" w:themeColor="text1"/>
                <w:sz w:val="24"/>
                <w:szCs w:val="21"/>
                <w14:textFill>
                  <w14:solidFill>
                    <w14:schemeClr w14:val="tx1"/>
                  </w14:solidFill>
                </w14:textFill>
              </w:rPr>
            </w:pPr>
            <w:r>
              <w:rPr>
                <w:rFonts w:hint="eastAsia" w:ascii="仿宋" w:hAnsi="仿宋" w:eastAsia="仿宋"/>
                <w:color w:val="000000" w:themeColor="text1"/>
                <w:sz w:val="24"/>
                <w:szCs w:val="21"/>
                <w14:textFill>
                  <w14:solidFill>
                    <w14:schemeClr w14:val="tx1"/>
                  </w14:solidFill>
                </w14:textFill>
              </w:rPr>
              <w:t>□自行注销库存股或因库存股持有期限届满依法注销</w:t>
            </w:r>
          </w:p>
          <w:p>
            <w:pPr>
              <w:rPr>
                <w:rFonts w:ascii="仿宋" w:hAnsi="仿宋" w:eastAsia="仿宋"/>
                <w:color w:val="000000" w:themeColor="text1"/>
                <w:sz w:val="24"/>
                <w:szCs w:val="21"/>
                <w14:textFill>
                  <w14:solidFill>
                    <w14:schemeClr w14:val="tx1"/>
                  </w14:solidFill>
                </w14:textFill>
              </w:rPr>
            </w:pPr>
            <w:r>
              <w:rPr>
                <w:rFonts w:hint="eastAsia" w:ascii="仿宋" w:hAnsi="仿宋" w:eastAsia="仿宋"/>
                <w:color w:val="000000" w:themeColor="text1"/>
                <w:sz w:val="24"/>
                <w:szCs w:val="21"/>
                <w14:textFill>
                  <w14:solidFill>
                    <w14:schemeClr w14:val="tx1"/>
                  </w14:solidFill>
                </w14:textFill>
              </w:rPr>
              <w:t>□其他</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0" w:hRule="exact"/>
        </w:trPr>
        <w:tc>
          <w:tcPr>
            <w:tcW w:w="1876" w:type="pct"/>
            <w:gridSpan w:val="3"/>
            <w:vAlign w:val="center"/>
          </w:tcPr>
          <w:p>
            <w:pPr>
              <w:jc w:val="center"/>
              <w:rPr>
                <w:rFonts w:ascii="仿宋" w:hAnsi="仿宋" w:eastAsia="仿宋"/>
                <w:sz w:val="24"/>
                <w:szCs w:val="21"/>
              </w:rPr>
            </w:pPr>
            <w:r>
              <w:rPr>
                <w:rFonts w:hint="eastAsia" w:ascii="仿宋" w:hAnsi="仿宋" w:eastAsia="仿宋"/>
                <w:sz w:val="24"/>
                <w:szCs w:val="21"/>
              </w:rPr>
              <w:t>备注</w:t>
            </w:r>
          </w:p>
        </w:tc>
        <w:tc>
          <w:tcPr>
            <w:tcW w:w="3123" w:type="pct"/>
            <w:gridSpan w:val="2"/>
            <w:vAlign w:val="center"/>
          </w:tcPr>
          <w:p>
            <w:pPr>
              <w:rPr>
                <w:rFonts w:ascii="仿宋" w:hAnsi="仿宋" w:eastAsia="仿宋"/>
                <w:color w:val="000000" w:themeColor="text1"/>
                <w:sz w:val="24"/>
                <w:szCs w:val="2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5000" w:type="pct"/>
            <w:gridSpan w:val="5"/>
            <w:shd w:val="clear" w:color="auto" w:fill="E7E6E6" w:themeFill="background2"/>
            <w:vAlign w:val="center"/>
          </w:tcPr>
          <w:p>
            <w:pPr>
              <w:jc w:val="center"/>
              <w:rPr>
                <w:rFonts w:ascii="仿宋" w:hAnsi="仿宋" w:eastAsia="仿宋"/>
                <w:b/>
                <w:sz w:val="24"/>
                <w:szCs w:val="21"/>
              </w:rPr>
            </w:pPr>
            <w:r>
              <w:rPr>
                <w:rFonts w:hint="eastAsia" w:ascii="仿宋" w:hAnsi="仿宋" w:eastAsia="仿宋"/>
                <w:b/>
                <w:sz w:val="24"/>
                <w:szCs w:val="21"/>
              </w:rPr>
              <w:t>申请材料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2" w:hRule="atLeast"/>
        </w:trPr>
        <w:tc>
          <w:tcPr>
            <w:tcW w:w="5000" w:type="pct"/>
            <w:gridSpan w:val="5"/>
          </w:tcPr>
          <w:p>
            <w:pPr>
              <w:spacing w:line="480" w:lineRule="auto"/>
              <w:jc w:val="left"/>
              <w:rPr>
                <w:rFonts w:ascii="仿宋" w:hAnsi="仿宋" w:eastAsia="仿宋"/>
                <w:sz w:val="24"/>
                <w:szCs w:val="21"/>
              </w:rPr>
            </w:pPr>
            <w:r>
              <w:rPr>
                <w:rFonts w:hint="eastAsia" w:ascii="仿宋" w:hAnsi="仿宋" w:eastAsia="仿宋"/>
                <w:sz w:val="24"/>
                <w:szCs w:val="21"/>
              </w:rPr>
              <w:t>中国结算出具的回购专户持股数量查询证明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12" w:hRule="exact"/>
        </w:trPr>
        <w:tc>
          <w:tcPr>
            <w:tcW w:w="5000" w:type="pct"/>
            <w:gridSpan w:val="5"/>
            <w:vAlign w:val="center"/>
          </w:tcPr>
          <w:p>
            <w:pPr>
              <w:jc w:val="left"/>
              <w:rPr>
                <w:rFonts w:ascii="仿宋" w:hAnsi="仿宋" w:eastAsia="仿宋"/>
                <w:sz w:val="24"/>
                <w:szCs w:val="21"/>
              </w:rPr>
            </w:pPr>
            <w:r>
              <w:rPr>
                <w:rFonts w:hint="eastAsia" w:ascii="仿宋" w:hAnsi="仿宋" w:eastAsia="仿宋"/>
                <w:sz w:val="24"/>
                <w:szCs w:val="21"/>
              </w:rPr>
              <w:t>申请人（盖章）：</w:t>
            </w:r>
            <w:r>
              <w:rPr>
                <w:rFonts w:ascii="仿宋" w:hAnsi="仿宋" w:eastAsia="仿宋"/>
                <w:sz w:val="24"/>
                <w:szCs w:val="21"/>
              </w:rPr>
              <w:t xml:space="preserve">                               </w:t>
            </w:r>
          </w:p>
          <w:p>
            <w:pPr>
              <w:jc w:val="left"/>
              <w:rPr>
                <w:rFonts w:ascii="仿宋" w:hAnsi="仿宋" w:eastAsia="仿宋"/>
                <w:sz w:val="24"/>
                <w:szCs w:val="21"/>
              </w:rPr>
            </w:pPr>
          </w:p>
          <w:p>
            <w:pPr>
              <w:jc w:val="left"/>
              <w:rPr>
                <w:rFonts w:ascii="仿宋" w:hAnsi="仿宋" w:eastAsia="仿宋"/>
                <w:sz w:val="24"/>
                <w:szCs w:val="21"/>
              </w:rPr>
            </w:pPr>
            <w:r>
              <w:rPr>
                <w:rFonts w:hint="eastAsia" w:ascii="仿宋" w:hAnsi="仿宋" w:eastAsia="仿宋"/>
                <w:sz w:val="24"/>
                <w:szCs w:val="21"/>
              </w:rPr>
              <w:t>经办人：</w:t>
            </w:r>
            <w:r>
              <w:rPr>
                <w:rFonts w:ascii="仿宋" w:hAnsi="仿宋" w:eastAsia="仿宋"/>
                <w:sz w:val="24"/>
                <w:szCs w:val="21"/>
              </w:rPr>
              <w:t xml:space="preserve">                                      </w:t>
            </w:r>
            <w:r>
              <w:rPr>
                <w:rFonts w:hint="eastAsia" w:ascii="仿宋" w:hAnsi="仿宋" w:eastAsia="仿宋"/>
                <w:sz w:val="24"/>
                <w:szCs w:val="21"/>
                <w:lang w:eastAsia="zh-CN"/>
              </w:rPr>
              <w:t>复核</w:t>
            </w:r>
            <w:r>
              <w:rPr>
                <w:rFonts w:hint="eastAsia" w:ascii="仿宋" w:hAnsi="仿宋" w:eastAsia="仿宋"/>
                <w:sz w:val="24"/>
                <w:szCs w:val="21"/>
              </w:rPr>
              <w:t>人：</w:t>
            </w:r>
          </w:p>
          <w:p>
            <w:pPr>
              <w:jc w:val="left"/>
              <w:rPr>
                <w:rFonts w:ascii="仿宋" w:hAnsi="仿宋" w:eastAsia="仿宋"/>
                <w:sz w:val="24"/>
                <w:szCs w:val="21"/>
              </w:rPr>
            </w:pPr>
          </w:p>
          <w:p>
            <w:pPr>
              <w:wordWrap w:val="0"/>
              <w:jc w:val="left"/>
              <w:rPr>
                <w:rFonts w:ascii="仿宋" w:hAnsi="仿宋" w:eastAsia="仿宋"/>
                <w:sz w:val="24"/>
                <w:szCs w:val="21"/>
              </w:rPr>
            </w:pPr>
            <w:r>
              <w:rPr>
                <w:rFonts w:hint="eastAsia" w:ascii="仿宋" w:hAnsi="仿宋" w:eastAsia="仿宋"/>
                <w:sz w:val="24"/>
                <w:szCs w:val="21"/>
              </w:rPr>
              <w:t>日期：</w:t>
            </w:r>
            <w:r>
              <w:rPr>
                <w:rFonts w:ascii="仿宋" w:hAnsi="仿宋" w:eastAsia="仿宋"/>
                <w:sz w:val="24"/>
                <w:szCs w:val="21"/>
              </w:rPr>
              <w:t xml:space="preserve">                                        </w:t>
            </w:r>
            <w:r>
              <w:rPr>
                <w:rFonts w:hint="eastAsia" w:ascii="仿宋" w:hAnsi="仿宋" w:eastAsia="仿宋"/>
                <w:sz w:val="24"/>
                <w:szCs w:val="21"/>
              </w:rPr>
              <w:t>日期：</w:t>
            </w:r>
          </w:p>
        </w:tc>
      </w:tr>
    </w:tbl>
    <w:p>
      <w:pPr>
        <w:spacing w:after="240"/>
        <w:jc w:val="left"/>
        <w:rPr>
          <w:rFonts w:ascii="Times New Roman" w:hAnsi="Times New Roman"/>
          <w:szCs w:val="21"/>
        </w:rPr>
      </w:pPr>
    </w:p>
    <w:p>
      <w:pPr>
        <w:spacing w:line="600" w:lineRule="exact"/>
        <w:ind w:firstLine="636"/>
        <w:rPr>
          <w:rFonts w:ascii="Times New Roman" w:hAnsi="Times New Roman" w:eastAsia="仿宋"/>
          <w:sz w:val="32"/>
          <w:szCs w:val="32"/>
        </w:rPr>
      </w:pPr>
    </w:p>
    <w:p>
      <w:pPr>
        <w:widowControl/>
        <w:jc w:val="left"/>
        <w:rPr>
          <w:rFonts w:ascii="Times New Roman" w:hAnsi="Times New Roman" w:eastAsia="仿宋"/>
          <w:sz w:val="32"/>
          <w:szCs w:val="32"/>
        </w:rPr>
      </w:pPr>
      <w:r>
        <w:rPr>
          <w:rFonts w:ascii="Times New Roman" w:hAnsi="Times New Roman" w:eastAsia="仿宋"/>
          <w:sz w:val="32"/>
          <w:szCs w:val="32"/>
        </w:rPr>
        <w:br w:type="page"/>
      </w:r>
    </w:p>
    <w:p>
      <w:pPr>
        <w:spacing w:line="580" w:lineRule="exact"/>
        <w:ind w:right="-59"/>
        <w:rPr>
          <w:rFonts w:ascii="Times New Roman" w:hAnsi="Times New Roman" w:eastAsia="黑体"/>
          <w:sz w:val="32"/>
          <w:szCs w:val="32"/>
        </w:rPr>
      </w:pPr>
      <w:r>
        <w:rPr>
          <w:rFonts w:ascii="Times New Roman" w:hAnsi="Times New Roman" w:eastAsia="黑体"/>
          <w:sz w:val="32"/>
          <w:szCs w:val="32"/>
        </w:rPr>
        <w:t>附件3</w:t>
      </w:r>
    </w:p>
    <w:p>
      <w:pPr>
        <w:jc w:val="center"/>
        <w:rPr>
          <w:rFonts w:ascii="黑体" w:hAnsi="黑体" w:eastAsia="黑体"/>
          <w:b/>
          <w:sz w:val="28"/>
          <w:szCs w:val="28"/>
        </w:rPr>
      </w:pPr>
      <w:r>
        <w:rPr>
          <w:rFonts w:hint="eastAsia" w:ascii="黑体" w:hAnsi="黑体" w:eastAsia="黑体"/>
          <w:b/>
          <w:sz w:val="28"/>
          <w:szCs w:val="28"/>
        </w:rPr>
        <w:t>要约回购证券代码申请表</w:t>
      </w:r>
    </w:p>
    <w:p>
      <w:pPr>
        <w:wordWrap w:val="0"/>
        <w:spacing w:line="600" w:lineRule="exact"/>
        <w:ind w:firstLine="480" w:firstLineChars="200"/>
        <w:jc w:val="right"/>
        <w:rPr>
          <w:rFonts w:ascii="Times New Roman" w:hAnsi="Times New Roman" w:eastAsia="仿宋"/>
          <w:color w:val="000000" w:themeColor="text1"/>
          <w:sz w:val="24"/>
          <w:szCs w:val="32"/>
          <w14:textFill>
            <w14:solidFill>
              <w14:schemeClr w14:val="tx1"/>
            </w14:solidFill>
          </w14:textFill>
        </w:rPr>
      </w:pPr>
      <w:r>
        <w:rPr>
          <w:rFonts w:ascii="Times New Roman" w:hAnsi="Times New Roman" w:eastAsia="仿宋"/>
          <w:color w:val="000000" w:themeColor="text1"/>
          <w:sz w:val="24"/>
          <w:szCs w:val="32"/>
          <w14:textFill>
            <w14:solidFill>
              <w14:schemeClr w14:val="tx1"/>
            </w14:solidFill>
          </w14:textFill>
        </w:rPr>
        <w:t>年  月  日</w:t>
      </w:r>
    </w:p>
    <w:tbl>
      <w:tblPr>
        <w:tblStyle w:val="9"/>
        <w:tblW w:w="935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20"/>
        <w:gridCol w:w="1586"/>
        <w:gridCol w:w="2835"/>
        <w:gridCol w:w="241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3" w:hRule="atLeast"/>
          <w:jc w:val="center"/>
        </w:trPr>
        <w:tc>
          <w:tcPr>
            <w:tcW w:w="2520" w:type="dxa"/>
            <w:vAlign w:val="center"/>
          </w:tcPr>
          <w:p>
            <w:pPr>
              <w:spacing w:line="600" w:lineRule="exact"/>
              <w:jc w:val="center"/>
              <w:rPr>
                <w:rFonts w:ascii="Times New Roman" w:hAnsi="Times New Roman" w:eastAsia="仿宋"/>
                <w:color w:val="000000" w:themeColor="text1"/>
                <w:sz w:val="24"/>
                <w:szCs w:val="32"/>
                <w14:textFill>
                  <w14:solidFill>
                    <w14:schemeClr w14:val="tx1"/>
                  </w14:solidFill>
                </w14:textFill>
              </w:rPr>
            </w:pPr>
            <w:r>
              <w:rPr>
                <w:rFonts w:ascii="Times New Roman" w:hAnsi="Times New Roman" w:eastAsia="仿宋"/>
                <w:color w:val="000000" w:themeColor="text1"/>
                <w:sz w:val="24"/>
                <w:szCs w:val="32"/>
                <w14:textFill>
                  <w14:solidFill>
                    <w14:schemeClr w14:val="tx1"/>
                  </w14:solidFill>
                </w14:textFill>
              </w:rPr>
              <w:t>上市公司名称</w:t>
            </w:r>
          </w:p>
        </w:tc>
        <w:tc>
          <w:tcPr>
            <w:tcW w:w="6831" w:type="dxa"/>
            <w:gridSpan w:val="3"/>
            <w:vAlign w:val="center"/>
          </w:tcPr>
          <w:p>
            <w:pPr>
              <w:spacing w:line="600" w:lineRule="exact"/>
              <w:jc w:val="center"/>
              <w:rPr>
                <w:rFonts w:ascii="Times New Roman" w:hAnsi="Times New Roman" w:eastAsia="仿宋"/>
                <w:color w:val="000000" w:themeColor="text1"/>
                <w:sz w:val="24"/>
                <w:szCs w:val="32"/>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3" w:hRule="atLeast"/>
          <w:jc w:val="center"/>
        </w:trPr>
        <w:tc>
          <w:tcPr>
            <w:tcW w:w="2520" w:type="dxa"/>
            <w:vAlign w:val="center"/>
          </w:tcPr>
          <w:p>
            <w:pPr>
              <w:spacing w:line="600" w:lineRule="exact"/>
              <w:jc w:val="center"/>
              <w:rPr>
                <w:rFonts w:ascii="Times New Roman" w:hAnsi="Times New Roman" w:eastAsia="仿宋"/>
                <w:color w:val="000000" w:themeColor="text1"/>
                <w:sz w:val="24"/>
                <w:szCs w:val="32"/>
                <w14:textFill>
                  <w14:solidFill>
                    <w14:schemeClr w14:val="tx1"/>
                  </w14:solidFill>
                </w14:textFill>
              </w:rPr>
            </w:pPr>
            <w:r>
              <w:rPr>
                <w:rFonts w:ascii="Times New Roman" w:hAnsi="Times New Roman" w:eastAsia="仿宋"/>
                <w:color w:val="000000" w:themeColor="text1"/>
                <w:sz w:val="24"/>
                <w:szCs w:val="32"/>
                <w14:textFill>
                  <w14:solidFill>
                    <w14:schemeClr w14:val="tx1"/>
                  </w14:solidFill>
                </w14:textFill>
              </w:rPr>
              <w:t>上市公司证券代码</w:t>
            </w:r>
          </w:p>
        </w:tc>
        <w:tc>
          <w:tcPr>
            <w:tcW w:w="1586" w:type="dxa"/>
            <w:vAlign w:val="center"/>
          </w:tcPr>
          <w:p>
            <w:pPr>
              <w:spacing w:line="600" w:lineRule="exact"/>
              <w:jc w:val="center"/>
              <w:rPr>
                <w:rFonts w:ascii="Times New Roman" w:hAnsi="Times New Roman" w:eastAsia="仿宋"/>
                <w:color w:val="000000" w:themeColor="text1"/>
                <w:sz w:val="24"/>
                <w:szCs w:val="32"/>
                <w14:textFill>
                  <w14:solidFill>
                    <w14:schemeClr w14:val="tx1"/>
                  </w14:solidFill>
                </w14:textFill>
              </w:rPr>
            </w:pPr>
          </w:p>
        </w:tc>
        <w:tc>
          <w:tcPr>
            <w:tcW w:w="2835" w:type="dxa"/>
            <w:vAlign w:val="center"/>
          </w:tcPr>
          <w:p>
            <w:pPr>
              <w:spacing w:line="600" w:lineRule="exact"/>
              <w:jc w:val="center"/>
              <w:rPr>
                <w:rFonts w:ascii="Times New Roman" w:hAnsi="Times New Roman" w:eastAsia="仿宋"/>
                <w:color w:val="000000" w:themeColor="text1"/>
                <w:sz w:val="24"/>
                <w:szCs w:val="32"/>
                <w14:textFill>
                  <w14:solidFill>
                    <w14:schemeClr w14:val="tx1"/>
                  </w14:solidFill>
                </w14:textFill>
              </w:rPr>
            </w:pPr>
            <w:r>
              <w:rPr>
                <w:rFonts w:ascii="Times New Roman" w:hAnsi="Times New Roman" w:eastAsia="仿宋"/>
                <w:color w:val="000000" w:themeColor="text1"/>
                <w:sz w:val="24"/>
                <w:szCs w:val="32"/>
                <w14:textFill>
                  <w14:solidFill>
                    <w14:schemeClr w14:val="tx1"/>
                  </w14:solidFill>
                </w14:textFill>
              </w:rPr>
              <w:t>上市公司证券简称</w:t>
            </w:r>
          </w:p>
        </w:tc>
        <w:tc>
          <w:tcPr>
            <w:tcW w:w="2410" w:type="dxa"/>
            <w:vAlign w:val="center"/>
          </w:tcPr>
          <w:p>
            <w:pPr>
              <w:spacing w:line="600" w:lineRule="exact"/>
              <w:jc w:val="center"/>
              <w:rPr>
                <w:rFonts w:ascii="Times New Roman" w:hAnsi="Times New Roman" w:eastAsia="仿宋"/>
                <w:color w:val="000000" w:themeColor="text1"/>
                <w:sz w:val="24"/>
                <w:szCs w:val="32"/>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3" w:hRule="atLeast"/>
          <w:jc w:val="center"/>
        </w:trPr>
        <w:tc>
          <w:tcPr>
            <w:tcW w:w="2520" w:type="dxa"/>
            <w:vAlign w:val="center"/>
          </w:tcPr>
          <w:p>
            <w:pPr>
              <w:spacing w:line="600" w:lineRule="exact"/>
              <w:jc w:val="center"/>
              <w:rPr>
                <w:rFonts w:ascii="Times New Roman" w:hAnsi="Times New Roman" w:eastAsia="仿宋"/>
                <w:color w:val="000000" w:themeColor="text1"/>
                <w:sz w:val="24"/>
                <w:szCs w:val="32"/>
                <w14:textFill>
                  <w14:solidFill>
                    <w14:schemeClr w14:val="tx1"/>
                  </w14:solidFill>
                </w14:textFill>
              </w:rPr>
            </w:pPr>
            <w:r>
              <w:rPr>
                <w:rFonts w:ascii="Times New Roman" w:hAnsi="Times New Roman" w:eastAsia="仿宋"/>
                <w:color w:val="000000" w:themeColor="text1"/>
                <w:sz w:val="24"/>
                <w:szCs w:val="32"/>
                <w14:textFill>
                  <w14:solidFill>
                    <w14:schemeClr w14:val="tx1"/>
                  </w14:solidFill>
                </w14:textFill>
              </w:rPr>
              <w:t>回购专户托管单元</w:t>
            </w:r>
          </w:p>
        </w:tc>
        <w:tc>
          <w:tcPr>
            <w:tcW w:w="1586" w:type="dxa"/>
            <w:vAlign w:val="center"/>
          </w:tcPr>
          <w:p>
            <w:pPr>
              <w:spacing w:line="600" w:lineRule="exact"/>
              <w:jc w:val="center"/>
              <w:rPr>
                <w:rFonts w:ascii="Times New Roman" w:hAnsi="Times New Roman" w:eastAsia="仿宋"/>
                <w:color w:val="000000" w:themeColor="text1"/>
                <w:sz w:val="24"/>
                <w:szCs w:val="32"/>
                <w14:textFill>
                  <w14:solidFill>
                    <w14:schemeClr w14:val="tx1"/>
                  </w14:solidFill>
                </w14:textFill>
              </w:rPr>
            </w:pPr>
          </w:p>
        </w:tc>
        <w:tc>
          <w:tcPr>
            <w:tcW w:w="2835" w:type="dxa"/>
            <w:vAlign w:val="center"/>
          </w:tcPr>
          <w:p>
            <w:pPr>
              <w:spacing w:line="600" w:lineRule="exact"/>
              <w:jc w:val="center"/>
              <w:rPr>
                <w:rFonts w:ascii="Times New Roman" w:hAnsi="Times New Roman" w:eastAsia="仿宋"/>
                <w:color w:val="000000" w:themeColor="text1"/>
                <w:sz w:val="24"/>
                <w:szCs w:val="32"/>
                <w14:textFill>
                  <w14:solidFill>
                    <w14:schemeClr w14:val="tx1"/>
                  </w14:solidFill>
                </w14:textFill>
              </w:rPr>
            </w:pPr>
            <w:r>
              <w:rPr>
                <w:rFonts w:ascii="Times New Roman" w:hAnsi="Times New Roman" w:eastAsia="仿宋"/>
                <w:color w:val="000000" w:themeColor="text1"/>
                <w:sz w:val="24"/>
                <w:szCs w:val="32"/>
                <w14:textFill>
                  <w14:solidFill>
                    <w14:schemeClr w14:val="tx1"/>
                  </w14:solidFill>
                </w14:textFill>
              </w:rPr>
              <w:t>回购专户托管单元名称</w:t>
            </w:r>
          </w:p>
        </w:tc>
        <w:tc>
          <w:tcPr>
            <w:tcW w:w="2410" w:type="dxa"/>
            <w:vAlign w:val="center"/>
          </w:tcPr>
          <w:p>
            <w:pPr>
              <w:spacing w:line="600" w:lineRule="exact"/>
              <w:jc w:val="center"/>
              <w:rPr>
                <w:rFonts w:ascii="Times New Roman" w:hAnsi="Times New Roman" w:eastAsia="仿宋"/>
                <w:color w:val="000000" w:themeColor="text1"/>
                <w:sz w:val="24"/>
                <w:szCs w:val="32"/>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3" w:hRule="atLeast"/>
          <w:jc w:val="center"/>
        </w:trPr>
        <w:tc>
          <w:tcPr>
            <w:tcW w:w="2520" w:type="dxa"/>
            <w:vAlign w:val="center"/>
          </w:tcPr>
          <w:p>
            <w:pPr>
              <w:spacing w:line="600" w:lineRule="exact"/>
              <w:jc w:val="center"/>
              <w:rPr>
                <w:rFonts w:ascii="Times New Roman" w:hAnsi="Times New Roman" w:eastAsia="仿宋"/>
                <w:color w:val="000000" w:themeColor="text1"/>
                <w:sz w:val="24"/>
                <w:szCs w:val="32"/>
                <w14:textFill>
                  <w14:solidFill>
                    <w14:schemeClr w14:val="tx1"/>
                  </w14:solidFill>
                </w14:textFill>
              </w:rPr>
            </w:pPr>
            <w:r>
              <w:rPr>
                <w:rFonts w:ascii="Times New Roman" w:hAnsi="Times New Roman" w:eastAsia="仿宋"/>
                <w:color w:val="000000" w:themeColor="text1"/>
                <w:sz w:val="24"/>
                <w:szCs w:val="32"/>
                <w14:textFill>
                  <w14:solidFill>
                    <w14:schemeClr w14:val="tx1"/>
                  </w14:solidFill>
                </w14:textFill>
              </w:rPr>
              <w:t>要约回购证券简称*</w:t>
            </w:r>
          </w:p>
        </w:tc>
        <w:tc>
          <w:tcPr>
            <w:tcW w:w="1586" w:type="dxa"/>
            <w:vAlign w:val="center"/>
          </w:tcPr>
          <w:p>
            <w:pPr>
              <w:spacing w:line="600" w:lineRule="exact"/>
              <w:jc w:val="center"/>
              <w:rPr>
                <w:rFonts w:ascii="Times New Roman" w:hAnsi="Times New Roman" w:eastAsia="仿宋"/>
                <w:color w:val="000000" w:themeColor="text1"/>
                <w:sz w:val="24"/>
                <w:szCs w:val="32"/>
                <w14:textFill>
                  <w14:solidFill>
                    <w14:schemeClr w14:val="tx1"/>
                  </w14:solidFill>
                </w14:textFill>
              </w:rPr>
            </w:pPr>
          </w:p>
        </w:tc>
        <w:tc>
          <w:tcPr>
            <w:tcW w:w="2835" w:type="dxa"/>
            <w:vAlign w:val="center"/>
          </w:tcPr>
          <w:p>
            <w:pPr>
              <w:spacing w:line="600" w:lineRule="exact"/>
              <w:jc w:val="center"/>
              <w:rPr>
                <w:rFonts w:ascii="Times New Roman" w:hAnsi="Times New Roman" w:eastAsia="仿宋"/>
                <w:color w:val="000000" w:themeColor="text1"/>
                <w:sz w:val="24"/>
                <w:szCs w:val="32"/>
                <w14:textFill>
                  <w14:solidFill>
                    <w14:schemeClr w14:val="tx1"/>
                  </w14:solidFill>
                </w14:textFill>
              </w:rPr>
            </w:pPr>
            <w:r>
              <w:rPr>
                <w:rFonts w:ascii="Times New Roman" w:hAnsi="Times New Roman" w:eastAsia="仿宋"/>
                <w:color w:val="000000" w:themeColor="text1"/>
                <w:sz w:val="24"/>
                <w:szCs w:val="32"/>
                <w14:textFill>
                  <w14:solidFill>
                    <w14:schemeClr w14:val="tx1"/>
                  </w14:solidFill>
                </w14:textFill>
              </w:rPr>
              <w:t>要约回购实施期限天数*</w:t>
            </w:r>
          </w:p>
        </w:tc>
        <w:tc>
          <w:tcPr>
            <w:tcW w:w="2410" w:type="dxa"/>
            <w:vAlign w:val="center"/>
          </w:tcPr>
          <w:p>
            <w:pPr>
              <w:spacing w:line="600" w:lineRule="exact"/>
              <w:jc w:val="center"/>
              <w:rPr>
                <w:rFonts w:ascii="Times New Roman" w:hAnsi="Times New Roman" w:eastAsia="仿宋"/>
                <w:color w:val="000000" w:themeColor="text1"/>
                <w:sz w:val="24"/>
                <w:szCs w:val="32"/>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3" w:hRule="atLeast"/>
          <w:jc w:val="center"/>
        </w:trPr>
        <w:tc>
          <w:tcPr>
            <w:tcW w:w="2520" w:type="dxa"/>
            <w:vAlign w:val="center"/>
          </w:tcPr>
          <w:p>
            <w:pPr>
              <w:spacing w:line="600" w:lineRule="exact"/>
              <w:jc w:val="center"/>
              <w:rPr>
                <w:rFonts w:ascii="Times New Roman" w:hAnsi="Times New Roman" w:eastAsia="仿宋"/>
                <w:color w:val="000000" w:themeColor="text1"/>
                <w:sz w:val="24"/>
                <w:szCs w:val="32"/>
                <w14:textFill>
                  <w14:solidFill>
                    <w14:schemeClr w14:val="tx1"/>
                  </w14:solidFill>
                </w14:textFill>
              </w:rPr>
            </w:pPr>
            <w:r>
              <w:rPr>
                <w:rFonts w:ascii="Times New Roman" w:hAnsi="Times New Roman" w:eastAsia="仿宋"/>
                <w:color w:val="000000" w:themeColor="text1"/>
                <w:sz w:val="24"/>
                <w:szCs w:val="32"/>
                <w14:textFill>
                  <w14:solidFill>
                    <w14:schemeClr w14:val="tx1"/>
                  </w14:solidFill>
                </w14:textFill>
              </w:rPr>
              <w:t>要约回购价格</w:t>
            </w:r>
          </w:p>
        </w:tc>
        <w:tc>
          <w:tcPr>
            <w:tcW w:w="1586" w:type="dxa"/>
            <w:vAlign w:val="center"/>
          </w:tcPr>
          <w:p>
            <w:pPr>
              <w:spacing w:line="600" w:lineRule="exact"/>
              <w:jc w:val="center"/>
              <w:rPr>
                <w:rFonts w:ascii="Times New Roman" w:hAnsi="Times New Roman" w:eastAsia="仿宋"/>
                <w:color w:val="000000" w:themeColor="text1"/>
                <w:sz w:val="24"/>
                <w:szCs w:val="32"/>
                <w14:textFill>
                  <w14:solidFill>
                    <w14:schemeClr w14:val="tx1"/>
                  </w14:solidFill>
                </w14:textFill>
              </w:rPr>
            </w:pPr>
          </w:p>
        </w:tc>
        <w:tc>
          <w:tcPr>
            <w:tcW w:w="2835" w:type="dxa"/>
            <w:vAlign w:val="center"/>
          </w:tcPr>
          <w:p>
            <w:pPr>
              <w:spacing w:line="600" w:lineRule="exact"/>
              <w:jc w:val="center"/>
              <w:rPr>
                <w:rFonts w:ascii="Times New Roman" w:hAnsi="Times New Roman" w:eastAsia="仿宋"/>
                <w:color w:val="000000" w:themeColor="text1"/>
                <w:sz w:val="24"/>
                <w:szCs w:val="32"/>
                <w14:textFill>
                  <w14:solidFill>
                    <w14:schemeClr w14:val="tx1"/>
                  </w14:solidFill>
                </w14:textFill>
              </w:rPr>
            </w:pPr>
            <w:r>
              <w:rPr>
                <w:rFonts w:ascii="Times New Roman" w:hAnsi="Times New Roman" w:eastAsia="仿宋"/>
                <w:color w:val="000000" w:themeColor="text1"/>
                <w:sz w:val="24"/>
                <w:szCs w:val="32"/>
                <w14:textFill>
                  <w14:solidFill>
                    <w14:schemeClr w14:val="tx1"/>
                  </w14:solidFill>
                </w14:textFill>
              </w:rPr>
              <w:t>支付方式</w:t>
            </w:r>
          </w:p>
        </w:tc>
        <w:tc>
          <w:tcPr>
            <w:tcW w:w="2410" w:type="dxa"/>
            <w:vAlign w:val="center"/>
          </w:tcPr>
          <w:p>
            <w:pPr>
              <w:spacing w:line="600" w:lineRule="exact"/>
              <w:jc w:val="center"/>
              <w:rPr>
                <w:rFonts w:ascii="Times New Roman" w:hAnsi="Times New Roman" w:eastAsia="仿宋"/>
                <w:color w:val="000000" w:themeColor="text1"/>
                <w:sz w:val="24"/>
                <w:szCs w:val="32"/>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3" w:hRule="atLeast"/>
          <w:jc w:val="center"/>
        </w:trPr>
        <w:tc>
          <w:tcPr>
            <w:tcW w:w="2520" w:type="dxa"/>
            <w:vAlign w:val="center"/>
          </w:tcPr>
          <w:p>
            <w:pPr>
              <w:spacing w:line="600" w:lineRule="exact"/>
              <w:jc w:val="center"/>
              <w:rPr>
                <w:rFonts w:ascii="Times New Roman" w:hAnsi="Times New Roman" w:eastAsia="仿宋"/>
                <w:color w:val="000000" w:themeColor="text1"/>
                <w:sz w:val="24"/>
                <w:szCs w:val="32"/>
                <w14:textFill>
                  <w14:solidFill>
                    <w14:schemeClr w14:val="tx1"/>
                  </w14:solidFill>
                </w14:textFill>
              </w:rPr>
            </w:pPr>
            <w:r>
              <w:rPr>
                <w:rFonts w:ascii="Times New Roman" w:hAnsi="Times New Roman" w:eastAsia="仿宋"/>
                <w:color w:val="000000" w:themeColor="text1"/>
                <w:sz w:val="24"/>
                <w:szCs w:val="32"/>
                <w14:textFill>
                  <w14:solidFill>
                    <w14:schemeClr w14:val="tx1"/>
                  </w14:solidFill>
                </w14:textFill>
              </w:rPr>
              <w:t>预定回购数量</w:t>
            </w:r>
          </w:p>
        </w:tc>
        <w:tc>
          <w:tcPr>
            <w:tcW w:w="1586" w:type="dxa"/>
            <w:vAlign w:val="center"/>
          </w:tcPr>
          <w:p>
            <w:pPr>
              <w:spacing w:line="600" w:lineRule="exact"/>
              <w:jc w:val="center"/>
              <w:rPr>
                <w:rFonts w:ascii="Times New Roman" w:hAnsi="Times New Roman" w:eastAsia="仿宋"/>
                <w:color w:val="000000" w:themeColor="text1"/>
                <w:sz w:val="24"/>
                <w:szCs w:val="32"/>
                <w14:textFill>
                  <w14:solidFill>
                    <w14:schemeClr w14:val="tx1"/>
                  </w14:solidFill>
                </w14:textFill>
              </w:rPr>
            </w:pPr>
          </w:p>
        </w:tc>
        <w:tc>
          <w:tcPr>
            <w:tcW w:w="2835" w:type="dxa"/>
            <w:vAlign w:val="center"/>
          </w:tcPr>
          <w:p>
            <w:pPr>
              <w:spacing w:line="600" w:lineRule="exact"/>
              <w:jc w:val="center"/>
              <w:rPr>
                <w:rFonts w:ascii="Times New Roman" w:hAnsi="Times New Roman" w:eastAsia="仿宋"/>
                <w:color w:val="000000" w:themeColor="text1"/>
                <w:sz w:val="24"/>
                <w:szCs w:val="32"/>
                <w14:textFill>
                  <w14:solidFill>
                    <w14:schemeClr w14:val="tx1"/>
                  </w14:solidFill>
                </w14:textFill>
              </w:rPr>
            </w:pPr>
            <w:r>
              <w:rPr>
                <w:rFonts w:ascii="Times New Roman" w:hAnsi="Times New Roman" w:eastAsia="仿宋"/>
                <w:color w:val="000000" w:themeColor="text1"/>
                <w:sz w:val="24"/>
                <w:szCs w:val="32"/>
                <w14:textFill>
                  <w14:solidFill>
                    <w14:schemeClr w14:val="tx1"/>
                  </w14:solidFill>
                </w14:textFill>
              </w:rPr>
              <w:t>预定回购比例</w:t>
            </w:r>
          </w:p>
        </w:tc>
        <w:tc>
          <w:tcPr>
            <w:tcW w:w="2410" w:type="dxa"/>
            <w:vAlign w:val="center"/>
          </w:tcPr>
          <w:p>
            <w:pPr>
              <w:spacing w:line="600" w:lineRule="exact"/>
              <w:jc w:val="center"/>
              <w:rPr>
                <w:rFonts w:ascii="Times New Roman" w:hAnsi="Times New Roman" w:eastAsia="仿宋"/>
                <w:color w:val="000000" w:themeColor="text1"/>
                <w:sz w:val="24"/>
                <w:szCs w:val="32"/>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3" w:hRule="atLeast"/>
          <w:jc w:val="center"/>
        </w:trPr>
        <w:tc>
          <w:tcPr>
            <w:tcW w:w="2520" w:type="dxa"/>
            <w:vAlign w:val="center"/>
          </w:tcPr>
          <w:p>
            <w:pPr>
              <w:spacing w:line="600" w:lineRule="exact"/>
              <w:jc w:val="center"/>
              <w:rPr>
                <w:rFonts w:ascii="Times New Roman" w:hAnsi="Times New Roman" w:eastAsia="仿宋"/>
                <w:color w:val="000000" w:themeColor="text1"/>
                <w:sz w:val="24"/>
                <w:szCs w:val="32"/>
                <w14:textFill>
                  <w14:solidFill>
                    <w14:schemeClr w14:val="tx1"/>
                  </w14:solidFill>
                </w14:textFill>
              </w:rPr>
            </w:pPr>
            <w:r>
              <w:rPr>
                <w:rFonts w:ascii="Times New Roman" w:hAnsi="Times New Roman" w:eastAsia="仿宋"/>
                <w:color w:val="000000" w:themeColor="text1"/>
                <w:sz w:val="24"/>
                <w:szCs w:val="32"/>
                <w14:textFill>
                  <w14:solidFill>
                    <w14:schemeClr w14:val="tx1"/>
                  </w14:solidFill>
                </w14:textFill>
              </w:rPr>
              <w:t>应提交的申请文件</w:t>
            </w:r>
          </w:p>
        </w:tc>
        <w:tc>
          <w:tcPr>
            <w:tcW w:w="6831" w:type="dxa"/>
            <w:gridSpan w:val="3"/>
            <w:vAlign w:val="center"/>
          </w:tcPr>
          <w:p>
            <w:pPr>
              <w:spacing w:line="600" w:lineRule="exact"/>
              <w:rPr>
                <w:rFonts w:ascii="Times New Roman" w:hAnsi="Times New Roman" w:eastAsia="仿宋"/>
                <w:color w:val="000000" w:themeColor="text1"/>
                <w:sz w:val="24"/>
                <w:szCs w:val="32"/>
                <w14:textFill>
                  <w14:solidFill>
                    <w14:schemeClr w14:val="tx1"/>
                  </w14:solidFill>
                </w14:textFill>
              </w:rPr>
            </w:pPr>
            <w:r>
              <w:rPr>
                <w:rFonts w:ascii="Times New Roman" w:hAnsi="Times New Roman" w:eastAsia="仿宋"/>
                <w:color w:val="000000" w:themeColor="text1"/>
                <w:sz w:val="24"/>
                <w:szCs w:val="32"/>
                <w14:textFill>
                  <w14:solidFill>
                    <w14:schemeClr w14:val="tx1"/>
                  </w14:solidFill>
                </w14:textFill>
              </w:rPr>
              <w:t>1. 履约保证证明文件；</w:t>
            </w:r>
          </w:p>
          <w:p>
            <w:pPr>
              <w:spacing w:line="600" w:lineRule="exact"/>
              <w:rPr>
                <w:rFonts w:ascii="Times New Roman" w:hAnsi="Times New Roman" w:eastAsia="仿宋"/>
                <w:color w:val="000000" w:themeColor="text1"/>
                <w:sz w:val="24"/>
                <w:szCs w:val="32"/>
                <w14:textFill>
                  <w14:solidFill>
                    <w14:schemeClr w14:val="tx1"/>
                  </w14:solidFill>
                </w14:textFill>
              </w:rPr>
            </w:pPr>
            <w:r>
              <w:rPr>
                <w:rFonts w:ascii="Times New Roman" w:hAnsi="Times New Roman" w:eastAsia="仿宋"/>
                <w:color w:val="000000" w:themeColor="text1"/>
                <w:sz w:val="24"/>
                <w:szCs w:val="32"/>
                <w14:textFill>
                  <w14:solidFill>
                    <w14:schemeClr w14:val="tx1"/>
                  </w14:solidFill>
                </w14:textFill>
              </w:rPr>
              <w:t>2. 回购专用证券账户开户证明；</w:t>
            </w:r>
          </w:p>
          <w:p>
            <w:pPr>
              <w:spacing w:line="600" w:lineRule="exact"/>
              <w:rPr>
                <w:rFonts w:ascii="Times New Roman" w:hAnsi="Times New Roman" w:eastAsia="仿宋"/>
                <w:color w:val="000000" w:themeColor="text1"/>
                <w:sz w:val="24"/>
                <w:szCs w:val="32"/>
                <w14:textFill>
                  <w14:solidFill>
                    <w14:schemeClr w14:val="tx1"/>
                  </w14:solidFill>
                </w14:textFill>
              </w:rPr>
            </w:pPr>
            <w:r>
              <w:rPr>
                <w:rFonts w:ascii="Times New Roman" w:hAnsi="Times New Roman" w:eastAsia="仿宋"/>
                <w:color w:val="000000" w:themeColor="text1"/>
                <w:sz w:val="24"/>
                <w:szCs w:val="32"/>
                <w14:textFill>
                  <w14:solidFill>
                    <w14:schemeClr w14:val="tx1"/>
                  </w14:solidFill>
                </w14:textFill>
              </w:rPr>
              <w:t>3. 预受要约股份情况公告授权书（附件4、附件5）；</w:t>
            </w:r>
          </w:p>
          <w:p>
            <w:pPr>
              <w:spacing w:line="600" w:lineRule="exact"/>
              <w:rPr>
                <w:rFonts w:ascii="Times New Roman" w:hAnsi="Times New Roman" w:eastAsia="仿宋"/>
                <w:color w:val="000000" w:themeColor="text1"/>
                <w:sz w:val="24"/>
                <w:szCs w:val="32"/>
                <w14:textFill>
                  <w14:solidFill>
                    <w14:schemeClr w14:val="tx1"/>
                  </w14:solidFill>
                </w14:textFill>
              </w:rPr>
            </w:pPr>
            <w:r>
              <w:rPr>
                <w:rFonts w:ascii="Times New Roman" w:hAnsi="Times New Roman" w:eastAsia="仿宋"/>
                <w:color w:val="000000" w:themeColor="text1"/>
                <w:sz w:val="24"/>
                <w:szCs w:val="32"/>
                <w14:textFill>
                  <w14:solidFill>
                    <w14:schemeClr w14:val="tx1"/>
                  </w14:solidFill>
                </w14:textFill>
              </w:rPr>
              <w:t>4. 其他文件。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3" w:hRule="atLeast"/>
          <w:jc w:val="center"/>
        </w:trPr>
        <w:tc>
          <w:tcPr>
            <w:tcW w:w="9351" w:type="dxa"/>
            <w:gridSpan w:val="4"/>
            <w:vAlign w:val="center"/>
          </w:tcPr>
          <w:p>
            <w:pPr>
              <w:spacing w:line="600" w:lineRule="exact"/>
              <w:jc w:val="left"/>
              <w:rPr>
                <w:rFonts w:ascii="Times New Roman" w:hAnsi="Times New Roman" w:eastAsia="仿宋"/>
                <w:color w:val="000000" w:themeColor="text1"/>
                <w:sz w:val="24"/>
                <w:szCs w:val="32"/>
                <w14:textFill>
                  <w14:solidFill>
                    <w14:schemeClr w14:val="tx1"/>
                  </w14:solidFill>
                </w14:textFill>
              </w:rPr>
            </w:pPr>
            <w:r>
              <w:rPr>
                <w:rFonts w:ascii="Times New Roman" w:hAnsi="Times New Roman" w:eastAsia="仿宋"/>
                <w:color w:val="000000" w:themeColor="text1"/>
                <w:sz w:val="24"/>
                <w:szCs w:val="32"/>
                <w14:textFill>
                  <w14:solidFill>
                    <w14:schemeClr w14:val="tx1"/>
                  </w14:solidFill>
                </w14:textFill>
              </w:rPr>
              <w:t>本公司确认应提交的申请文件齐备，内容真实、准确、完整。</w:t>
            </w:r>
          </w:p>
          <w:p>
            <w:pPr>
              <w:spacing w:line="600" w:lineRule="exact"/>
              <w:jc w:val="left"/>
              <w:rPr>
                <w:rFonts w:ascii="Times New Roman" w:hAnsi="Times New Roman" w:eastAsia="仿宋"/>
                <w:color w:val="000000" w:themeColor="text1"/>
                <w:sz w:val="24"/>
                <w:szCs w:val="32"/>
                <w14:textFill>
                  <w14:solidFill>
                    <w14:schemeClr w14:val="tx1"/>
                  </w14:solidFill>
                </w14:textFill>
              </w:rPr>
            </w:pPr>
          </w:p>
          <w:p>
            <w:pPr>
              <w:spacing w:line="600" w:lineRule="exact"/>
              <w:jc w:val="right"/>
              <w:rPr>
                <w:rFonts w:ascii="Times New Roman" w:hAnsi="Times New Roman" w:eastAsia="仿宋"/>
                <w:color w:val="000000" w:themeColor="text1"/>
                <w:sz w:val="24"/>
                <w:szCs w:val="32"/>
                <w14:textFill>
                  <w14:solidFill>
                    <w14:schemeClr w14:val="tx1"/>
                  </w14:solidFill>
                </w14:textFill>
              </w:rPr>
            </w:pPr>
            <w:r>
              <w:rPr>
                <w:rFonts w:ascii="Times New Roman" w:hAnsi="Times New Roman" w:eastAsia="仿宋"/>
                <w:color w:val="000000" w:themeColor="text1"/>
                <w:sz w:val="24"/>
                <w:szCs w:val="32"/>
                <w14:textFill>
                  <w14:solidFill>
                    <w14:schemeClr w14:val="tx1"/>
                  </w14:solidFill>
                </w14:textFill>
              </w:rPr>
              <w:t>（上市公司盖章）</w:t>
            </w:r>
          </w:p>
          <w:p>
            <w:pPr>
              <w:spacing w:line="600" w:lineRule="exact"/>
              <w:jc w:val="right"/>
              <w:rPr>
                <w:rFonts w:ascii="Times New Roman" w:hAnsi="Times New Roman" w:eastAsia="仿宋"/>
                <w:color w:val="000000" w:themeColor="text1"/>
                <w:sz w:val="24"/>
                <w:szCs w:val="32"/>
                <w14:textFill>
                  <w14:solidFill>
                    <w14:schemeClr w14:val="tx1"/>
                  </w14:solidFill>
                </w14:textFill>
              </w:rPr>
            </w:pPr>
          </w:p>
        </w:tc>
      </w:tr>
    </w:tbl>
    <w:p>
      <w:pPr>
        <w:widowControl/>
        <w:jc w:val="left"/>
        <w:rPr>
          <w:rFonts w:ascii="Times New Roman" w:hAnsi="Times New Roman" w:eastAsia="仿宋"/>
          <w:color w:val="000000" w:themeColor="text1"/>
          <w:sz w:val="24"/>
          <w:szCs w:val="32"/>
          <w14:textFill>
            <w14:solidFill>
              <w14:schemeClr w14:val="tx1"/>
            </w14:solidFill>
          </w14:textFill>
        </w:rPr>
      </w:pPr>
    </w:p>
    <w:p>
      <w:pPr>
        <w:widowControl/>
        <w:spacing w:line="400" w:lineRule="exact"/>
        <w:jc w:val="left"/>
        <w:rPr>
          <w:rFonts w:ascii="Times New Roman" w:hAnsi="Times New Roman" w:eastAsia="仿宋"/>
          <w:color w:val="000000" w:themeColor="text1"/>
          <w:sz w:val="24"/>
          <w:szCs w:val="32"/>
          <w14:textFill>
            <w14:solidFill>
              <w14:schemeClr w14:val="tx1"/>
            </w14:solidFill>
          </w14:textFill>
        </w:rPr>
      </w:pPr>
      <w:r>
        <w:rPr>
          <w:rFonts w:ascii="Times New Roman" w:hAnsi="Times New Roman" w:eastAsia="仿宋"/>
          <w:color w:val="000000" w:themeColor="text1"/>
          <w:sz w:val="24"/>
          <w:szCs w:val="32"/>
          <w14:textFill>
            <w14:solidFill>
              <w14:schemeClr w14:val="tx1"/>
            </w14:solidFill>
          </w14:textFill>
        </w:rPr>
        <w:t>*要约回购证券简称首四位字符从上市公司证券简称中选取，后四位字符为</w:t>
      </w:r>
      <w:r>
        <w:rPr>
          <w:rFonts w:hint="eastAsia" w:ascii="仿宋" w:hAnsi="仿宋" w:eastAsia="仿宋" w:cs="仿宋"/>
          <w:color w:val="000000" w:themeColor="text1"/>
          <w:sz w:val="24"/>
          <w:szCs w:val="32"/>
          <w14:textFill>
            <w14:solidFill>
              <w14:schemeClr w14:val="tx1"/>
            </w14:solidFill>
          </w14:textFill>
        </w:rPr>
        <w:t>“</w:t>
      </w:r>
      <w:r>
        <w:rPr>
          <w:rFonts w:ascii="Times New Roman" w:hAnsi="Times New Roman" w:eastAsia="仿宋"/>
          <w:color w:val="000000" w:themeColor="text1"/>
          <w:sz w:val="24"/>
          <w:szCs w:val="32"/>
          <w14:textFill>
            <w14:solidFill>
              <w14:schemeClr w14:val="tx1"/>
            </w14:solidFill>
          </w14:textFill>
        </w:rPr>
        <w:t>回购</w:t>
      </w:r>
      <w:r>
        <w:rPr>
          <w:rFonts w:hint="eastAsia" w:ascii="仿宋" w:hAnsi="仿宋" w:eastAsia="仿宋" w:cs="仿宋"/>
          <w:color w:val="000000" w:themeColor="text1"/>
          <w:sz w:val="24"/>
          <w:szCs w:val="32"/>
          <w14:textFill>
            <w14:solidFill>
              <w14:schemeClr w14:val="tx1"/>
            </w14:solidFill>
          </w14:textFill>
        </w:rPr>
        <w:t>”</w:t>
      </w:r>
      <w:r>
        <w:rPr>
          <w:rFonts w:ascii="Times New Roman" w:hAnsi="Times New Roman" w:eastAsia="仿宋"/>
          <w:color w:val="000000" w:themeColor="text1"/>
          <w:sz w:val="24"/>
          <w:szCs w:val="32"/>
          <w14:textFill>
            <w14:solidFill>
              <w14:schemeClr w14:val="tx1"/>
            </w14:solidFill>
          </w14:textFill>
        </w:rPr>
        <w:t>，即命名格式</w:t>
      </w:r>
      <w:r>
        <w:rPr>
          <w:rFonts w:hint="eastAsia" w:ascii="仿宋" w:hAnsi="仿宋" w:eastAsia="仿宋" w:cs="仿宋"/>
          <w:color w:val="000000" w:themeColor="text1"/>
          <w:sz w:val="24"/>
          <w:szCs w:val="32"/>
          <w14:textFill>
            <w14:solidFill>
              <w14:schemeClr w14:val="tx1"/>
            </w14:solidFill>
          </w14:textFill>
        </w:rPr>
        <w:t>“</w:t>
      </w:r>
      <w:r>
        <w:rPr>
          <w:rFonts w:ascii="Times New Roman" w:hAnsi="Times New Roman" w:eastAsia="仿宋"/>
          <w:color w:val="000000" w:themeColor="text1"/>
          <w:sz w:val="24"/>
          <w:szCs w:val="32"/>
          <w14:textFill>
            <w14:solidFill>
              <w14:schemeClr w14:val="tx1"/>
            </w14:solidFill>
          </w14:textFill>
        </w:rPr>
        <w:t>XX回购</w:t>
      </w:r>
      <w:r>
        <w:rPr>
          <w:rFonts w:hint="eastAsia" w:ascii="仿宋" w:hAnsi="仿宋" w:eastAsia="仿宋" w:cs="仿宋"/>
          <w:color w:val="000000" w:themeColor="text1"/>
          <w:sz w:val="24"/>
          <w:szCs w:val="32"/>
          <w14:textFill>
            <w14:solidFill>
              <w14:schemeClr w14:val="tx1"/>
            </w14:solidFill>
          </w14:textFill>
        </w:rPr>
        <w:t>”</w:t>
      </w:r>
      <w:r>
        <w:rPr>
          <w:rFonts w:ascii="Times New Roman" w:hAnsi="Times New Roman" w:eastAsia="仿宋"/>
          <w:color w:val="000000" w:themeColor="text1"/>
          <w:sz w:val="24"/>
          <w:szCs w:val="32"/>
          <w14:textFill>
            <w14:solidFill>
              <w14:schemeClr w14:val="tx1"/>
            </w14:solidFill>
          </w14:textFill>
        </w:rPr>
        <w:t>。</w:t>
      </w:r>
    </w:p>
    <w:p>
      <w:pPr>
        <w:widowControl/>
        <w:spacing w:line="400" w:lineRule="exact"/>
        <w:jc w:val="left"/>
        <w:rPr>
          <w:rFonts w:ascii="Times New Roman" w:hAnsi="Times New Roman" w:eastAsia="仿宋"/>
          <w:color w:val="000000" w:themeColor="text1"/>
          <w:sz w:val="24"/>
          <w:szCs w:val="32"/>
          <w14:textFill>
            <w14:solidFill>
              <w14:schemeClr w14:val="tx1"/>
            </w14:solidFill>
          </w14:textFill>
        </w:rPr>
      </w:pPr>
      <w:r>
        <w:rPr>
          <w:rFonts w:ascii="Times New Roman" w:hAnsi="Times New Roman" w:eastAsia="仿宋"/>
          <w:color w:val="000000" w:themeColor="text1"/>
          <w:sz w:val="24"/>
          <w:szCs w:val="32"/>
          <w14:textFill>
            <w14:solidFill>
              <w14:schemeClr w14:val="tx1"/>
            </w14:solidFill>
          </w14:textFill>
        </w:rPr>
        <w:t>*30≤要约回购实施期限天数≤60，单位为自然日。</w:t>
      </w:r>
      <w:r>
        <w:rPr>
          <w:rFonts w:ascii="Times New Roman" w:hAnsi="Times New Roman" w:eastAsia="仿宋"/>
          <w:sz w:val="32"/>
          <w:szCs w:val="32"/>
        </w:rPr>
        <w:br w:type="page"/>
      </w:r>
    </w:p>
    <w:p>
      <w:pPr>
        <w:spacing w:line="580" w:lineRule="exact"/>
        <w:ind w:right="-59"/>
        <w:rPr>
          <w:rFonts w:ascii="Times New Roman" w:hAnsi="Times New Roman" w:eastAsia="黑体"/>
          <w:sz w:val="32"/>
          <w:szCs w:val="32"/>
        </w:rPr>
      </w:pPr>
      <w:r>
        <w:rPr>
          <w:rFonts w:ascii="Times New Roman" w:hAnsi="Times New Roman" w:eastAsia="黑体"/>
          <w:sz w:val="32"/>
          <w:szCs w:val="32"/>
        </w:rPr>
        <w:t>附件4</w:t>
      </w:r>
    </w:p>
    <w:p>
      <w:pPr>
        <w:spacing w:line="620" w:lineRule="exact"/>
        <w:jc w:val="center"/>
        <w:rPr>
          <w:rFonts w:ascii="Times New Roman" w:hAnsi="Times New Roman" w:eastAsia="方正大标宋简体"/>
          <w:color w:val="000000"/>
          <w:sz w:val="44"/>
          <w:szCs w:val="42"/>
        </w:rPr>
      </w:pPr>
    </w:p>
    <w:p>
      <w:pPr>
        <w:spacing w:line="620" w:lineRule="exact"/>
        <w:jc w:val="center"/>
        <w:rPr>
          <w:rFonts w:ascii="Times New Roman" w:hAnsi="Times New Roman" w:eastAsia="方正大标宋简体"/>
          <w:color w:val="000000"/>
          <w:sz w:val="36"/>
          <w:szCs w:val="36"/>
        </w:rPr>
      </w:pPr>
      <w:r>
        <w:rPr>
          <w:rFonts w:hint="eastAsia" w:ascii="Times New Roman" w:hAnsi="Times New Roman" w:eastAsia="方正大标宋简体"/>
          <w:color w:val="000000"/>
          <w:sz w:val="36"/>
          <w:szCs w:val="36"/>
        </w:rPr>
        <w:t>预受要约股份情况公告授权书</w:t>
      </w:r>
    </w:p>
    <w:p>
      <w:pPr>
        <w:spacing w:line="620" w:lineRule="exact"/>
        <w:jc w:val="center"/>
        <w:rPr>
          <w:rFonts w:ascii="Times New Roman" w:hAnsi="Times New Roman" w:eastAsia="方正大标宋简体"/>
          <w:color w:val="000000"/>
          <w:sz w:val="44"/>
          <w:szCs w:val="42"/>
        </w:rPr>
      </w:pPr>
    </w:p>
    <w:p>
      <w:pPr>
        <w:spacing w:line="600" w:lineRule="exact"/>
        <w:rPr>
          <w:rFonts w:ascii="Times New Roman" w:hAnsi="Times New Roman" w:eastAsia="仿宋"/>
          <w:sz w:val="32"/>
          <w:szCs w:val="32"/>
        </w:rPr>
      </w:pPr>
      <w:r>
        <w:rPr>
          <w:rFonts w:hint="eastAsia" w:ascii="Times New Roman" w:hAnsi="Times New Roman" w:eastAsia="仿宋"/>
          <w:sz w:val="32"/>
          <w:szCs w:val="32"/>
        </w:rPr>
        <w:t>北京证券交易所：</w:t>
      </w:r>
    </w:p>
    <w:p>
      <w:pPr>
        <w:spacing w:line="600" w:lineRule="exact"/>
        <w:ind w:firstLine="640" w:firstLineChars="200"/>
        <w:rPr>
          <w:rFonts w:ascii="Times New Roman" w:hAnsi="Times New Roman" w:eastAsia="仿宋"/>
          <w:sz w:val="32"/>
          <w:szCs w:val="32"/>
        </w:rPr>
      </w:pPr>
      <w:r>
        <w:rPr>
          <w:rFonts w:hint="eastAsia" w:ascii="Times New Roman" w:hAnsi="Times New Roman" w:eastAsia="仿宋"/>
          <w:sz w:val="32"/>
          <w:szCs w:val="32"/>
        </w:rPr>
        <w:t>为</w:t>
      </w:r>
      <w:r>
        <w:rPr>
          <w:rFonts w:ascii="Times New Roman" w:hAnsi="Times New Roman" w:eastAsia="仿宋"/>
          <w:sz w:val="32"/>
          <w:szCs w:val="32"/>
        </w:rPr>
        <w:t>履行</w:t>
      </w:r>
      <w:r>
        <w:rPr>
          <w:rFonts w:hint="eastAsia" w:ascii="Times New Roman" w:hAnsi="Times New Roman" w:eastAsia="仿宋"/>
          <w:sz w:val="32"/>
          <w:szCs w:val="32"/>
        </w:rPr>
        <w:t>要约</w:t>
      </w:r>
      <w:r>
        <w:rPr>
          <w:rFonts w:ascii="Times New Roman" w:hAnsi="Times New Roman" w:eastAsia="仿宋"/>
          <w:sz w:val="32"/>
          <w:szCs w:val="32"/>
        </w:rPr>
        <w:t>回购相关业务规则</w:t>
      </w:r>
      <w:r>
        <w:rPr>
          <w:rFonts w:hint="eastAsia" w:ascii="Times New Roman" w:hAnsi="Times New Roman" w:eastAsia="仿宋"/>
          <w:sz w:val="32"/>
          <w:szCs w:val="32"/>
        </w:rPr>
        <w:t>规定</w:t>
      </w:r>
      <w:r>
        <w:rPr>
          <w:rFonts w:ascii="Times New Roman" w:hAnsi="Times New Roman" w:eastAsia="仿宋"/>
          <w:sz w:val="32"/>
          <w:szCs w:val="32"/>
        </w:rPr>
        <w:t>的有关义务</w:t>
      </w:r>
      <w:r>
        <w:rPr>
          <w:rFonts w:hint="eastAsia" w:ascii="Times New Roman" w:hAnsi="Times New Roman" w:eastAsia="仿宋"/>
          <w:sz w:val="32"/>
          <w:szCs w:val="32"/>
        </w:rPr>
        <w:t>，本公司授权贵所在要约回购实施期限内直接根据中国证券登记结算有限责任公司北京分公司提供的有关本公司的预受要约股份情况统计表在贵</w:t>
      </w:r>
      <w:r>
        <w:rPr>
          <w:rFonts w:hint="eastAsia" w:ascii="Times New Roman" w:hAnsi="Times New Roman" w:eastAsia="仿宋"/>
          <w:sz w:val="32"/>
          <w:szCs w:val="32"/>
          <w:lang w:eastAsia="zh-CN"/>
        </w:rPr>
        <w:t>所</w:t>
      </w:r>
      <w:r>
        <w:rPr>
          <w:rFonts w:hint="eastAsia" w:ascii="Times New Roman" w:hAnsi="Times New Roman" w:eastAsia="仿宋"/>
          <w:sz w:val="32"/>
          <w:szCs w:val="32"/>
        </w:rPr>
        <w:t>网站进行公布。</w:t>
      </w:r>
    </w:p>
    <w:p>
      <w:pPr>
        <w:spacing w:line="600" w:lineRule="exact"/>
        <w:ind w:firstLine="640" w:firstLineChars="200"/>
        <w:rPr>
          <w:rFonts w:ascii="Times New Roman" w:hAnsi="Times New Roman" w:eastAsia="仿宋"/>
          <w:sz w:val="32"/>
          <w:szCs w:val="32"/>
        </w:rPr>
      </w:pPr>
    </w:p>
    <w:p>
      <w:pPr>
        <w:spacing w:line="600" w:lineRule="exact"/>
        <w:ind w:firstLine="640" w:firstLineChars="200"/>
        <w:rPr>
          <w:rFonts w:ascii="Times New Roman" w:hAnsi="Times New Roman" w:eastAsia="仿宋"/>
          <w:sz w:val="32"/>
          <w:szCs w:val="32"/>
        </w:rPr>
      </w:pPr>
      <w:r>
        <w:rPr>
          <w:rFonts w:hint="eastAsia" w:ascii="Times New Roman" w:hAnsi="Times New Roman" w:eastAsia="仿宋"/>
          <w:sz w:val="32"/>
          <w:szCs w:val="32"/>
        </w:rPr>
        <w:t>特此授权。</w:t>
      </w:r>
    </w:p>
    <w:p>
      <w:pPr>
        <w:spacing w:line="600" w:lineRule="exact"/>
        <w:ind w:firstLine="640" w:firstLineChars="200"/>
        <w:rPr>
          <w:rFonts w:ascii="Times New Roman" w:hAnsi="Times New Roman" w:eastAsia="仿宋"/>
          <w:sz w:val="32"/>
          <w:szCs w:val="32"/>
        </w:rPr>
      </w:pPr>
    </w:p>
    <w:p>
      <w:pPr>
        <w:spacing w:line="600" w:lineRule="exact"/>
        <w:ind w:firstLine="480" w:firstLineChars="200"/>
        <w:rPr>
          <w:rFonts w:ascii="Times New Roman" w:hAnsi="Times New Roman" w:eastAsia="方正仿宋简体"/>
          <w:color w:val="000000" w:themeColor="text1"/>
          <w:sz w:val="24"/>
          <w:szCs w:val="32"/>
          <w14:textFill>
            <w14:solidFill>
              <w14:schemeClr w14:val="tx1"/>
            </w14:solidFill>
          </w14:textFill>
        </w:rPr>
      </w:pPr>
    </w:p>
    <w:p>
      <w:pPr>
        <w:spacing w:line="600" w:lineRule="exact"/>
        <w:ind w:firstLine="5040" w:firstLineChars="1575"/>
        <w:rPr>
          <w:rFonts w:ascii="Times New Roman" w:hAnsi="Times New Roman" w:eastAsia="仿宋"/>
          <w:color w:val="000000" w:themeColor="text1"/>
          <w:sz w:val="32"/>
          <w:szCs w:val="32"/>
          <w14:textFill>
            <w14:solidFill>
              <w14:schemeClr w14:val="tx1"/>
            </w14:solidFill>
          </w14:textFill>
        </w:rPr>
      </w:pPr>
      <w:r>
        <w:rPr>
          <w:rFonts w:ascii="Times New Roman" w:hAnsi="Times New Roman" w:eastAsia="仿宋"/>
          <w:color w:val="000000" w:themeColor="text1"/>
          <w:sz w:val="32"/>
          <w:szCs w:val="32"/>
          <w14:textFill>
            <w14:solidFill>
              <w14:schemeClr w14:val="tx1"/>
            </w14:solidFill>
          </w14:textFill>
        </w:rPr>
        <w:t>（上市公司盖章）</w:t>
      </w:r>
    </w:p>
    <w:p>
      <w:pPr>
        <w:spacing w:line="600" w:lineRule="exact"/>
        <w:ind w:firstLine="5443" w:firstLineChars="1701"/>
        <w:rPr>
          <w:rFonts w:ascii="Times New Roman" w:hAnsi="Times New Roman" w:eastAsia="仿宋"/>
          <w:color w:val="000000" w:themeColor="text1"/>
          <w:sz w:val="32"/>
          <w:szCs w:val="32"/>
          <w14:textFill>
            <w14:solidFill>
              <w14:schemeClr w14:val="tx1"/>
            </w14:solidFill>
          </w14:textFill>
        </w:rPr>
      </w:pPr>
      <w:r>
        <w:rPr>
          <w:rFonts w:ascii="Times New Roman" w:hAnsi="Times New Roman" w:eastAsia="仿宋"/>
          <w:color w:val="000000" w:themeColor="text1"/>
          <w:sz w:val="32"/>
          <w:szCs w:val="32"/>
          <w14:textFill>
            <w14:solidFill>
              <w14:schemeClr w14:val="tx1"/>
            </w14:solidFill>
          </w14:textFill>
        </w:rPr>
        <w:t>年   月   日</w:t>
      </w:r>
    </w:p>
    <w:p>
      <w:pPr>
        <w:widowControl/>
        <w:jc w:val="left"/>
        <w:rPr>
          <w:rFonts w:ascii="Times New Roman" w:hAnsi="Times New Roman" w:eastAsia="方正仿宋简体"/>
          <w:color w:val="000000" w:themeColor="text1"/>
          <w:sz w:val="24"/>
          <w:szCs w:val="32"/>
          <w14:textFill>
            <w14:solidFill>
              <w14:schemeClr w14:val="tx1"/>
            </w14:solidFill>
          </w14:textFill>
        </w:rPr>
        <w:sectPr>
          <w:pgSz w:w="11906" w:h="16838"/>
          <w:pgMar w:top="1440" w:right="1800" w:bottom="1440" w:left="1800" w:header="851" w:footer="992" w:gutter="0"/>
          <w:pgNumType w:fmt="numberInDash"/>
          <w:cols w:space="425" w:num="1"/>
          <w:docGrid w:type="lines" w:linePitch="312" w:charSpace="0"/>
        </w:sectPr>
      </w:pPr>
      <w:r>
        <w:rPr>
          <w:rFonts w:ascii="Times New Roman" w:hAnsi="Times New Roman" w:eastAsia="方正仿宋简体"/>
          <w:color w:val="000000" w:themeColor="text1"/>
          <w:sz w:val="24"/>
          <w:szCs w:val="32"/>
          <w14:textFill>
            <w14:solidFill>
              <w14:schemeClr w14:val="tx1"/>
            </w14:solidFill>
          </w14:textFill>
        </w:rPr>
        <w:br w:type="page"/>
      </w:r>
    </w:p>
    <w:p>
      <w:pPr>
        <w:spacing w:line="580" w:lineRule="exact"/>
        <w:ind w:right="-59"/>
        <w:rPr>
          <w:rFonts w:ascii="Times New Roman" w:hAnsi="Times New Roman" w:eastAsia="黑体"/>
          <w:sz w:val="32"/>
          <w:szCs w:val="32"/>
        </w:rPr>
      </w:pPr>
      <w:r>
        <w:rPr>
          <w:rFonts w:ascii="Times New Roman" w:hAnsi="Times New Roman" w:eastAsia="黑体"/>
          <w:sz w:val="32"/>
          <w:szCs w:val="32"/>
        </w:rPr>
        <w:t>附件5</w:t>
      </w:r>
    </w:p>
    <w:p>
      <w:pPr>
        <w:jc w:val="center"/>
        <w:rPr>
          <w:rFonts w:ascii="黑体" w:hAnsi="黑体" w:eastAsia="黑体"/>
          <w:b/>
          <w:sz w:val="28"/>
          <w:szCs w:val="28"/>
        </w:rPr>
      </w:pPr>
      <w:r>
        <w:rPr>
          <w:rFonts w:hint="eastAsia" w:ascii="黑体" w:hAnsi="黑体" w:eastAsia="黑体"/>
          <w:b/>
          <w:sz w:val="28"/>
          <w:szCs w:val="28"/>
        </w:rPr>
        <w:t>上市公司预受要约股份情况公告表</w:t>
      </w:r>
    </w:p>
    <w:p>
      <w:pPr>
        <w:spacing w:before="240" w:line="400" w:lineRule="exact"/>
        <w:rPr>
          <w:rFonts w:ascii="Times New Roman" w:hAnsi="Times New Roman" w:eastAsia="仿宋"/>
          <w:color w:val="000000" w:themeColor="text1"/>
          <w:sz w:val="24"/>
          <w:szCs w:val="24"/>
          <w14:textFill>
            <w14:solidFill>
              <w14:schemeClr w14:val="tx1"/>
            </w14:solidFill>
          </w14:textFill>
        </w:rPr>
      </w:pPr>
      <w:r>
        <w:rPr>
          <w:rFonts w:ascii="Times New Roman" w:hAnsi="Times New Roman" w:eastAsia="仿宋"/>
          <w:color w:val="000000" w:themeColor="text1"/>
          <w:sz w:val="24"/>
          <w:szCs w:val="24"/>
          <w14:textFill>
            <w14:solidFill>
              <w14:schemeClr w14:val="tx1"/>
            </w14:solidFill>
          </w14:textFill>
        </w:rPr>
        <w:t xml:space="preserve">上市公司名称: </w:t>
      </w:r>
    </w:p>
    <w:p>
      <w:pPr>
        <w:spacing w:line="400" w:lineRule="exact"/>
        <w:rPr>
          <w:rFonts w:ascii="Times New Roman" w:hAnsi="Times New Roman" w:eastAsia="仿宋"/>
          <w:color w:val="000000" w:themeColor="text1"/>
          <w:sz w:val="24"/>
          <w:szCs w:val="24"/>
          <w14:textFill>
            <w14:solidFill>
              <w14:schemeClr w14:val="tx1"/>
            </w14:solidFill>
          </w14:textFill>
        </w:rPr>
      </w:pPr>
      <w:r>
        <w:rPr>
          <w:rFonts w:ascii="Times New Roman" w:hAnsi="Times New Roman" w:eastAsia="仿宋"/>
          <w:color w:val="000000" w:themeColor="text1"/>
          <w:sz w:val="24"/>
          <w:szCs w:val="24"/>
          <w14:textFill>
            <w14:solidFill>
              <w14:schemeClr w14:val="tx1"/>
            </w14:solidFill>
          </w14:textFill>
        </w:rPr>
        <w:t>要约回购证券代码：                                                                                  单位：股，户</w:t>
      </w:r>
    </w:p>
    <w:tbl>
      <w:tblPr>
        <w:tblStyle w:val="9"/>
        <w:tblW w:w="1394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72"/>
        <w:gridCol w:w="1276"/>
        <w:gridCol w:w="2692"/>
        <w:gridCol w:w="851"/>
        <w:gridCol w:w="850"/>
        <w:gridCol w:w="851"/>
        <w:gridCol w:w="992"/>
        <w:gridCol w:w="992"/>
        <w:gridCol w:w="992"/>
        <w:gridCol w:w="318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0" w:hRule="atLeast"/>
        </w:trPr>
        <w:tc>
          <w:tcPr>
            <w:tcW w:w="1272" w:type="dxa"/>
            <w:vMerge w:val="restart"/>
            <w:vAlign w:val="center"/>
          </w:tcPr>
          <w:p>
            <w:pPr>
              <w:spacing w:line="440" w:lineRule="exact"/>
              <w:jc w:val="center"/>
              <w:rPr>
                <w:rFonts w:ascii="Times New Roman" w:hAnsi="Times New Roman" w:eastAsia="仿宋"/>
                <w:color w:val="000000" w:themeColor="text1"/>
                <w:sz w:val="24"/>
                <w:szCs w:val="24"/>
                <w14:textFill>
                  <w14:solidFill>
                    <w14:schemeClr w14:val="tx1"/>
                  </w14:solidFill>
                </w14:textFill>
              </w:rPr>
            </w:pPr>
            <w:r>
              <w:rPr>
                <w:rFonts w:ascii="Times New Roman" w:hAnsi="Times New Roman" w:eastAsia="仿宋"/>
                <w:color w:val="000000" w:themeColor="text1"/>
                <w:sz w:val="24"/>
                <w:szCs w:val="24"/>
                <w14:textFill>
                  <w14:solidFill>
                    <w14:schemeClr w14:val="tx1"/>
                  </w14:solidFill>
                </w14:textFill>
              </w:rPr>
              <w:t>预受日期</w:t>
            </w:r>
          </w:p>
        </w:tc>
        <w:tc>
          <w:tcPr>
            <w:tcW w:w="1276" w:type="dxa"/>
            <w:vMerge w:val="restart"/>
            <w:vAlign w:val="center"/>
          </w:tcPr>
          <w:p>
            <w:pPr>
              <w:spacing w:line="440" w:lineRule="exact"/>
              <w:jc w:val="center"/>
              <w:rPr>
                <w:rFonts w:ascii="Times New Roman" w:hAnsi="Times New Roman" w:eastAsia="仿宋"/>
                <w:color w:val="000000" w:themeColor="text1"/>
                <w:sz w:val="24"/>
                <w:szCs w:val="24"/>
                <w14:textFill>
                  <w14:solidFill>
                    <w14:schemeClr w14:val="tx1"/>
                  </w14:solidFill>
                </w14:textFill>
              </w:rPr>
            </w:pPr>
            <w:r>
              <w:rPr>
                <w:rFonts w:ascii="Times New Roman" w:hAnsi="Times New Roman" w:eastAsia="仿宋"/>
                <w:color w:val="000000" w:themeColor="text1"/>
                <w:sz w:val="24"/>
                <w:szCs w:val="24"/>
                <w14:textFill>
                  <w14:solidFill>
                    <w14:schemeClr w14:val="tx1"/>
                  </w14:solidFill>
                </w14:textFill>
              </w:rPr>
              <w:t>证券代码</w:t>
            </w:r>
          </w:p>
        </w:tc>
        <w:tc>
          <w:tcPr>
            <w:tcW w:w="2692" w:type="dxa"/>
            <w:vMerge w:val="restart"/>
            <w:vAlign w:val="center"/>
          </w:tcPr>
          <w:p>
            <w:pPr>
              <w:spacing w:line="440" w:lineRule="exact"/>
              <w:jc w:val="center"/>
              <w:rPr>
                <w:rFonts w:ascii="Times New Roman" w:hAnsi="Times New Roman" w:eastAsia="仿宋"/>
                <w:color w:val="000000" w:themeColor="text1"/>
                <w:sz w:val="24"/>
                <w:szCs w:val="24"/>
                <w14:textFill>
                  <w14:solidFill>
                    <w14:schemeClr w14:val="tx1"/>
                  </w14:solidFill>
                </w14:textFill>
              </w:rPr>
            </w:pPr>
            <w:r>
              <w:rPr>
                <w:rFonts w:ascii="Times New Roman" w:hAnsi="Times New Roman" w:eastAsia="仿宋"/>
                <w:color w:val="000000" w:themeColor="text1"/>
                <w:sz w:val="24"/>
                <w:szCs w:val="24"/>
                <w14:textFill>
                  <w14:solidFill>
                    <w14:schemeClr w14:val="tx1"/>
                  </w14:solidFill>
                </w14:textFill>
              </w:rPr>
              <w:t>股份类别</w:t>
            </w:r>
          </w:p>
        </w:tc>
        <w:tc>
          <w:tcPr>
            <w:tcW w:w="1701" w:type="dxa"/>
            <w:gridSpan w:val="2"/>
            <w:vAlign w:val="center"/>
          </w:tcPr>
          <w:p>
            <w:pPr>
              <w:spacing w:line="440" w:lineRule="exact"/>
              <w:jc w:val="center"/>
              <w:rPr>
                <w:rFonts w:ascii="Times New Roman" w:hAnsi="Times New Roman" w:eastAsia="仿宋"/>
                <w:color w:val="000000" w:themeColor="text1"/>
                <w:sz w:val="24"/>
                <w:szCs w:val="24"/>
                <w14:textFill>
                  <w14:solidFill>
                    <w14:schemeClr w14:val="tx1"/>
                  </w14:solidFill>
                </w14:textFill>
              </w:rPr>
            </w:pPr>
            <w:r>
              <w:rPr>
                <w:rFonts w:ascii="Times New Roman" w:hAnsi="Times New Roman" w:eastAsia="仿宋"/>
                <w:color w:val="000000" w:themeColor="text1"/>
                <w:sz w:val="24"/>
                <w:szCs w:val="24"/>
                <w14:textFill>
                  <w14:solidFill>
                    <w14:schemeClr w14:val="tx1"/>
                  </w14:solidFill>
                </w14:textFill>
              </w:rPr>
              <w:t>当天预受要约</w:t>
            </w:r>
          </w:p>
        </w:tc>
        <w:tc>
          <w:tcPr>
            <w:tcW w:w="1843" w:type="dxa"/>
            <w:gridSpan w:val="2"/>
            <w:vAlign w:val="center"/>
          </w:tcPr>
          <w:p>
            <w:pPr>
              <w:spacing w:line="440" w:lineRule="exact"/>
              <w:jc w:val="center"/>
              <w:rPr>
                <w:rFonts w:ascii="Times New Roman" w:hAnsi="Times New Roman" w:eastAsia="仿宋"/>
                <w:color w:val="000000" w:themeColor="text1"/>
                <w:sz w:val="24"/>
                <w:szCs w:val="24"/>
                <w14:textFill>
                  <w14:solidFill>
                    <w14:schemeClr w14:val="tx1"/>
                  </w14:solidFill>
                </w14:textFill>
              </w:rPr>
            </w:pPr>
            <w:r>
              <w:rPr>
                <w:rFonts w:ascii="Times New Roman" w:hAnsi="Times New Roman" w:eastAsia="仿宋"/>
                <w:color w:val="000000" w:themeColor="text1"/>
                <w:sz w:val="24"/>
                <w:szCs w:val="24"/>
                <w14:textFill>
                  <w14:solidFill>
                    <w14:schemeClr w14:val="tx1"/>
                  </w14:solidFill>
                </w14:textFill>
              </w:rPr>
              <w:t>当天撤回预受</w:t>
            </w:r>
          </w:p>
        </w:tc>
        <w:tc>
          <w:tcPr>
            <w:tcW w:w="1984" w:type="dxa"/>
            <w:gridSpan w:val="2"/>
            <w:vAlign w:val="center"/>
          </w:tcPr>
          <w:p>
            <w:pPr>
              <w:spacing w:line="440" w:lineRule="exact"/>
              <w:jc w:val="center"/>
              <w:rPr>
                <w:rFonts w:ascii="Times New Roman" w:hAnsi="Times New Roman" w:eastAsia="仿宋"/>
                <w:color w:val="000000" w:themeColor="text1"/>
                <w:sz w:val="24"/>
                <w:szCs w:val="24"/>
                <w14:textFill>
                  <w14:solidFill>
                    <w14:schemeClr w14:val="tx1"/>
                  </w14:solidFill>
                </w14:textFill>
              </w:rPr>
            </w:pPr>
            <w:r>
              <w:rPr>
                <w:rFonts w:ascii="Times New Roman" w:hAnsi="Times New Roman" w:eastAsia="仿宋"/>
                <w:color w:val="000000" w:themeColor="text1"/>
                <w:sz w:val="24"/>
                <w:szCs w:val="24"/>
                <w14:textFill>
                  <w14:solidFill>
                    <w14:schemeClr w14:val="tx1"/>
                  </w14:solidFill>
                </w14:textFill>
              </w:rPr>
              <w:t>截至当天净预受</w:t>
            </w:r>
          </w:p>
        </w:tc>
        <w:tc>
          <w:tcPr>
            <w:tcW w:w="3180" w:type="dxa"/>
            <w:vMerge w:val="restart"/>
            <w:vAlign w:val="center"/>
          </w:tcPr>
          <w:p>
            <w:pPr>
              <w:spacing w:line="440" w:lineRule="exact"/>
              <w:jc w:val="center"/>
              <w:rPr>
                <w:rFonts w:ascii="Times New Roman" w:hAnsi="Times New Roman" w:eastAsia="仿宋"/>
                <w:color w:val="000000" w:themeColor="text1"/>
                <w:sz w:val="24"/>
                <w:szCs w:val="24"/>
                <w14:textFill>
                  <w14:solidFill>
                    <w14:schemeClr w14:val="tx1"/>
                  </w14:solidFill>
                </w14:textFill>
              </w:rPr>
            </w:pPr>
            <w:r>
              <w:rPr>
                <w:rFonts w:ascii="Times New Roman" w:hAnsi="Times New Roman" w:eastAsia="仿宋"/>
                <w:color w:val="000000" w:themeColor="text1"/>
                <w:sz w:val="24"/>
                <w:szCs w:val="24"/>
                <w14:textFill>
                  <w14:solidFill>
                    <w14:schemeClr w14:val="tx1"/>
                  </w14:solidFill>
                </w14:textFill>
              </w:rPr>
              <w:t>净预受股份比例</w:t>
            </w:r>
          </w:p>
          <w:p>
            <w:pPr>
              <w:spacing w:line="440" w:lineRule="exact"/>
              <w:jc w:val="center"/>
              <w:rPr>
                <w:rFonts w:ascii="Times New Roman" w:hAnsi="Times New Roman" w:eastAsia="仿宋"/>
                <w:color w:val="000000" w:themeColor="text1"/>
                <w:sz w:val="24"/>
                <w:szCs w:val="24"/>
                <w14:textFill>
                  <w14:solidFill>
                    <w14:schemeClr w14:val="tx1"/>
                  </w14:solidFill>
                </w14:textFill>
              </w:rPr>
            </w:pPr>
            <w:r>
              <w:rPr>
                <w:rFonts w:ascii="Times New Roman" w:hAnsi="Times New Roman" w:eastAsia="仿宋"/>
                <w:color w:val="000000" w:themeColor="text1"/>
                <w:sz w:val="24"/>
                <w:szCs w:val="24"/>
                <w14:textFill>
                  <w14:solidFill>
                    <w14:schemeClr w14:val="tx1"/>
                  </w14:solidFill>
                </w14:textFill>
              </w:rPr>
              <w:t>（净预受股份/拟回购股份）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2" w:type="dxa"/>
            <w:vMerge w:val="continue"/>
          </w:tcPr>
          <w:p>
            <w:pPr>
              <w:spacing w:line="440" w:lineRule="exact"/>
              <w:rPr>
                <w:rFonts w:ascii="Times New Roman" w:hAnsi="Times New Roman" w:eastAsia="仿宋"/>
                <w:color w:val="000000" w:themeColor="text1"/>
                <w:sz w:val="24"/>
                <w:szCs w:val="24"/>
                <w14:textFill>
                  <w14:solidFill>
                    <w14:schemeClr w14:val="tx1"/>
                  </w14:solidFill>
                </w14:textFill>
              </w:rPr>
            </w:pPr>
          </w:p>
        </w:tc>
        <w:tc>
          <w:tcPr>
            <w:tcW w:w="1276" w:type="dxa"/>
            <w:vMerge w:val="continue"/>
          </w:tcPr>
          <w:p>
            <w:pPr>
              <w:spacing w:line="440" w:lineRule="exact"/>
              <w:rPr>
                <w:rFonts w:ascii="Times New Roman" w:hAnsi="Times New Roman" w:eastAsia="仿宋"/>
                <w:color w:val="000000" w:themeColor="text1"/>
                <w:sz w:val="24"/>
                <w:szCs w:val="24"/>
                <w14:textFill>
                  <w14:solidFill>
                    <w14:schemeClr w14:val="tx1"/>
                  </w14:solidFill>
                </w14:textFill>
              </w:rPr>
            </w:pPr>
          </w:p>
        </w:tc>
        <w:tc>
          <w:tcPr>
            <w:tcW w:w="2692" w:type="dxa"/>
            <w:vMerge w:val="continue"/>
          </w:tcPr>
          <w:p>
            <w:pPr>
              <w:spacing w:line="440" w:lineRule="exact"/>
              <w:rPr>
                <w:rFonts w:ascii="Times New Roman" w:hAnsi="Times New Roman" w:eastAsia="仿宋"/>
                <w:color w:val="000000" w:themeColor="text1"/>
                <w:sz w:val="24"/>
                <w:szCs w:val="24"/>
                <w14:textFill>
                  <w14:solidFill>
                    <w14:schemeClr w14:val="tx1"/>
                  </w14:solidFill>
                </w14:textFill>
              </w:rPr>
            </w:pPr>
          </w:p>
        </w:tc>
        <w:tc>
          <w:tcPr>
            <w:tcW w:w="851" w:type="dxa"/>
          </w:tcPr>
          <w:p>
            <w:pPr>
              <w:spacing w:line="440" w:lineRule="exact"/>
              <w:jc w:val="center"/>
              <w:rPr>
                <w:rFonts w:ascii="Times New Roman" w:hAnsi="Times New Roman" w:eastAsia="仿宋"/>
                <w:color w:val="000000" w:themeColor="text1"/>
                <w:sz w:val="24"/>
                <w:szCs w:val="24"/>
                <w14:textFill>
                  <w14:solidFill>
                    <w14:schemeClr w14:val="tx1"/>
                  </w14:solidFill>
                </w14:textFill>
              </w:rPr>
            </w:pPr>
            <w:r>
              <w:rPr>
                <w:rFonts w:ascii="Times New Roman" w:hAnsi="Times New Roman" w:eastAsia="仿宋"/>
                <w:color w:val="000000" w:themeColor="text1"/>
                <w:sz w:val="24"/>
                <w:szCs w:val="24"/>
                <w14:textFill>
                  <w14:solidFill>
                    <w14:schemeClr w14:val="tx1"/>
                  </w14:solidFill>
                </w14:textFill>
              </w:rPr>
              <w:t>户数</w:t>
            </w:r>
          </w:p>
        </w:tc>
        <w:tc>
          <w:tcPr>
            <w:tcW w:w="850" w:type="dxa"/>
          </w:tcPr>
          <w:p>
            <w:pPr>
              <w:spacing w:line="440" w:lineRule="exact"/>
              <w:jc w:val="center"/>
              <w:rPr>
                <w:rFonts w:ascii="Times New Roman" w:hAnsi="Times New Roman" w:eastAsia="仿宋"/>
                <w:color w:val="000000" w:themeColor="text1"/>
                <w:sz w:val="24"/>
                <w:szCs w:val="24"/>
                <w14:textFill>
                  <w14:solidFill>
                    <w14:schemeClr w14:val="tx1"/>
                  </w14:solidFill>
                </w14:textFill>
              </w:rPr>
            </w:pPr>
            <w:r>
              <w:rPr>
                <w:rFonts w:ascii="Times New Roman" w:hAnsi="Times New Roman" w:eastAsia="仿宋"/>
                <w:color w:val="000000" w:themeColor="text1"/>
                <w:sz w:val="24"/>
                <w:szCs w:val="24"/>
                <w14:textFill>
                  <w14:solidFill>
                    <w14:schemeClr w14:val="tx1"/>
                  </w14:solidFill>
                </w14:textFill>
              </w:rPr>
              <w:t>股数</w:t>
            </w:r>
          </w:p>
        </w:tc>
        <w:tc>
          <w:tcPr>
            <w:tcW w:w="851" w:type="dxa"/>
          </w:tcPr>
          <w:p>
            <w:pPr>
              <w:spacing w:line="440" w:lineRule="exact"/>
              <w:jc w:val="center"/>
              <w:rPr>
                <w:rFonts w:ascii="Times New Roman" w:hAnsi="Times New Roman" w:eastAsia="仿宋"/>
                <w:color w:val="000000" w:themeColor="text1"/>
                <w:sz w:val="24"/>
                <w:szCs w:val="24"/>
                <w14:textFill>
                  <w14:solidFill>
                    <w14:schemeClr w14:val="tx1"/>
                  </w14:solidFill>
                </w14:textFill>
              </w:rPr>
            </w:pPr>
            <w:r>
              <w:rPr>
                <w:rFonts w:ascii="Times New Roman" w:hAnsi="Times New Roman" w:eastAsia="仿宋"/>
                <w:color w:val="000000" w:themeColor="text1"/>
                <w:sz w:val="24"/>
                <w:szCs w:val="24"/>
                <w14:textFill>
                  <w14:solidFill>
                    <w14:schemeClr w14:val="tx1"/>
                  </w14:solidFill>
                </w14:textFill>
              </w:rPr>
              <w:t>户数</w:t>
            </w:r>
          </w:p>
        </w:tc>
        <w:tc>
          <w:tcPr>
            <w:tcW w:w="992" w:type="dxa"/>
          </w:tcPr>
          <w:p>
            <w:pPr>
              <w:spacing w:line="440" w:lineRule="exact"/>
              <w:jc w:val="center"/>
              <w:rPr>
                <w:rFonts w:ascii="Times New Roman" w:hAnsi="Times New Roman" w:eastAsia="仿宋"/>
                <w:color w:val="000000" w:themeColor="text1"/>
                <w:sz w:val="24"/>
                <w:szCs w:val="24"/>
                <w14:textFill>
                  <w14:solidFill>
                    <w14:schemeClr w14:val="tx1"/>
                  </w14:solidFill>
                </w14:textFill>
              </w:rPr>
            </w:pPr>
            <w:r>
              <w:rPr>
                <w:rFonts w:ascii="Times New Roman" w:hAnsi="Times New Roman" w:eastAsia="仿宋"/>
                <w:color w:val="000000" w:themeColor="text1"/>
                <w:sz w:val="24"/>
                <w:szCs w:val="24"/>
                <w14:textFill>
                  <w14:solidFill>
                    <w14:schemeClr w14:val="tx1"/>
                  </w14:solidFill>
                </w14:textFill>
              </w:rPr>
              <w:t>股数</w:t>
            </w:r>
          </w:p>
        </w:tc>
        <w:tc>
          <w:tcPr>
            <w:tcW w:w="992" w:type="dxa"/>
          </w:tcPr>
          <w:p>
            <w:pPr>
              <w:spacing w:line="440" w:lineRule="exact"/>
              <w:jc w:val="center"/>
              <w:rPr>
                <w:rFonts w:ascii="Times New Roman" w:hAnsi="Times New Roman" w:eastAsia="仿宋"/>
                <w:color w:val="000000" w:themeColor="text1"/>
                <w:sz w:val="24"/>
                <w:szCs w:val="24"/>
                <w14:textFill>
                  <w14:solidFill>
                    <w14:schemeClr w14:val="tx1"/>
                  </w14:solidFill>
                </w14:textFill>
              </w:rPr>
            </w:pPr>
            <w:r>
              <w:rPr>
                <w:rFonts w:ascii="Times New Roman" w:hAnsi="Times New Roman" w:eastAsia="仿宋"/>
                <w:color w:val="000000" w:themeColor="text1"/>
                <w:sz w:val="24"/>
                <w:szCs w:val="24"/>
                <w14:textFill>
                  <w14:solidFill>
                    <w14:schemeClr w14:val="tx1"/>
                  </w14:solidFill>
                </w14:textFill>
              </w:rPr>
              <w:t>户数</w:t>
            </w:r>
          </w:p>
        </w:tc>
        <w:tc>
          <w:tcPr>
            <w:tcW w:w="992" w:type="dxa"/>
          </w:tcPr>
          <w:p>
            <w:pPr>
              <w:spacing w:line="440" w:lineRule="exact"/>
              <w:jc w:val="center"/>
              <w:rPr>
                <w:rFonts w:ascii="Times New Roman" w:hAnsi="Times New Roman" w:eastAsia="仿宋"/>
                <w:color w:val="000000" w:themeColor="text1"/>
                <w:sz w:val="24"/>
                <w:szCs w:val="24"/>
                <w14:textFill>
                  <w14:solidFill>
                    <w14:schemeClr w14:val="tx1"/>
                  </w14:solidFill>
                </w14:textFill>
              </w:rPr>
            </w:pPr>
            <w:r>
              <w:rPr>
                <w:rFonts w:ascii="Times New Roman" w:hAnsi="Times New Roman" w:eastAsia="仿宋"/>
                <w:color w:val="000000" w:themeColor="text1"/>
                <w:sz w:val="24"/>
                <w:szCs w:val="24"/>
                <w14:textFill>
                  <w14:solidFill>
                    <w14:schemeClr w14:val="tx1"/>
                  </w14:solidFill>
                </w14:textFill>
              </w:rPr>
              <w:t>股数</w:t>
            </w:r>
          </w:p>
        </w:tc>
        <w:tc>
          <w:tcPr>
            <w:tcW w:w="3180" w:type="dxa"/>
            <w:vMerge w:val="continue"/>
          </w:tcPr>
          <w:p>
            <w:pPr>
              <w:spacing w:line="440" w:lineRule="exact"/>
              <w:rPr>
                <w:rFonts w:ascii="Times New Roman" w:hAnsi="Times New Roman" w:eastAsia="仿宋"/>
                <w:color w:val="000000" w:themeColor="text1"/>
                <w:sz w:val="24"/>
                <w:szCs w:val="24"/>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2" w:type="dxa"/>
          </w:tcPr>
          <w:p>
            <w:pPr>
              <w:spacing w:line="440" w:lineRule="exact"/>
              <w:rPr>
                <w:rFonts w:ascii="Times New Roman" w:hAnsi="Times New Roman" w:eastAsia="仿宋"/>
                <w:color w:val="000000" w:themeColor="text1"/>
                <w:sz w:val="24"/>
                <w:szCs w:val="24"/>
                <w14:textFill>
                  <w14:solidFill>
                    <w14:schemeClr w14:val="tx1"/>
                  </w14:solidFill>
                </w14:textFill>
              </w:rPr>
            </w:pPr>
          </w:p>
        </w:tc>
        <w:tc>
          <w:tcPr>
            <w:tcW w:w="1276" w:type="dxa"/>
          </w:tcPr>
          <w:p>
            <w:pPr>
              <w:spacing w:line="440" w:lineRule="exact"/>
              <w:rPr>
                <w:rFonts w:ascii="Times New Roman" w:hAnsi="Times New Roman" w:eastAsia="仿宋"/>
                <w:color w:val="000000" w:themeColor="text1"/>
                <w:sz w:val="24"/>
                <w:szCs w:val="24"/>
                <w14:textFill>
                  <w14:solidFill>
                    <w14:schemeClr w14:val="tx1"/>
                  </w14:solidFill>
                </w14:textFill>
              </w:rPr>
            </w:pPr>
          </w:p>
        </w:tc>
        <w:tc>
          <w:tcPr>
            <w:tcW w:w="2692" w:type="dxa"/>
          </w:tcPr>
          <w:p>
            <w:pPr>
              <w:spacing w:line="440" w:lineRule="exact"/>
              <w:jc w:val="center"/>
              <w:rPr>
                <w:rFonts w:ascii="Times New Roman" w:hAnsi="Times New Roman" w:eastAsia="仿宋"/>
                <w:color w:val="000000" w:themeColor="text1"/>
                <w:sz w:val="24"/>
                <w:szCs w:val="24"/>
                <w14:textFill>
                  <w14:solidFill>
                    <w14:schemeClr w14:val="tx1"/>
                  </w14:solidFill>
                </w14:textFill>
              </w:rPr>
            </w:pPr>
            <w:r>
              <w:rPr>
                <w:rFonts w:ascii="Times New Roman" w:hAnsi="Times New Roman" w:eastAsia="仿宋"/>
                <w:color w:val="000000" w:themeColor="text1"/>
                <w:sz w:val="24"/>
                <w:szCs w:val="24"/>
                <w14:textFill>
                  <w14:solidFill>
                    <w14:schemeClr w14:val="tx1"/>
                  </w14:solidFill>
                </w14:textFill>
              </w:rPr>
              <w:t>无限售条件</w:t>
            </w:r>
          </w:p>
        </w:tc>
        <w:tc>
          <w:tcPr>
            <w:tcW w:w="851" w:type="dxa"/>
          </w:tcPr>
          <w:p>
            <w:pPr>
              <w:spacing w:line="440" w:lineRule="exact"/>
              <w:rPr>
                <w:rFonts w:ascii="Times New Roman" w:hAnsi="Times New Roman" w:eastAsia="仿宋"/>
                <w:color w:val="000000" w:themeColor="text1"/>
                <w:sz w:val="24"/>
                <w:szCs w:val="24"/>
                <w14:textFill>
                  <w14:solidFill>
                    <w14:schemeClr w14:val="tx1"/>
                  </w14:solidFill>
                </w14:textFill>
              </w:rPr>
            </w:pPr>
          </w:p>
        </w:tc>
        <w:tc>
          <w:tcPr>
            <w:tcW w:w="850" w:type="dxa"/>
          </w:tcPr>
          <w:p>
            <w:pPr>
              <w:spacing w:line="440" w:lineRule="exact"/>
              <w:rPr>
                <w:rFonts w:ascii="Times New Roman" w:hAnsi="Times New Roman" w:eastAsia="仿宋"/>
                <w:color w:val="000000" w:themeColor="text1"/>
                <w:sz w:val="24"/>
                <w:szCs w:val="24"/>
                <w14:textFill>
                  <w14:solidFill>
                    <w14:schemeClr w14:val="tx1"/>
                  </w14:solidFill>
                </w14:textFill>
              </w:rPr>
            </w:pPr>
          </w:p>
        </w:tc>
        <w:tc>
          <w:tcPr>
            <w:tcW w:w="851" w:type="dxa"/>
          </w:tcPr>
          <w:p>
            <w:pPr>
              <w:spacing w:line="440" w:lineRule="exact"/>
              <w:rPr>
                <w:rFonts w:ascii="Times New Roman" w:hAnsi="Times New Roman" w:eastAsia="仿宋"/>
                <w:color w:val="000000" w:themeColor="text1"/>
                <w:sz w:val="24"/>
                <w:szCs w:val="24"/>
                <w14:textFill>
                  <w14:solidFill>
                    <w14:schemeClr w14:val="tx1"/>
                  </w14:solidFill>
                </w14:textFill>
              </w:rPr>
            </w:pPr>
          </w:p>
        </w:tc>
        <w:tc>
          <w:tcPr>
            <w:tcW w:w="992" w:type="dxa"/>
          </w:tcPr>
          <w:p>
            <w:pPr>
              <w:spacing w:line="440" w:lineRule="exact"/>
              <w:rPr>
                <w:rFonts w:ascii="Times New Roman" w:hAnsi="Times New Roman" w:eastAsia="仿宋"/>
                <w:color w:val="000000" w:themeColor="text1"/>
                <w:sz w:val="24"/>
                <w:szCs w:val="24"/>
                <w14:textFill>
                  <w14:solidFill>
                    <w14:schemeClr w14:val="tx1"/>
                  </w14:solidFill>
                </w14:textFill>
              </w:rPr>
            </w:pPr>
          </w:p>
        </w:tc>
        <w:tc>
          <w:tcPr>
            <w:tcW w:w="992" w:type="dxa"/>
          </w:tcPr>
          <w:p>
            <w:pPr>
              <w:spacing w:line="440" w:lineRule="exact"/>
              <w:rPr>
                <w:rFonts w:ascii="Times New Roman" w:hAnsi="Times New Roman" w:eastAsia="仿宋"/>
                <w:color w:val="000000" w:themeColor="text1"/>
                <w:sz w:val="24"/>
                <w:szCs w:val="24"/>
                <w14:textFill>
                  <w14:solidFill>
                    <w14:schemeClr w14:val="tx1"/>
                  </w14:solidFill>
                </w14:textFill>
              </w:rPr>
            </w:pPr>
          </w:p>
        </w:tc>
        <w:tc>
          <w:tcPr>
            <w:tcW w:w="992" w:type="dxa"/>
          </w:tcPr>
          <w:p>
            <w:pPr>
              <w:spacing w:line="440" w:lineRule="exact"/>
              <w:rPr>
                <w:rFonts w:ascii="Times New Roman" w:hAnsi="Times New Roman" w:eastAsia="仿宋"/>
                <w:color w:val="000000" w:themeColor="text1"/>
                <w:sz w:val="24"/>
                <w:szCs w:val="24"/>
                <w14:textFill>
                  <w14:solidFill>
                    <w14:schemeClr w14:val="tx1"/>
                  </w14:solidFill>
                </w14:textFill>
              </w:rPr>
            </w:pPr>
          </w:p>
        </w:tc>
        <w:tc>
          <w:tcPr>
            <w:tcW w:w="3180" w:type="dxa"/>
          </w:tcPr>
          <w:p>
            <w:pPr>
              <w:spacing w:line="440" w:lineRule="exact"/>
              <w:rPr>
                <w:rFonts w:ascii="Times New Roman" w:hAnsi="Times New Roman" w:eastAsia="仿宋"/>
                <w:color w:val="000000" w:themeColor="text1"/>
                <w:sz w:val="24"/>
                <w:szCs w:val="24"/>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2" w:type="dxa"/>
          </w:tcPr>
          <w:p>
            <w:pPr>
              <w:spacing w:line="440" w:lineRule="exact"/>
              <w:rPr>
                <w:rFonts w:ascii="Times New Roman" w:hAnsi="Times New Roman" w:eastAsia="仿宋"/>
                <w:color w:val="000000" w:themeColor="text1"/>
                <w:sz w:val="24"/>
                <w:szCs w:val="24"/>
                <w14:textFill>
                  <w14:solidFill>
                    <w14:schemeClr w14:val="tx1"/>
                  </w14:solidFill>
                </w14:textFill>
              </w:rPr>
            </w:pPr>
          </w:p>
        </w:tc>
        <w:tc>
          <w:tcPr>
            <w:tcW w:w="1276" w:type="dxa"/>
          </w:tcPr>
          <w:p>
            <w:pPr>
              <w:spacing w:line="440" w:lineRule="exact"/>
              <w:rPr>
                <w:rFonts w:ascii="Times New Roman" w:hAnsi="Times New Roman" w:eastAsia="仿宋"/>
                <w:color w:val="000000" w:themeColor="text1"/>
                <w:sz w:val="24"/>
                <w:szCs w:val="24"/>
                <w14:textFill>
                  <w14:solidFill>
                    <w14:schemeClr w14:val="tx1"/>
                  </w14:solidFill>
                </w14:textFill>
              </w:rPr>
            </w:pPr>
          </w:p>
        </w:tc>
        <w:tc>
          <w:tcPr>
            <w:tcW w:w="2692" w:type="dxa"/>
          </w:tcPr>
          <w:p>
            <w:pPr>
              <w:spacing w:line="440" w:lineRule="exact"/>
              <w:rPr>
                <w:rFonts w:ascii="Times New Roman" w:hAnsi="Times New Roman" w:eastAsia="仿宋"/>
                <w:color w:val="000000" w:themeColor="text1"/>
                <w:sz w:val="24"/>
                <w:szCs w:val="24"/>
                <w14:textFill>
                  <w14:solidFill>
                    <w14:schemeClr w14:val="tx1"/>
                  </w14:solidFill>
                </w14:textFill>
              </w:rPr>
            </w:pPr>
          </w:p>
        </w:tc>
        <w:tc>
          <w:tcPr>
            <w:tcW w:w="851" w:type="dxa"/>
          </w:tcPr>
          <w:p>
            <w:pPr>
              <w:spacing w:line="440" w:lineRule="exact"/>
              <w:rPr>
                <w:rFonts w:ascii="Times New Roman" w:hAnsi="Times New Roman" w:eastAsia="仿宋"/>
                <w:color w:val="000000" w:themeColor="text1"/>
                <w:sz w:val="24"/>
                <w:szCs w:val="24"/>
                <w14:textFill>
                  <w14:solidFill>
                    <w14:schemeClr w14:val="tx1"/>
                  </w14:solidFill>
                </w14:textFill>
              </w:rPr>
            </w:pPr>
          </w:p>
        </w:tc>
        <w:tc>
          <w:tcPr>
            <w:tcW w:w="850" w:type="dxa"/>
          </w:tcPr>
          <w:p>
            <w:pPr>
              <w:spacing w:line="440" w:lineRule="exact"/>
              <w:rPr>
                <w:rFonts w:ascii="Times New Roman" w:hAnsi="Times New Roman" w:eastAsia="仿宋"/>
                <w:color w:val="000000" w:themeColor="text1"/>
                <w:sz w:val="24"/>
                <w:szCs w:val="24"/>
                <w14:textFill>
                  <w14:solidFill>
                    <w14:schemeClr w14:val="tx1"/>
                  </w14:solidFill>
                </w14:textFill>
              </w:rPr>
            </w:pPr>
          </w:p>
        </w:tc>
        <w:tc>
          <w:tcPr>
            <w:tcW w:w="851" w:type="dxa"/>
          </w:tcPr>
          <w:p>
            <w:pPr>
              <w:spacing w:line="440" w:lineRule="exact"/>
              <w:rPr>
                <w:rFonts w:ascii="Times New Roman" w:hAnsi="Times New Roman" w:eastAsia="仿宋"/>
                <w:color w:val="000000" w:themeColor="text1"/>
                <w:sz w:val="24"/>
                <w:szCs w:val="24"/>
                <w14:textFill>
                  <w14:solidFill>
                    <w14:schemeClr w14:val="tx1"/>
                  </w14:solidFill>
                </w14:textFill>
              </w:rPr>
            </w:pPr>
          </w:p>
        </w:tc>
        <w:tc>
          <w:tcPr>
            <w:tcW w:w="992" w:type="dxa"/>
          </w:tcPr>
          <w:p>
            <w:pPr>
              <w:spacing w:line="440" w:lineRule="exact"/>
              <w:rPr>
                <w:rFonts w:ascii="Times New Roman" w:hAnsi="Times New Roman" w:eastAsia="仿宋"/>
                <w:color w:val="000000" w:themeColor="text1"/>
                <w:sz w:val="24"/>
                <w:szCs w:val="24"/>
                <w14:textFill>
                  <w14:solidFill>
                    <w14:schemeClr w14:val="tx1"/>
                  </w14:solidFill>
                </w14:textFill>
              </w:rPr>
            </w:pPr>
          </w:p>
        </w:tc>
        <w:tc>
          <w:tcPr>
            <w:tcW w:w="992" w:type="dxa"/>
          </w:tcPr>
          <w:p>
            <w:pPr>
              <w:spacing w:line="440" w:lineRule="exact"/>
              <w:rPr>
                <w:rFonts w:ascii="Times New Roman" w:hAnsi="Times New Roman" w:eastAsia="仿宋"/>
                <w:color w:val="000000" w:themeColor="text1"/>
                <w:sz w:val="24"/>
                <w:szCs w:val="24"/>
                <w14:textFill>
                  <w14:solidFill>
                    <w14:schemeClr w14:val="tx1"/>
                  </w14:solidFill>
                </w14:textFill>
              </w:rPr>
            </w:pPr>
          </w:p>
        </w:tc>
        <w:tc>
          <w:tcPr>
            <w:tcW w:w="992" w:type="dxa"/>
          </w:tcPr>
          <w:p>
            <w:pPr>
              <w:spacing w:line="440" w:lineRule="exact"/>
              <w:rPr>
                <w:rFonts w:ascii="Times New Roman" w:hAnsi="Times New Roman" w:eastAsia="仿宋"/>
                <w:color w:val="000000" w:themeColor="text1"/>
                <w:sz w:val="24"/>
                <w:szCs w:val="24"/>
                <w14:textFill>
                  <w14:solidFill>
                    <w14:schemeClr w14:val="tx1"/>
                  </w14:solidFill>
                </w14:textFill>
              </w:rPr>
            </w:pPr>
          </w:p>
        </w:tc>
        <w:tc>
          <w:tcPr>
            <w:tcW w:w="3180" w:type="dxa"/>
          </w:tcPr>
          <w:p>
            <w:pPr>
              <w:spacing w:line="440" w:lineRule="exact"/>
              <w:rPr>
                <w:rFonts w:ascii="Times New Roman" w:hAnsi="Times New Roman" w:eastAsia="仿宋"/>
                <w:color w:val="000000" w:themeColor="text1"/>
                <w:sz w:val="24"/>
                <w:szCs w:val="24"/>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2" w:type="dxa"/>
          </w:tcPr>
          <w:p>
            <w:pPr>
              <w:spacing w:line="440" w:lineRule="exact"/>
              <w:rPr>
                <w:rFonts w:ascii="Times New Roman" w:hAnsi="Times New Roman" w:eastAsia="仿宋"/>
                <w:color w:val="000000" w:themeColor="text1"/>
                <w:sz w:val="24"/>
                <w:szCs w:val="24"/>
                <w14:textFill>
                  <w14:solidFill>
                    <w14:schemeClr w14:val="tx1"/>
                  </w14:solidFill>
                </w14:textFill>
              </w:rPr>
            </w:pPr>
          </w:p>
        </w:tc>
        <w:tc>
          <w:tcPr>
            <w:tcW w:w="1276" w:type="dxa"/>
          </w:tcPr>
          <w:p>
            <w:pPr>
              <w:spacing w:line="440" w:lineRule="exact"/>
              <w:rPr>
                <w:rFonts w:ascii="Times New Roman" w:hAnsi="Times New Roman" w:eastAsia="仿宋"/>
                <w:color w:val="000000" w:themeColor="text1"/>
                <w:sz w:val="24"/>
                <w:szCs w:val="24"/>
                <w14:textFill>
                  <w14:solidFill>
                    <w14:schemeClr w14:val="tx1"/>
                  </w14:solidFill>
                </w14:textFill>
              </w:rPr>
            </w:pPr>
          </w:p>
        </w:tc>
        <w:tc>
          <w:tcPr>
            <w:tcW w:w="2692" w:type="dxa"/>
          </w:tcPr>
          <w:p>
            <w:pPr>
              <w:spacing w:line="440" w:lineRule="exact"/>
              <w:rPr>
                <w:rFonts w:ascii="Times New Roman" w:hAnsi="Times New Roman" w:eastAsia="仿宋"/>
                <w:color w:val="000000" w:themeColor="text1"/>
                <w:sz w:val="24"/>
                <w:szCs w:val="24"/>
                <w14:textFill>
                  <w14:solidFill>
                    <w14:schemeClr w14:val="tx1"/>
                  </w14:solidFill>
                </w14:textFill>
              </w:rPr>
            </w:pPr>
          </w:p>
        </w:tc>
        <w:tc>
          <w:tcPr>
            <w:tcW w:w="851" w:type="dxa"/>
          </w:tcPr>
          <w:p>
            <w:pPr>
              <w:spacing w:line="440" w:lineRule="exact"/>
              <w:rPr>
                <w:rFonts w:ascii="Times New Roman" w:hAnsi="Times New Roman" w:eastAsia="仿宋"/>
                <w:color w:val="000000" w:themeColor="text1"/>
                <w:sz w:val="24"/>
                <w:szCs w:val="24"/>
                <w14:textFill>
                  <w14:solidFill>
                    <w14:schemeClr w14:val="tx1"/>
                  </w14:solidFill>
                </w14:textFill>
              </w:rPr>
            </w:pPr>
          </w:p>
        </w:tc>
        <w:tc>
          <w:tcPr>
            <w:tcW w:w="850" w:type="dxa"/>
          </w:tcPr>
          <w:p>
            <w:pPr>
              <w:spacing w:line="440" w:lineRule="exact"/>
              <w:rPr>
                <w:rFonts w:ascii="Times New Roman" w:hAnsi="Times New Roman" w:eastAsia="仿宋"/>
                <w:color w:val="000000" w:themeColor="text1"/>
                <w:sz w:val="24"/>
                <w:szCs w:val="24"/>
                <w14:textFill>
                  <w14:solidFill>
                    <w14:schemeClr w14:val="tx1"/>
                  </w14:solidFill>
                </w14:textFill>
              </w:rPr>
            </w:pPr>
          </w:p>
        </w:tc>
        <w:tc>
          <w:tcPr>
            <w:tcW w:w="851" w:type="dxa"/>
          </w:tcPr>
          <w:p>
            <w:pPr>
              <w:spacing w:line="440" w:lineRule="exact"/>
              <w:rPr>
                <w:rFonts w:ascii="Times New Roman" w:hAnsi="Times New Roman" w:eastAsia="仿宋"/>
                <w:color w:val="000000" w:themeColor="text1"/>
                <w:sz w:val="24"/>
                <w:szCs w:val="24"/>
                <w14:textFill>
                  <w14:solidFill>
                    <w14:schemeClr w14:val="tx1"/>
                  </w14:solidFill>
                </w14:textFill>
              </w:rPr>
            </w:pPr>
          </w:p>
        </w:tc>
        <w:tc>
          <w:tcPr>
            <w:tcW w:w="992" w:type="dxa"/>
          </w:tcPr>
          <w:p>
            <w:pPr>
              <w:spacing w:line="440" w:lineRule="exact"/>
              <w:rPr>
                <w:rFonts w:ascii="Times New Roman" w:hAnsi="Times New Roman" w:eastAsia="仿宋"/>
                <w:color w:val="000000" w:themeColor="text1"/>
                <w:sz w:val="24"/>
                <w:szCs w:val="24"/>
                <w14:textFill>
                  <w14:solidFill>
                    <w14:schemeClr w14:val="tx1"/>
                  </w14:solidFill>
                </w14:textFill>
              </w:rPr>
            </w:pPr>
          </w:p>
        </w:tc>
        <w:tc>
          <w:tcPr>
            <w:tcW w:w="992" w:type="dxa"/>
          </w:tcPr>
          <w:p>
            <w:pPr>
              <w:spacing w:line="440" w:lineRule="exact"/>
              <w:rPr>
                <w:rFonts w:ascii="Times New Roman" w:hAnsi="Times New Roman" w:eastAsia="仿宋"/>
                <w:color w:val="000000" w:themeColor="text1"/>
                <w:sz w:val="24"/>
                <w:szCs w:val="24"/>
                <w14:textFill>
                  <w14:solidFill>
                    <w14:schemeClr w14:val="tx1"/>
                  </w14:solidFill>
                </w14:textFill>
              </w:rPr>
            </w:pPr>
          </w:p>
        </w:tc>
        <w:tc>
          <w:tcPr>
            <w:tcW w:w="992" w:type="dxa"/>
          </w:tcPr>
          <w:p>
            <w:pPr>
              <w:spacing w:line="440" w:lineRule="exact"/>
              <w:rPr>
                <w:rFonts w:ascii="Times New Roman" w:hAnsi="Times New Roman" w:eastAsia="仿宋"/>
                <w:color w:val="000000" w:themeColor="text1"/>
                <w:sz w:val="24"/>
                <w:szCs w:val="24"/>
                <w14:textFill>
                  <w14:solidFill>
                    <w14:schemeClr w14:val="tx1"/>
                  </w14:solidFill>
                </w14:textFill>
              </w:rPr>
            </w:pPr>
          </w:p>
        </w:tc>
        <w:tc>
          <w:tcPr>
            <w:tcW w:w="3180" w:type="dxa"/>
          </w:tcPr>
          <w:p>
            <w:pPr>
              <w:spacing w:line="440" w:lineRule="exact"/>
              <w:rPr>
                <w:rFonts w:ascii="Times New Roman" w:hAnsi="Times New Roman" w:eastAsia="仿宋"/>
                <w:color w:val="000000" w:themeColor="text1"/>
                <w:sz w:val="24"/>
                <w:szCs w:val="24"/>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1272" w:type="dxa"/>
          </w:tcPr>
          <w:p>
            <w:pPr>
              <w:spacing w:line="440" w:lineRule="exact"/>
              <w:rPr>
                <w:rFonts w:ascii="Times New Roman" w:hAnsi="Times New Roman" w:eastAsia="仿宋"/>
                <w:color w:val="000000" w:themeColor="text1"/>
                <w:sz w:val="24"/>
                <w:szCs w:val="24"/>
                <w14:textFill>
                  <w14:solidFill>
                    <w14:schemeClr w14:val="tx1"/>
                  </w14:solidFill>
                </w14:textFill>
              </w:rPr>
            </w:pPr>
          </w:p>
        </w:tc>
        <w:tc>
          <w:tcPr>
            <w:tcW w:w="1276" w:type="dxa"/>
          </w:tcPr>
          <w:p>
            <w:pPr>
              <w:spacing w:line="440" w:lineRule="exact"/>
              <w:rPr>
                <w:rFonts w:ascii="Times New Roman" w:hAnsi="Times New Roman" w:eastAsia="仿宋"/>
                <w:color w:val="000000" w:themeColor="text1"/>
                <w:sz w:val="24"/>
                <w:szCs w:val="24"/>
                <w14:textFill>
                  <w14:solidFill>
                    <w14:schemeClr w14:val="tx1"/>
                  </w14:solidFill>
                </w14:textFill>
              </w:rPr>
            </w:pPr>
          </w:p>
        </w:tc>
        <w:tc>
          <w:tcPr>
            <w:tcW w:w="2692" w:type="dxa"/>
          </w:tcPr>
          <w:p>
            <w:pPr>
              <w:spacing w:line="440" w:lineRule="exact"/>
              <w:rPr>
                <w:rFonts w:ascii="Times New Roman" w:hAnsi="Times New Roman" w:eastAsia="仿宋"/>
                <w:color w:val="000000" w:themeColor="text1"/>
                <w:sz w:val="24"/>
                <w:szCs w:val="24"/>
                <w14:textFill>
                  <w14:solidFill>
                    <w14:schemeClr w14:val="tx1"/>
                  </w14:solidFill>
                </w14:textFill>
              </w:rPr>
            </w:pPr>
          </w:p>
        </w:tc>
        <w:tc>
          <w:tcPr>
            <w:tcW w:w="851" w:type="dxa"/>
          </w:tcPr>
          <w:p>
            <w:pPr>
              <w:spacing w:line="440" w:lineRule="exact"/>
              <w:rPr>
                <w:rFonts w:ascii="Times New Roman" w:hAnsi="Times New Roman" w:eastAsia="仿宋"/>
                <w:color w:val="000000" w:themeColor="text1"/>
                <w:sz w:val="24"/>
                <w:szCs w:val="24"/>
                <w14:textFill>
                  <w14:solidFill>
                    <w14:schemeClr w14:val="tx1"/>
                  </w14:solidFill>
                </w14:textFill>
              </w:rPr>
            </w:pPr>
          </w:p>
        </w:tc>
        <w:tc>
          <w:tcPr>
            <w:tcW w:w="850" w:type="dxa"/>
          </w:tcPr>
          <w:p>
            <w:pPr>
              <w:spacing w:line="440" w:lineRule="exact"/>
              <w:rPr>
                <w:rFonts w:ascii="Times New Roman" w:hAnsi="Times New Roman" w:eastAsia="仿宋"/>
                <w:color w:val="000000" w:themeColor="text1"/>
                <w:sz w:val="24"/>
                <w:szCs w:val="24"/>
                <w14:textFill>
                  <w14:solidFill>
                    <w14:schemeClr w14:val="tx1"/>
                  </w14:solidFill>
                </w14:textFill>
              </w:rPr>
            </w:pPr>
          </w:p>
        </w:tc>
        <w:tc>
          <w:tcPr>
            <w:tcW w:w="851" w:type="dxa"/>
          </w:tcPr>
          <w:p>
            <w:pPr>
              <w:spacing w:line="440" w:lineRule="exact"/>
              <w:rPr>
                <w:rFonts w:ascii="Times New Roman" w:hAnsi="Times New Roman" w:eastAsia="仿宋"/>
                <w:color w:val="000000" w:themeColor="text1"/>
                <w:sz w:val="24"/>
                <w:szCs w:val="24"/>
                <w14:textFill>
                  <w14:solidFill>
                    <w14:schemeClr w14:val="tx1"/>
                  </w14:solidFill>
                </w14:textFill>
              </w:rPr>
            </w:pPr>
          </w:p>
        </w:tc>
        <w:tc>
          <w:tcPr>
            <w:tcW w:w="992" w:type="dxa"/>
          </w:tcPr>
          <w:p>
            <w:pPr>
              <w:spacing w:line="440" w:lineRule="exact"/>
              <w:rPr>
                <w:rFonts w:ascii="Times New Roman" w:hAnsi="Times New Roman" w:eastAsia="仿宋"/>
                <w:color w:val="000000" w:themeColor="text1"/>
                <w:sz w:val="24"/>
                <w:szCs w:val="24"/>
                <w14:textFill>
                  <w14:solidFill>
                    <w14:schemeClr w14:val="tx1"/>
                  </w14:solidFill>
                </w14:textFill>
              </w:rPr>
            </w:pPr>
          </w:p>
        </w:tc>
        <w:tc>
          <w:tcPr>
            <w:tcW w:w="992" w:type="dxa"/>
          </w:tcPr>
          <w:p>
            <w:pPr>
              <w:spacing w:line="440" w:lineRule="exact"/>
              <w:rPr>
                <w:rFonts w:ascii="Times New Roman" w:hAnsi="Times New Roman" w:eastAsia="仿宋"/>
                <w:color w:val="000000" w:themeColor="text1"/>
                <w:sz w:val="24"/>
                <w:szCs w:val="24"/>
                <w14:textFill>
                  <w14:solidFill>
                    <w14:schemeClr w14:val="tx1"/>
                  </w14:solidFill>
                </w14:textFill>
              </w:rPr>
            </w:pPr>
          </w:p>
        </w:tc>
        <w:tc>
          <w:tcPr>
            <w:tcW w:w="992" w:type="dxa"/>
          </w:tcPr>
          <w:p>
            <w:pPr>
              <w:spacing w:line="440" w:lineRule="exact"/>
              <w:rPr>
                <w:rFonts w:ascii="Times New Roman" w:hAnsi="Times New Roman" w:eastAsia="仿宋"/>
                <w:color w:val="000000" w:themeColor="text1"/>
                <w:sz w:val="24"/>
                <w:szCs w:val="24"/>
                <w14:textFill>
                  <w14:solidFill>
                    <w14:schemeClr w14:val="tx1"/>
                  </w14:solidFill>
                </w14:textFill>
              </w:rPr>
            </w:pPr>
          </w:p>
        </w:tc>
        <w:tc>
          <w:tcPr>
            <w:tcW w:w="3180" w:type="dxa"/>
          </w:tcPr>
          <w:p>
            <w:pPr>
              <w:spacing w:line="440" w:lineRule="exact"/>
              <w:rPr>
                <w:rFonts w:ascii="Times New Roman" w:hAnsi="Times New Roman" w:eastAsia="仿宋"/>
                <w:color w:val="000000" w:themeColor="text1"/>
                <w:sz w:val="24"/>
                <w:szCs w:val="24"/>
                <w14:textFill>
                  <w14:solidFill>
                    <w14:schemeClr w14:val="tx1"/>
                  </w14:solidFill>
                </w14:textFill>
              </w:rPr>
            </w:pPr>
          </w:p>
        </w:tc>
      </w:tr>
    </w:tbl>
    <w:p>
      <w:pPr>
        <w:widowControl/>
        <w:jc w:val="left"/>
        <w:rPr>
          <w:rFonts w:ascii="Times New Roman" w:hAnsi="Times New Roman" w:eastAsia="仿宋"/>
          <w:color w:val="000000" w:themeColor="text1"/>
          <w:sz w:val="24"/>
          <w:szCs w:val="32"/>
          <w14:textFill>
            <w14:solidFill>
              <w14:schemeClr w14:val="tx1"/>
            </w14:solidFill>
          </w14:textFill>
        </w:rPr>
      </w:pPr>
      <w:r>
        <w:rPr>
          <w:rFonts w:ascii="Times New Roman" w:hAnsi="Times New Roman" w:eastAsia="仿宋"/>
          <w:color w:val="000000" w:themeColor="text1"/>
          <w:sz w:val="24"/>
          <w:szCs w:val="32"/>
          <w14:textFill>
            <w14:solidFill>
              <w14:schemeClr w14:val="tx1"/>
            </w14:solidFill>
          </w14:textFill>
        </w:rPr>
        <w:t>注：</w:t>
      </w:r>
      <w:r>
        <w:rPr>
          <w:rFonts w:ascii="Times New Roman" w:hAnsi="Times New Roman" w:eastAsia="仿宋"/>
          <w:color w:val="000000" w:themeColor="text1"/>
          <w:sz w:val="24"/>
          <w:szCs w:val="24"/>
          <w14:textFill>
            <w14:solidFill>
              <w14:schemeClr w14:val="tx1"/>
            </w14:solidFill>
          </w14:textFill>
        </w:rPr>
        <w:t>要约回购证券代码</w:t>
      </w:r>
      <w:r>
        <w:rPr>
          <w:rFonts w:ascii="Times New Roman" w:hAnsi="Times New Roman" w:eastAsia="仿宋"/>
          <w:color w:val="000000" w:themeColor="text1"/>
          <w:sz w:val="24"/>
          <w:szCs w:val="32"/>
          <w14:textFill>
            <w14:solidFill>
              <w14:schemeClr w14:val="tx1"/>
            </w14:solidFill>
          </w14:textFill>
        </w:rPr>
        <w:t>由北京证券交易所向上市公司发放，上市公司应当在取得代码的次一交易日披露。</w:t>
      </w:r>
    </w:p>
    <w:p>
      <w:pPr>
        <w:widowControl/>
        <w:ind w:firstLine="11126" w:firstLineChars="3477"/>
        <w:jc w:val="left"/>
        <w:rPr>
          <w:rFonts w:ascii="Times New Roman" w:hAnsi="Times New Roman" w:eastAsia="仿宋"/>
          <w:color w:val="000000" w:themeColor="text1"/>
          <w:sz w:val="32"/>
          <w:szCs w:val="32"/>
          <w14:textFill>
            <w14:solidFill>
              <w14:schemeClr w14:val="tx1"/>
            </w14:solidFill>
          </w14:textFill>
        </w:rPr>
      </w:pPr>
    </w:p>
    <w:p>
      <w:pPr>
        <w:widowControl/>
        <w:ind w:firstLine="11126" w:firstLineChars="3477"/>
        <w:jc w:val="left"/>
        <w:rPr>
          <w:rFonts w:ascii="Times New Roman" w:hAnsi="Times New Roman" w:eastAsia="仿宋"/>
          <w:color w:val="000000" w:themeColor="text1"/>
          <w:sz w:val="32"/>
          <w:szCs w:val="32"/>
          <w14:textFill>
            <w14:solidFill>
              <w14:schemeClr w14:val="tx1"/>
            </w14:solidFill>
          </w14:textFill>
        </w:rPr>
      </w:pPr>
      <w:r>
        <w:rPr>
          <w:rFonts w:ascii="Times New Roman" w:hAnsi="Times New Roman" w:eastAsia="仿宋"/>
          <w:color w:val="000000" w:themeColor="text1"/>
          <w:sz w:val="32"/>
          <w:szCs w:val="32"/>
          <w14:textFill>
            <w14:solidFill>
              <w14:schemeClr w14:val="tx1"/>
            </w14:solidFill>
          </w14:textFill>
        </w:rPr>
        <w:t>（上市公司名称）</w:t>
      </w:r>
    </w:p>
    <w:p>
      <w:pPr>
        <w:widowControl/>
        <w:ind w:left="11254" w:leftChars="5359" w:right="65" w:rightChars="31"/>
        <w:jc w:val="left"/>
        <w:rPr>
          <w:rFonts w:ascii="Times New Roman" w:hAnsi="Times New Roman" w:eastAsia="仿宋"/>
          <w:color w:val="000000" w:themeColor="text1"/>
          <w:sz w:val="32"/>
          <w:szCs w:val="32"/>
          <w14:textFill>
            <w14:solidFill>
              <w14:schemeClr w14:val="tx1"/>
            </w14:solidFill>
          </w14:textFill>
        </w:rPr>
        <w:sectPr>
          <w:pgSz w:w="16838" w:h="11906" w:orient="landscape"/>
          <w:pgMar w:top="1800" w:right="1440" w:bottom="1800" w:left="1440" w:header="851" w:footer="992" w:gutter="0"/>
          <w:pgNumType w:fmt="numberInDash"/>
          <w:cols w:space="425" w:num="1"/>
          <w:docGrid w:type="lines" w:linePitch="312" w:charSpace="0"/>
        </w:sectPr>
      </w:pPr>
      <w:r>
        <w:rPr>
          <w:rFonts w:ascii="Times New Roman" w:hAnsi="Times New Roman" w:eastAsia="仿宋"/>
          <w:color w:val="000000" w:themeColor="text1"/>
          <w:sz w:val="32"/>
          <w:szCs w:val="32"/>
          <w14:textFill>
            <w14:solidFill>
              <w14:schemeClr w14:val="tx1"/>
            </w14:solidFill>
          </w14:textFill>
        </w:rPr>
        <w:t>年   月   日</w:t>
      </w:r>
    </w:p>
    <w:p>
      <w:pPr>
        <w:spacing w:line="580" w:lineRule="exact"/>
        <w:ind w:right="-59"/>
        <w:rPr>
          <w:rFonts w:ascii="仿宋" w:hAnsi="仿宋" w:eastAsia="仿宋"/>
          <w:sz w:val="32"/>
          <w:szCs w:val="32"/>
        </w:rPr>
      </w:pPr>
      <w:r>
        <w:rPr>
          <w:rFonts w:ascii="Times New Roman" w:hAnsi="Times New Roman" w:eastAsia="黑体"/>
          <w:sz w:val="32"/>
          <w:szCs w:val="32"/>
        </w:rPr>
        <w:t>附件6</w:t>
      </w:r>
    </w:p>
    <w:p>
      <w:pPr>
        <w:jc w:val="center"/>
        <w:rPr>
          <w:rFonts w:ascii="Times New Roman" w:hAnsi="Times New Roman" w:eastAsia="方正大标宋简体"/>
          <w:color w:val="000000"/>
          <w:sz w:val="44"/>
          <w:szCs w:val="42"/>
        </w:rPr>
      </w:pPr>
      <w:r>
        <w:rPr>
          <w:rFonts w:hint="eastAsia" w:ascii="黑体" w:hAnsi="黑体" w:eastAsia="黑体"/>
          <w:b/>
          <w:sz w:val="28"/>
          <w:szCs w:val="28"/>
        </w:rPr>
        <w:t>预受要约股份划转申请表</w:t>
      </w:r>
    </w:p>
    <w:p>
      <w:pPr>
        <w:spacing w:line="600" w:lineRule="exact"/>
        <w:ind w:firstLine="480" w:firstLineChars="200"/>
        <w:jc w:val="left"/>
        <w:rPr>
          <w:rFonts w:ascii="Times New Roman" w:hAnsi="Times New Roman" w:eastAsia="仿宋"/>
          <w:color w:val="000000" w:themeColor="text1"/>
          <w:sz w:val="24"/>
          <w:szCs w:val="32"/>
          <w14:textFill>
            <w14:solidFill>
              <w14:schemeClr w14:val="tx1"/>
            </w14:solidFill>
          </w14:textFill>
        </w:rPr>
      </w:pPr>
      <w:r>
        <w:rPr>
          <w:rFonts w:ascii="Times New Roman" w:hAnsi="Times New Roman" w:eastAsia="仿宋"/>
          <w:color w:val="000000" w:themeColor="text1"/>
          <w:sz w:val="24"/>
          <w:szCs w:val="32"/>
          <w14:textFill>
            <w14:solidFill>
              <w14:schemeClr w14:val="tx1"/>
            </w14:solidFill>
          </w14:textFill>
        </w:rPr>
        <w:t xml:space="preserve">                                                    年   月</w:t>
      </w:r>
      <w:r>
        <w:rPr>
          <w:rFonts w:hint="eastAsia" w:ascii="Times New Roman" w:hAnsi="Times New Roman" w:eastAsia="仿宋"/>
          <w:color w:val="000000" w:themeColor="text1"/>
          <w:sz w:val="24"/>
          <w:szCs w:val="32"/>
          <w14:textFill>
            <w14:solidFill>
              <w14:schemeClr w14:val="tx1"/>
            </w14:solidFill>
          </w14:textFill>
        </w:rPr>
        <w:t xml:space="preserve"> </w:t>
      </w:r>
      <w:r>
        <w:rPr>
          <w:rFonts w:ascii="Times New Roman" w:hAnsi="Times New Roman" w:eastAsia="仿宋"/>
          <w:color w:val="000000" w:themeColor="text1"/>
          <w:sz w:val="24"/>
          <w:szCs w:val="32"/>
          <w14:textFill>
            <w14:solidFill>
              <w14:schemeClr w14:val="tx1"/>
            </w14:solidFill>
          </w14:textFill>
        </w:rPr>
        <w:t xml:space="preserve">  日</w:t>
      </w:r>
    </w:p>
    <w:tbl>
      <w:tblPr>
        <w:tblStyle w:val="9"/>
        <w:tblW w:w="906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3"/>
        <w:gridCol w:w="1701"/>
        <w:gridCol w:w="2268"/>
        <w:gridCol w:w="283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3" w:type="dxa"/>
            <w:vMerge w:val="restart"/>
            <w:vAlign w:val="center"/>
          </w:tcPr>
          <w:p>
            <w:pPr>
              <w:spacing w:line="500" w:lineRule="exact"/>
              <w:jc w:val="center"/>
              <w:rPr>
                <w:rFonts w:ascii="Times New Roman" w:hAnsi="Times New Roman" w:eastAsia="仿宋"/>
                <w:color w:val="000000" w:themeColor="text1"/>
                <w:sz w:val="24"/>
                <w:szCs w:val="32"/>
                <w14:textFill>
                  <w14:solidFill>
                    <w14:schemeClr w14:val="tx1"/>
                  </w14:solidFill>
                </w14:textFill>
              </w:rPr>
            </w:pPr>
            <w:r>
              <w:rPr>
                <w:rFonts w:ascii="Times New Roman" w:hAnsi="Times New Roman" w:eastAsia="仿宋"/>
                <w:color w:val="000000" w:themeColor="text1"/>
                <w:sz w:val="24"/>
                <w:szCs w:val="32"/>
                <w14:textFill>
                  <w14:solidFill>
                    <w14:schemeClr w14:val="tx1"/>
                  </w14:solidFill>
                </w14:textFill>
              </w:rPr>
              <w:t>上市公司</w:t>
            </w:r>
          </w:p>
        </w:tc>
        <w:tc>
          <w:tcPr>
            <w:tcW w:w="1701" w:type="dxa"/>
          </w:tcPr>
          <w:p>
            <w:pPr>
              <w:spacing w:line="500" w:lineRule="exact"/>
              <w:jc w:val="left"/>
              <w:rPr>
                <w:rFonts w:ascii="Times New Roman" w:hAnsi="Times New Roman" w:eastAsia="仿宋"/>
                <w:color w:val="000000" w:themeColor="text1"/>
                <w:sz w:val="24"/>
                <w:szCs w:val="32"/>
                <w14:textFill>
                  <w14:solidFill>
                    <w14:schemeClr w14:val="tx1"/>
                  </w14:solidFill>
                </w14:textFill>
              </w:rPr>
            </w:pPr>
            <w:r>
              <w:rPr>
                <w:rFonts w:ascii="Times New Roman" w:hAnsi="Times New Roman" w:eastAsia="仿宋"/>
                <w:color w:val="000000" w:themeColor="text1"/>
                <w:sz w:val="24"/>
                <w:szCs w:val="32"/>
                <w14:textFill>
                  <w14:solidFill>
                    <w14:schemeClr w14:val="tx1"/>
                  </w14:solidFill>
                </w14:textFill>
              </w:rPr>
              <w:t>公司名称</w:t>
            </w:r>
          </w:p>
        </w:tc>
        <w:tc>
          <w:tcPr>
            <w:tcW w:w="5103" w:type="dxa"/>
            <w:gridSpan w:val="2"/>
          </w:tcPr>
          <w:p>
            <w:pPr>
              <w:spacing w:line="500" w:lineRule="exact"/>
              <w:jc w:val="left"/>
              <w:rPr>
                <w:rFonts w:ascii="Times New Roman" w:hAnsi="Times New Roman" w:eastAsia="仿宋"/>
                <w:color w:val="000000" w:themeColor="text1"/>
                <w:sz w:val="24"/>
                <w:szCs w:val="32"/>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3" w:type="dxa"/>
            <w:vMerge w:val="continue"/>
          </w:tcPr>
          <w:p>
            <w:pPr>
              <w:spacing w:line="500" w:lineRule="exact"/>
              <w:jc w:val="left"/>
              <w:rPr>
                <w:rFonts w:ascii="Times New Roman" w:hAnsi="Times New Roman" w:eastAsia="仿宋"/>
                <w:color w:val="000000" w:themeColor="text1"/>
                <w:sz w:val="24"/>
                <w:szCs w:val="32"/>
                <w14:textFill>
                  <w14:solidFill>
                    <w14:schemeClr w14:val="tx1"/>
                  </w14:solidFill>
                </w14:textFill>
              </w:rPr>
            </w:pPr>
          </w:p>
        </w:tc>
        <w:tc>
          <w:tcPr>
            <w:tcW w:w="1701" w:type="dxa"/>
          </w:tcPr>
          <w:p>
            <w:pPr>
              <w:spacing w:line="500" w:lineRule="exact"/>
              <w:jc w:val="left"/>
              <w:rPr>
                <w:rFonts w:ascii="Times New Roman" w:hAnsi="Times New Roman" w:eastAsia="仿宋"/>
                <w:color w:val="000000" w:themeColor="text1"/>
                <w:sz w:val="24"/>
                <w:szCs w:val="32"/>
                <w14:textFill>
                  <w14:solidFill>
                    <w14:schemeClr w14:val="tx1"/>
                  </w14:solidFill>
                </w14:textFill>
              </w:rPr>
            </w:pPr>
            <w:r>
              <w:rPr>
                <w:rFonts w:ascii="Times New Roman" w:hAnsi="Times New Roman" w:eastAsia="仿宋"/>
                <w:color w:val="000000" w:themeColor="text1"/>
                <w:sz w:val="24"/>
                <w:szCs w:val="32"/>
                <w14:textFill>
                  <w14:solidFill>
                    <w14:schemeClr w14:val="tx1"/>
                  </w14:solidFill>
                </w14:textFill>
              </w:rPr>
              <w:t>证券简称</w:t>
            </w:r>
          </w:p>
        </w:tc>
        <w:tc>
          <w:tcPr>
            <w:tcW w:w="5103" w:type="dxa"/>
            <w:gridSpan w:val="2"/>
          </w:tcPr>
          <w:p>
            <w:pPr>
              <w:spacing w:line="500" w:lineRule="exact"/>
              <w:jc w:val="left"/>
              <w:rPr>
                <w:rFonts w:ascii="Times New Roman" w:hAnsi="Times New Roman" w:eastAsia="仿宋"/>
                <w:color w:val="000000" w:themeColor="text1"/>
                <w:sz w:val="24"/>
                <w:szCs w:val="32"/>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3" w:type="dxa"/>
            <w:vMerge w:val="continue"/>
          </w:tcPr>
          <w:p>
            <w:pPr>
              <w:spacing w:line="500" w:lineRule="exact"/>
              <w:jc w:val="left"/>
              <w:rPr>
                <w:rFonts w:ascii="Times New Roman" w:hAnsi="Times New Roman" w:eastAsia="仿宋"/>
                <w:color w:val="000000" w:themeColor="text1"/>
                <w:sz w:val="24"/>
                <w:szCs w:val="32"/>
                <w14:textFill>
                  <w14:solidFill>
                    <w14:schemeClr w14:val="tx1"/>
                  </w14:solidFill>
                </w14:textFill>
              </w:rPr>
            </w:pPr>
          </w:p>
        </w:tc>
        <w:tc>
          <w:tcPr>
            <w:tcW w:w="1701" w:type="dxa"/>
          </w:tcPr>
          <w:p>
            <w:pPr>
              <w:spacing w:line="500" w:lineRule="exact"/>
              <w:jc w:val="left"/>
              <w:rPr>
                <w:rFonts w:ascii="Times New Roman" w:hAnsi="Times New Roman" w:eastAsia="仿宋"/>
                <w:color w:val="000000" w:themeColor="text1"/>
                <w:sz w:val="24"/>
                <w:szCs w:val="32"/>
                <w14:textFill>
                  <w14:solidFill>
                    <w14:schemeClr w14:val="tx1"/>
                  </w14:solidFill>
                </w14:textFill>
              </w:rPr>
            </w:pPr>
            <w:r>
              <w:rPr>
                <w:rFonts w:ascii="Times New Roman" w:hAnsi="Times New Roman" w:eastAsia="仿宋"/>
                <w:color w:val="000000" w:themeColor="text1"/>
                <w:sz w:val="24"/>
                <w:szCs w:val="32"/>
                <w14:textFill>
                  <w14:solidFill>
                    <w14:schemeClr w14:val="tx1"/>
                  </w14:solidFill>
                </w14:textFill>
              </w:rPr>
              <w:t>证券代码</w:t>
            </w:r>
          </w:p>
        </w:tc>
        <w:tc>
          <w:tcPr>
            <w:tcW w:w="5103" w:type="dxa"/>
            <w:gridSpan w:val="2"/>
          </w:tcPr>
          <w:p>
            <w:pPr>
              <w:spacing w:line="500" w:lineRule="exact"/>
              <w:jc w:val="left"/>
              <w:rPr>
                <w:rFonts w:ascii="Times New Roman" w:hAnsi="Times New Roman" w:eastAsia="仿宋"/>
                <w:color w:val="000000" w:themeColor="text1"/>
                <w:sz w:val="24"/>
                <w:szCs w:val="32"/>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3" w:type="dxa"/>
          </w:tcPr>
          <w:p>
            <w:pPr>
              <w:spacing w:line="500" w:lineRule="exact"/>
              <w:jc w:val="center"/>
              <w:rPr>
                <w:rFonts w:ascii="Times New Roman" w:hAnsi="Times New Roman" w:eastAsia="仿宋"/>
                <w:color w:val="000000" w:themeColor="text1"/>
                <w:sz w:val="24"/>
                <w:szCs w:val="32"/>
                <w14:textFill>
                  <w14:solidFill>
                    <w14:schemeClr w14:val="tx1"/>
                  </w14:solidFill>
                </w14:textFill>
              </w:rPr>
            </w:pPr>
            <w:r>
              <w:rPr>
                <w:rFonts w:ascii="Times New Roman" w:hAnsi="Times New Roman" w:eastAsia="仿宋"/>
                <w:color w:val="000000" w:themeColor="text1"/>
                <w:sz w:val="24"/>
                <w:szCs w:val="32"/>
                <w14:textFill>
                  <w14:solidFill>
                    <w14:schemeClr w14:val="tx1"/>
                  </w14:solidFill>
                </w14:textFill>
              </w:rPr>
              <w:t>要约回购证券代码</w:t>
            </w:r>
          </w:p>
        </w:tc>
        <w:tc>
          <w:tcPr>
            <w:tcW w:w="6804" w:type="dxa"/>
            <w:gridSpan w:val="3"/>
          </w:tcPr>
          <w:p>
            <w:pPr>
              <w:spacing w:line="500" w:lineRule="exact"/>
              <w:jc w:val="left"/>
              <w:rPr>
                <w:rFonts w:ascii="Times New Roman" w:hAnsi="Times New Roman" w:eastAsia="仿宋"/>
                <w:color w:val="000000" w:themeColor="text1"/>
                <w:sz w:val="24"/>
                <w:szCs w:val="32"/>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3" w:type="dxa"/>
          </w:tcPr>
          <w:p>
            <w:pPr>
              <w:spacing w:line="500" w:lineRule="exact"/>
              <w:jc w:val="center"/>
              <w:rPr>
                <w:rFonts w:ascii="Times New Roman" w:hAnsi="Times New Roman" w:eastAsia="仿宋"/>
                <w:color w:val="000000" w:themeColor="text1"/>
                <w:sz w:val="24"/>
                <w:szCs w:val="32"/>
                <w14:textFill>
                  <w14:solidFill>
                    <w14:schemeClr w14:val="tx1"/>
                  </w14:solidFill>
                </w14:textFill>
              </w:rPr>
            </w:pPr>
            <w:r>
              <w:rPr>
                <w:rFonts w:ascii="Times New Roman" w:hAnsi="Times New Roman" w:eastAsia="仿宋"/>
                <w:color w:val="000000" w:themeColor="text1"/>
                <w:sz w:val="24"/>
                <w:szCs w:val="32"/>
                <w14:textFill>
                  <w14:solidFill>
                    <w14:schemeClr w14:val="tx1"/>
                  </w14:solidFill>
                </w14:textFill>
              </w:rPr>
              <w:t>回购专用账户号码</w:t>
            </w:r>
          </w:p>
        </w:tc>
        <w:tc>
          <w:tcPr>
            <w:tcW w:w="6804" w:type="dxa"/>
            <w:gridSpan w:val="3"/>
          </w:tcPr>
          <w:p>
            <w:pPr>
              <w:spacing w:line="500" w:lineRule="exact"/>
              <w:jc w:val="left"/>
              <w:rPr>
                <w:rFonts w:ascii="Times New Roman" w:hAnsi="Times New Roman" w:eastAsia="仿宋"/>
                <w:color w:val="000000" w:themeColor="text1"/>
                <w:sz w:val="24"/>
                <w:szCs w:val="32"/>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3" w:type="dxa"/>
            <w:vMerge w:val="restart"/>
            <w:vAlign w:val="center"/>
          </w:tcPr>
          <w:p>
            <w:pPr>
              <w:spacing w:line="500" w:lineRule="exact"/>
              <w:jc w:val="center"/>
              <w:rPr>
                <w:rFonts w:ascii="Times New Roman" w:hAnsi="Times New Roman" w:eastAsia="仿宋"/>
                <w:color w:val="000000" w:themeColor="text1"/>
                <w:sz w:val="24"/>
                <w:szCs w:val="32"/>
                <w14:textFill>
                  <w14:solidFill>
                    <w14:schemeClr w14:val="tx1"/>
                  </w14:solidFill>
                </w14:textFill>
              </w:rPr>
            </w:pPr>
            <w:r>
              <w:rPr>
                <w:rFonts w:ascii="Times New Roman" w:hAnsi="Times New Roman" w:eastAsia="仿宋"/>
                <w:color w:val="000000" w:themeColor="text1"/>
                <w:sz w:val="24"/>
                <w:szCs w:val="32"/>
                <w14:textFill>
                  <w14:solidFill>
                    <w14:schemeClr w14:val="tx1"/>
                  </w14:solidFill>
                </w14:textFill>
              </w:rPr>
              <w:t>股份划转申请</w:t>
            </w:r>
          </w:p>
        </w:tc>
        <w:tc>
          <w:tcPr>
            <w:tcW w:w="3969" w:type="dxa"/>
            <w:gridSpan w:val="2"/>
          </w:tcPr>
          <w:p>
            <w:pPr>
              <w:spacing w:line="500" w:lineRule="exact"/>
              <w:jc w:val="left"/>
              <w:rPr>
                <w:rFonts w:ascii="Times New Roman" w:hAnsi="Times New Roman" w:eastAsia="仿宋"/>
                <w:color w:val="000000" w:themeColor="text1"/>
                <w:sz w:val="24"/>
                <w:szCs w:val="32"/>
                <w14:textFill>
                  <w14:solidFill>
                    <w14:schemeClr w14:val="tx1"/>
                  </w14:solidFill>
                </w14:textFill>
              </w:rPr>
            </w:pPr>
            <w:r>
              <w:rPr>
                <w:rFonts w:ascii="Times New Roman" w:hAnsi="Times New Roman" w:eastAsia="仿宋"/>
                <w:color w:val="000000" w:themeColor="text1"/>
                <w:sz w:val="24"/>
                <w:szCs w:val="32"/>
                <w14:textFill>
                  <w14:solidFill>
                    <w14:schemeClr w14:val="tx1"/>
                  </w14:solidFill>
                </w14:textFill>
              </w:rPr>
              <w:t>拟回购总数（股）</w:t>
            </w:r>
          </w:p>
        </w:tc>
        <w:tc>
          <w:tcPr>
            <w:tcW w:w="2835" w:type="dxa"/>
          </w:tcPr>
          <w:p>
            <w:pPr>
              <w:spacing w:line="500" w:lineRule="exact"/>
              <w:jc w:val="left"/>
              <w:rPr>
                <w:rFonts w:ascii="Times New Roman" w:hAnsi="Times New Roman" w:eastAsia="仿宋"/>
                <w:color w:val="000000" w:themeColor="text1"/>
                <w:sz w:val="24"/>
                <w:szCs w:val="32"/>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3" w:type="dxa"/>
            <w:vMerge w:val="continue"/>
          </w:tcPr>
          <w:p>
            <w:pPr>
              <w:spacing w:line="500" w:lineRule="exact"/>
              <w:jc w:val="left"/>
              <w:rPr>
                <w:rFonts w:ascii="Times New Roman" w:hAnsi="Times New Roman" w:eastAsia="仿宋"/>
                <w:color w:val="000000" w:themeColor="text1"/>
                <w:sz w:val="24"/>
                <w:szCs w:val="32"/>
                <w14:textFill>
                  <w14:solidFill>
                    <w14:schemeClr w14:val="tx1"/>
                  </w14:solidFill>
                </w14:textFill>
              </w:rPr>
            </w:pPr>
          </w:p>
        </w:tc>
        <w:tc>
          <w:tcPr>
            <w:tcW w:w="3969" w:type="dxa"/>
            <w:gridSpan w:val="2"/>
          </w:tcPr>
          <w:p>
            <w:pPr>
              <w:spacing w:line="500" w:lineRule="exact"/>
              <w:jc w:val="left"/>
              <w:rPr>
                <w:rFonts w:ascii="Times New Roman" w:hAnsi="Times New Roman" w:eastAsia="仿宋"/>
                <w:color w:val="000000" w:themeColor="text1"/>
                <w:sz w:val="24"/>
                <w:szCs w:val="32"/>
                <w14:textFill>
                  <w14:solidFill>
                    <w14:schemeClr w14:val="tx1"/>
                  </w14:solidFill>
                </w14:textFill>
              </w:rPr>
            </w:pPr>
            <w:r>
              <w:rPr>
                <w:rFonts w:ascii="Times New Roman" w:hAnsi="Times New Roman" w:eastAsia="仿宋"/>
                <w:color w:val="000000" w:themeColor="text1"/>
                <w:sz w:val="24"/>
                <w:szCs w:val="32"/>
                <w14:textFill>
                  <w14:solidFill>
                    <w14:schemeClr w14:val="tx1"/>
                  </w14:solidFill>
                </w14:textFill>
              </w:rPr>
              <w:t>回购股份类别</w:t>
            </w:r>
          </w:p>
        </w:tc>
        <w:tc>
          <w:tcPr>
            <w:tcW w:w="2835" w:type="dxa"/>
          </w:tcPr>
          <w:p>
            <w:pPr>
              <w:spacing w:line="500" w:lineRule="exact"/>
              <w:jc w:val="left"/>
              <w:rPr>
                <w:rFonts w:ascii="Times New Roman" w:hAnsi="Times New Roman" w:eastAsia="仿宋"/>
                <w:color w:val="000000" w:themeColor="text1"/>
                <w:sz w:val="24"/>
                <w:szCs w:val="32"/>
                <w14:textFill>
                  <w14:solidFill>
                    <w14:schemeClr w14:val="tx1"/>
                  </w14:solidFill>
                </w14:textFill>
              </w:rPr>
            </w:pPr>
            <w:r>
              <w:rPr>
                <w:rFonts w:ascii="Times New Roman" w:hAnsi="Times New Roman" w:eastAsia="仿宋"/>
                <w:color w:val="000000" w:themeColor="text1"/>
                <w:sz w:val="24"/>
                <w:szCs w:val="32"/>
                <w14:textFill>
                  <w14:solidFill>
                    <w14:schemeClr w14:val="tx1"/>
                  </w14:solidFill>
                </w14:textFill>
              </w:rPr>
              <w:t>无限售条件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3" w:type="dxa"/>
            <w:vMerge w:val="continue"/>
          </w:tcPr>
          <w:p>
            <w:pPr>
              <w:spacing w:line="500" w:lineRule="exact"/>
              <w:jc w:val="left"/>
              <w:rPr>
                <w:rFonts w:ascii="Times New Roman" w:hAnsi="Times New Roman" w:eastAsia="仿宋"/>
                <w:color w:val="000000" w:themeColor="text1"/>
                <w:sz w:val="24"/>
                <w:szCs w:val="32"/>
                <w14:textFill>
                  <w14:solidFill>
                    <w14:schemeClr w14:val="tx1"/>
                  </w14:solidFill>
                </w14:textFill>
              </w:rPr>
            </w:pPr>
          </w:p>
        </w:tc>
        <w:tc>
          <w:tcPr>
            <w:tcW w:w="3969" w:type="dxa"/>
            <w:gridSpan w:val="2"/>
          </w:tcPr>
          <w:p>
            <w:pPr>
              <w:spacing w:line="500" w:lineRule="exact"/>
              <w:jc w:val="left"/>
              <w:rPr>
                <w:rFonts w:ascii="Times New Roman" w:hAnsi="Times New Roman" w:eastAsia="仿宋"/>
                <w:color w:val="000000" w:themeColor="text1"/>
                <w:sz w:val="24"/>
                <w:szCs w:val="32"/>
                <w14:textFill>
                  <w14:solidFill>
                    <w14:schemeClr w14:val="tx1"/>
                  </w14:solidFill>
                </w14:textFill>
              </w:rPr>
            </w:pPr>
            <w:r>
              <w:rPr>
                <w:rFonts w:ascii="Times New Roman" w:hAnsi="Times New Roman" w:eastAsia="仿宋"/>
                <w:color w:val="000000" w:themeColor="text1"/>
                <w:sz w:val="24"/>
                <w:szCs w:val="32"/>
                <w14:textFill>
                  <w14:solidFill>
                    <w14:schemeClr w14:val="tx1"/>
                  </w14:solidFill>
                </w14:textFill>
              </w:rPr>
              <w:t>回购价格（元/股）</w:t>
            </w:r>
          </w:p>
        </w:tc>
        <w:tc>
          <w:tcPr>
            <w:tcW w:w="2835" w:type="dxa"/>
          </w:tcPr>
          <w:p>
            <w:pPr>
              <w:spacing w:line="500" w:lineRule="exact"/>
              <w:jc w:val="left"/>
              <w:rPr>
                <w:rFonts w:ascii="Times New Roman" w:hAnsi="Times New Roman" w:eastAsia="仿宋"/>
                <w:color w:val="000000" w:themeColor="text1"/>
                <w:sz w:val="24"/>
                <w:szCs w:val="32"/>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3" w:type="dxa"/>
            <w:vMerge w:val="continue"/>
          </w:tcPr>
          <w:p>
            <w:pPr>
              <w:spacing w:line="500" w:lineRule="exact"/>
              <w:jc w:val="left"/>
              <w:rPr>
                <w:rFonts w:ascii="Times New Roman" w:hAnsi="Times New Roman" w:eastAsia="仿宋"/>
                <w:color w:val="000000" w:themeColor="text1"/>
                <w:sz w:val="24"/>
                <w:szCs w:val="32"/>
                <w14:textFill>
                  <w14:solidFill>
                    <w14:schemeClr w14:val="tx1"/>
                  </w14:solidFill>
                </w14:textFill>
              </w:rPr>
            </w:pPr>
          </w:p>
        </w:tc>
        <w:tc>
          <w:tcPr>
            <w:tcW w:w="3969" w:type="dxa"/>
            <w:gridSpan w:val="2"/>
          </w:tcPr>
          <w:p>
            <w:pPr>
              <w:spacing w:line="500" w:lineRule="exact"/>
              <w:jc w:val="left"/>
              <w:rPr>
                <w:rFonts w:ascii="Times New Roman" w:hAnsi="Times New Roman" w:eastAsia="仿宋"/>
                <w:color w:val="000000" w:themeColor="text1"/>
                <w:sz w:val="24"/>
                <w:szCs w:val="32"/>
                <w14:textFill>
                  <w14:solidFill>
                    <w14:schemeClr w14:val="tx1"/>
                  </w14:solidFill>
                </w14:textFill>
              </w:rPr>
            </w:pPr>
            <w:r>
              <w:rPr>
                <w:rFonts w:ascii="Times New Roman" w:hAnsi="Times New Roman" w:eastAsia="仿宋"/>
                <w:color w:val="000000" w:themeColor="text1"/>
                <w:sz w:val="24"/>
                <w:szCs w:val="32"/>
                <w14:textFill>
                  <w14:solidFill>
                    <w14:schemeClr w14:val="tx1"/>
                  </w14:solidFill>
                </w14:textFill>
              </w:rPr>
              <w:t>回购总金额（元；含税费）</w:t>
            </w:r>
          </w:p>
        </w:tc>
        <w:tc>
          <w:tcPr>
            <w:tcW w:w="2835" w:type="dxa"/>
          </w:tcPr>
          <w:p>
            <w:pPr>
              <w:spacing w:line="500" w:lineRule="exact"/>
              <w:jc w:val="left"/>
              <w:rPr>
                <w:rFonts w:ascii="Times New Roman" w:hAnsi="Times New Roman" w:eastAsia="仿宋"/>
                <w:color w:val="000000" w:themeColor="text1"/>
                <w:sz w:val="24"/>
                <w:szCs w:val="32"/>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81" w:hRule="atLeast"/>
          <w:jc w:val="center"/>
        </w:trPr>
        <w:tc>
          <w:tcPr>
            <w:tcW w:w="3964" w:type="dxa"/>
            <w:gridSpan w:val="2"/>
            <w:vAlign w:val="center"/>
          </w:tcPr>
          <w:p>
            <w:pPr>
              <w:spacing w:after="240" w:line="500" w:lineRule="exact"/>
              <w:jc w:val="center"/>
              <w:rPr>
                <w:rFonts w:ascii="Times New Roman" w:hAnsi="Times New Roman" w:eastAsia="仿宋"/>
                <w:color w:val="000000" w:themeColor="text1"/>
                <w:sz w:val="24"/>
                <w:szCs w:val="32"/>
                <w14:textFill>
                  <w14:solidFill>
                    <w14:schemeClr w14:val="tx1"/>
                  </w14:solidFill>
                </w14:textFill>
              </w:rPr>
            </w:pPr>
            <w:r>
              <w:rPr>
                <w:rFonts w:ascii="Times New Roman" w:hAnsi="Times New Roman" w:eastAsia="仿宋"/>
                <w:color w:val="000000" w:themeColor="text1"/>
                <w:sz w:val="24"/>
                <w:szCs w:val="32"/>
                <w14:textFill>
                  <w14:solidFill>
                    <w14:schemeClr w14:val="tx1"/>
                  </w14:solidFill>
                </w14:textFill>
              </w:rPr>
              <w:t>应提交的申请文件</w:t>
            </w:r>
          </w:p>
        </w:tc>
        <w:tc>
          <w:tcPr>
            <w:tcW w:w="5103" w:type="dxa"/>
            <w:gridSpan w:val="2"/>
            <w:vAlign w:val="center"/>
          </w:tcPr>
          <w:p>
            <w:pPr>
              <w:spacing w:line="600" w:lineRule="exact"/>
              <w:rPr>
                <w:rFonts w:ascii="Times New Roman" w:hAnsi="Times New Roman" w:eastAsia="仿宋"/>
                <w:color w:val="000000" w:themeColor="text1"/>
                <w:sz w:val="24"/>
                <w:szCs w:val="32"/>
                <w14:textFill>
                  <w14:solidFill>
                    <w14:schemeClr w14:val="tx1"/>
                  </w14:solidFill>
                </w14:textFill>
              </w:rPr>
            </w:pPr>
            <w:r>
              <w:rPr>
                <w:rFonts w:ascii="Times New Roman" w:hAnsi="Times New Roman" w:eastAsia="仿宋"/>
                <w:color w:val="000000" w:themeColor="text1"/>
                <w:sz w:val="24"/>
                <w:szCs w:val="32"/>
                <w14:textFill>
                  <w14:solidFill>
                    <w14:schemeClr w14:val="tx1"/>
                  </w14:solidFill>
                </w14:textFill>
              </w:rPr>
              <w:t>1. 回购价款缴款证明；</w:t>
            </w:r>
          </w:p>
          <w:p>
            <w:pPr>
              <w:spacing w:line="600" w:lineRule="exact"/>
              <w:rPr>
                <w:rFonts w:hint="eastAsia" w:ascii="Times New Roman" w:hAnsi="Times New Roman" w:eastAsia="仿宋"/>
                <w:color w:val="000000" w:themeColor="text1"/>
                <w:sz w:val="24"/>
                <w:szCs w:val="32"/>
                <w:lang w:eastAsia="zh-CN"/>
                <w14:textFill>
                  <w14:solidFill>
                    <w14:schemeClr w14:val="tx1"/>
                  </w14:solidFill>
                </w14:textFill>
              </w:rPr>
            </w:pPr>
            <w:r>
              <w:rPr>
                <w:rFonts w:ascii="Times New Roman" w:hAnsi="Times New Roman" w:eastAsia="仿宋"/>
                <w:color w:val="000000" w:themeColor="text1"/>
                <w:sz w:val="24"/>
                <w:szCs w:val="32"/>
                <w14:textFill>
                  <w14:solidFill>
                    <w14:schemeClr w14:val="tx1"/>
                  </w14:solidFill>
                </w14:textFill>
              </w:rPr>
              <w:t>2. 预受要约股份查询结果</w:t>
            </w:r>
            <w:r>
              <w:rPr>
                <w:rFonts w:hint="eastAsia" w:ascii="Times New Roman" w:hAnsi="Times New Roman" w:eastAsia="仿宋"/>
                <w:color w:val="000000" w:themeColor="text1"/>
                <w:sz w:val="24"/>
                <w:szCs w:val="32"/>
                <w:lang w:eastAsia="zh-CN"/>
                <w14:textFill>
                  <w14:solidFill>
                    <w14:schemeClr w14:val="tx1"/>
                  </w14:solidFill>
                </w14:textFill>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54" w:hRule="atLeast"/>
          <w:jc w:val="center"/>
        </w:trPr>
        <w:tc>
          <w:tcPr>
            <w:tcW w:w="9067" w:type="dxa"/>
            <w:gridSpan w:val="4"/>
            <w:vAlign w:val="center"/>
          </w:tcPr>
          <w:p>
            <w:pPr>
              <w:spacing w:line="600" w:lineRule="exact"/>
              <w:jc w:val="left"/>
              <w:rPr>
                <w:rFonts w:ascii="Times New Roman" w:hAnsi="Times New Roman" w:eastAsia="仿宋"/>
                <w:color w:val="000000" w:themeColor="text1"/>
                <w:sz w:val="24"/>
                <w:szCs w:val="32"/>
                <w14:textFill>
                  <w14:solidFill>
                    <w14:schemeClr w14:val="tx1"/>
                  </w14:solidFill>
                </w14:textFill>
              </w:rPr>
            </w:pPr>
            <w:r>
              <w:rPr>
                <w:rFonts w:ascii="Times New Roman" w:hAnsi="Times New Roman" w:eastAsia="仿宋"/>
                <w:color w:val="000000" w:themeColor="text1"/>
                <w:sz w:val="24"/>
                <w:szCs w:val="32"/>
                <w14:textFill>
                  <w14:solidFill>
                    <w14:schemeClr w14:val="tx1"/>
                  </w14:solidFill>
                </w14:textFill>
              </w:rPr>
              <w:t>本公司确认应提交的申请文件齐备，内容真实、准确、完整。</w:t>
            </w:r>
          </w:p>
          <w:p>
            <w:pPr>
              <w:spacing w:after="240" w:line="500" w:lineRule="exact"/>
              <w:jc w:val="center"/>
              <w:rPr>
                <w:rFonts w:ascii="Times New Roman" w:hAnsi="Times New Roman" w:eastAsia="仿宋"/>
                <w:color w:val="000000" w:themeColor="text1"/>
                <w:sz w:val="24"/>
                <w:szCs w:val="32"/>
                <w14:textFill>
                  <w14:solidFill>
                    <w14:schemeClr w14:val="tx1"/>
                  </w14:solidFill>
                </w14:textFill>
              </w:rPr>
            </w:pPr>
          </w:p>
          <w:p>
            <w:pPr>
              <w:spacing w:after="240" w:line="500" w:lineRule="exact"/>
              <w:jc w:val="right"/>
              <w:rPr>
                <w:rFonts w:ascii="Times New Roman" w:hAnsi="Times New Roman" w:eastAsia="仿宋"/>
                <w:color w:val="000000" w:themeColor="text1"/>
                <w:sz w:val="24"/>
                <w:szCs w:val="32"/>
                <w14:textFill>
                  <w14:solidFill>
                    <w14:schemeClr w14:val="tx1"/>
                  </w14:solidFill>
                </w14:textFill>
              </w:rPr>
            </w:pPr>
            <w:r>
              <w:rPr>
                <w:rFonts w:ascii="Times New Roman" w:hAnsi="Times New Roman" w:eastAsia="仿宋"/>
                <w:color w:val="000000" w:themeColor="text1"/>
                <w:sz w:val="24"/>
                <w:szCs w:val="32"/>
                <w14:textFill>
                  <w14:solidFill>
                    <w14:schemeClr w14:val="tx1"/>
                  </w14:solidFill>
                </w14:textFill>
              </w:rPr>
              <w:t>（上市公司盖章）</w:t>
            </w:r>
          </w:p>
          <w:p>
            <w:pPr>
              <w:spacing w:after="240" w:line="500" w:lineRule="exact"/>
              <w:jc w:val="right"/>
              <w:rPr>
                <w:rFonts w:ascii="Times New Roman" w:hAnsi="Times New Roman" w:eastAsia="仿宋"/>
                <w:color w:val="000000" w:themeColor="text1"/>
                <w:sz w:val="24"/>
                <w:szCs w:val="32"/>
                <w14:textFill>
                  <w14:solidFill>
                    <w14:schemeClr w14:val="tx1"/>
                  </w14:solidFill>
                </w14:textFill>
              </w:rPr>
            </w:pPr>
          </w:p>
        </w:tc>
      </w:tr>
    </w:tbl>
    <w:p>
      <w:pPr>
        <w:spacing w:line="580" w:lineRule="exact"/>
        <w:rPr>
          <w:rFonts w:ascii="Times New Roman" w:hAnsi="Times New Roman" w:eastAsia="仿宋"/>
          <w:sz w:val="32"/>
          <w:szCs w:val="30"/>
        </w:rPr>
      </w:pPr>
    </w:p>
    <w:p>
      <w:pPr>
        <w:widowControl/>
        <w:jc w:val="left"/>
        <w:rPr>
          <w:rFonts w:ascii="Times New Roman" w:hAnsi="Times New Roman" w:eastAsia="仿宋"/>
          <w:sz w:val="32"/>
          <w:szCs w:val="30"/>
        </w:rPr>
      </w:pPr>
      <w:r>
        <w:rPr>
          <w:rFonts w:ascii="Times New Roman" w:hAnsi="Times New Roman" w:eastAsia="仿宋"/>
          <w:sz w:val="32"/>
          <w:szCs w:val="30"/>
        </w:rPr>
        <w:br w:type="page"/>
      </w:r>
    </w:p>
    <w:p>
      <w:pPr>
        <w:spacing w:line="580" w:lineRule="exact"/>
        <w:ind w:right="-59"/>
        <w:rPr>
          <w:rFonts w:ascii="Times New Roman" w:hAnsi="Times New Roman" w:eastAsia="黑体"/>
          <w:sz w:val="32"/>
          <w:szCs w:val="32"/>
        </w:rPr>
      </w:pPr>
      <w:r>
        <w:rPr>
          <w:rFonts w:ascii="Times New Roman" w:hAnsi="Times New Roman" w:eastAsia="黑体"/>
          <w:sz w:val="32"/>
          <w:szCs w:val="32"/>
        </w:rPr>
        <w:t>附件7</w:t>
      </w:r>
    </w:p>
    <w:p>
      <w:pPr>
        <w:jc w:val="center"/>
        <w:rPr>
          <w:rFonts w:ascii="黑体" w:hAnsi="黑体" w:eastAsia="黑体"/>
          <w:b/>
          <w:sz w:val="28"/>
          <w:szCs w:val="28"/>
        </w:rPr>
      </w:pPr>
      <w:r>
        <w:rPr>
          <w:rFonts w:ascii="黑体" w:hAnsi="黑体" w:eastAsia="黑体"/>
          <w:b/>
          <w:sz w:val="28"/>
          <w:szCs w:val="28"/>
        </w:rPr>
        <w:t>XXXX公司定向回购并注销股份申请表</w:t>
      </w:r>
    </w:p>
    <w:p>
      <w:pPr>
        <w:spacing w:after="240"/>
        <w:ind w:firstLine="1440" w:firstLineChars="600"/>
        <w:jc w:val="left"/>
        <w:rPr>
          <w:rFonts w:ascii="仿宋" w:hAnsi="仿宋" w:eastAsia="仿宋"/>
          <w:sz w:val="24"/>
          <w:szCs w:val="21"/>
        </w:rPr>
      </w:pPr>
      <w:r>
        <w:rPr>
          <w:rFonts w:hint="eastAsia" w:ascii="仿宋" w:hAnsi="仿宋" w:eastAsia="仿宋"/>
          <w:sz w:val="24"/>
          <w:szCs w:val="21"/>
        </w:rPr>
        <w:t>证券简称：</w:t>
      </w:r>
      <w:r>
        <w:rPr>
          <w:rFonts w:ascii="仿宋" w:hAnsi="仿宋" w:eastAsia="仿宋"/>
          <w:sz w:val="24"/>
          <w:szCs w:val="21"/>
        </w:rPr>
        <w:t xml:space="preserve">               </w:t>
      </w:r>
      <w:r>
        <w:rPr>
          <w:rFonts w:hint="eastAsia" w:ascii="仿宋" w:hAnsi="仿宋" w:eastAsia="仿宋"/>
          <w:sz w:val="24"/>
          <w:szCs w:val="21"/>
        </w:rPr>
        <w:t>证券代码：</w:t>
      </w:r>
      <w:r>
        <w:rPr>
          <w:rFonts w:ascii="仿宋" w:hAnsi="仿宋" w:eastAsia="仿宋"/>
          <w:sz w:val="24"/>
          <w:szCs w:val="21"/>
        </w:rPr>
        <w:t xml:space="preserve">      </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44"/>
        <w:gridCol w:w="1379"/>
        <w:gridCol w:w="929"/>
        <w:gridCol w:w="415"/>
        <w:gridCol w:w="1725"/>
        <w:gridCol w:w="1490"/>
        <w:gridCol w:w="226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9" w:hRule="exact"/>
        </w:trPr>
        <w:tc>
          <w:tcPr>
            <w:tcW w:w="5000" w:type="pct"/>
            <w:gridSpan w:val="7"/>
            <w:shd w:val="clear" w:color="auto" w:fill="E7E6E6" w:themeFill="background2"/>
            <w:vAlign w:val="center"/>
          </w:tcPr>
          <w:p>
            <w:pPr>
              <w:jc w:val="center"/>
              <w:rPr>
                <w:rFonts w:ascii="仿宋" w:hAnsi="仿宋" w:eastAsia="仿宋"/>
                <w:b/>
                <w:sz w:val="24"/>
                <w:szCs w:val="21"/>
              </w:rPr>
            </w:pPr>
            <w:r>
              <w:rPr>
                <w:rFonts w:hint="eastAsia" w:ascii="仿宋" w:hAnsi="仿宋" w:eastAsia="仿宋"/>
                <w:b/>
                <w:sz w:val="24"/>
                <w:szCs w:val="21"/>
              </w:rPr>
              <w:t>定向回购注销申请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76" w:hRule="exact"/>
        </w:trPr>
        <w:tc>
          <w:tcPr>
            <w:tcW w:w="1706" w:type="pct"/>
            <w:gridSpan w:val="3"/>
            <w:shd w:val="clear" w:color="auto" w:fill="auto"/>
            <w:vAlign w:val="center"/>
          </w:tcPr>
          <w:p>
            <w:pPr>
              <w:jc w:val="center"/>
              <w:rPr>
                <w:rFonts w:ascii="仿宋" w:hAnsi="仿宋" w:eastAsia="仿宋"/>
                <w:sz w:val="24"/>
                <w:szCs w:val="21"/>
              </w:rPr>
            </w:pPr>
            <w:r>
              <w:rPr>
                <w:rFonts w:hint="eastAsia" w:ascii="仿宋" w:hAnsi="仿宋" w:eastAsia="仿宋"/>
                <w:sz w:val="24"/>
                <w:szCs w:val="21"/>
              </w:rPr>
              <w:t>触发回购情形</w:t>
            </w:r>
          </w:p>
        </w:tc>
        <w:tc>
          <w:tcPr>
            <w:tcW w:w="3294" w:type="pct"/>
            <w:gridSpan w:val="4"/>
            <w:shd w:val="clear" w:color="auto" w:fill="auto"/>
            <w:vAlign w:val="center"/>
          </w:tcPr>
          <w:p>
            <w:pPr>
              <w:rPr>
                <w:rFonts w:ascii="仿宋" w:hAnsi="仿宋" w:eastAsia="仿宋"/>
                <w:sz w:val="24"/>
                <w:szCs w:val="21"/>
              </w:rPr>
            </w:pPr>
            <w:r>
              <w:rPr>
                <w:rFonts w:hint="eastAsia" w:ascii="仿宋" w:hAnsi="仿宋" w:eastAsia="仿宋"/>
                <w:sz w:val="24"/>
                <w:szCs w:val="21"/>
              </w:rPr>
              <w:t>□发行股份购买资产、重组上市（涉及股份发行），标的资产业绩未达标</w:t>
            </w:r>
          </w:p>
          <w:p>
            <w:pPr>
              <w:rPr>
                <w:rFonts w:ascii="仿宋" w:hAnsi="仿宋" w:eastAsia="仿宋"/>
                <w:sz w:val="24"/>
                <w:szCs w:val="21"/>
              </w:rPr>
            </w:pPr>
            <w:r>
              <w:rPr>
                <w:rFonts w:hint="eastAsia" w:ascii="仿宋" w:hAnsi="仿宋" w:eastAsia="仿宋"/>
                <w:sz w:val="24"/>
                <w:szCs w:val="21"/>
              </w:rPr>
              <w:t>□股权激励计划规定的应当回购注销的情形</w:t>
            </w:r>
            <w:r>
              <w:rPr>
                <w:rFonts w:ascii="Times New Roman" w:hAnsi="Times New Roman" w:eastAsia="仿宋"/>
                <w:color w:val="000000" w:themeColor="text1"/>
                <w:sz w:val="24"/>
                <w:szCs w:val="32"/>
                <w14:textFill>
                  <w14:solidFill>
                    <w14:schemeClr w14:val="tx1"/>
                  </w14:solidFill>
                </w14:textFill>
              </w:rPr>
              <w:t>*</w:t>
            </w:r>
          </w:p>
          <w:p>
            <w:pPr>
              <w:rPr>
                <w:rFonts w:ascii="仿宋" w:hAnsi="仿宋" w:eastAsia="仿宋"/>
                <w:sz w:val="24"/>
                <w:szCs w:val="21"/>
              </w:rPr>
            </w:pPr>
            <w:r>
              <w:rPr>
                <w:rFonts w:hint="eastAsia" w:ascii="仿宋" w:hAnsi="仿宋" w:eastAsia="仿宋"/>
                <w:sz w:val="24"/>
                <w:szCs w:val="21"/>
              </w:rPr>
              <w:t>□其他</w:t>
            </w:r>
            <w:r>
              <w:rPr>
                <w:rFonts w:ascii="仿宋" w:hAnsi="仿宋" w:eastAsia="仿宋"/>
                <w:sz w:val="24"/>
                <w:szCs w:val="21"/>
              </w:rPr>
              <w:t>____________________</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2" w:hRule="exact"/>
        </w:trPr>
        <w:tc>
          <w:tcPr>
            <w:tcW w:w="1706" w:type="pct"/>
            <w:gridSpan w:val="3"/>
            <w:shd w:val="clear" w:color="auto" w:fill="auto"/>
            <w:vAlign w:val="center"/>
          </w:tcPr>
          <w:p>
            <w:pPr>
              <w:jc w:val="center"/>
              <w:rPr>
                <w:rFonts w:ascii="仿宋" w:hAnsi="仿宋" w:eastAsia="仿宋"/>
                <w:sz w:val="24"/>
                <w:szCs w:val="21"/>
              </w:rPr>
            </w:pPr>
            <w:r>
              <w:rPr>
                <w:rFonts w:hint="eastAsia" w:ascii="仿宋" w:hAnsi="仿宋" w:eastAsia="仿宋"/>
                <w:sz w:val="24"/>
                <w:szCs w:val="21"/>
              </w:rPr>
              <w:t>回购股份方案披露日期</w:t>
            </w:r>
          </w:p>
        </w:tc>
        <w:tc>
          <w:tcPr>
            <w:tcW w:w="3294" w:type="pct"/>
            <w:gridSpan w:val="4"/>
            <w:shd w:val="clear" w:color="auto" w:fill="auto"/>
            <w:vAlign w:val="center"/>
          </w:tcPr>
          <w:p>
            <w:pPr>
              <w:jc w:val="left"/>
              <w:rPr>
                <w:rFonts w:ascii="仿宋" w:hAnsi="仿宋" w:eastAsia="仿宋"/>
                <w:i/>
                <w:color w:val="767171" w:themeColor="background2" w:themeShade="80"/>
                <w:sz w:val="24"/>
                <w:szCs w:val="21"/>
              </w:rPr>
            </w:pPr>
            <w:r>
              <w:rPr>
                <w:rFonts w:ascii="仿宋" w:hAnsi="仿宋" w:eastAsia="仿宋"/>
                <w:i/>
                <w:color w:val="767171" w:themeColor="background2" w:themeShade="80"/>
                <w:sz w:val="24"/>
                <w:szCs w:val="21"/>
              </w:rPr>
              <w:t>X</w:t>
            </w:r>
            <w:r>
              <w:rPr>
                <w:rFonts w:hint="eastAsia" w:ascii="仿宋" w:hAnsi="仿宋" w:eastAsia="仿宋"/>
                <w:i/>
                <w:color w:val="767171" w:themeColor="background2" w:themeShade="80"/>
                <w:sz w:val="24"/>
                <w:szCs w:val="21"/>
              </w:rPr>
              <w:t>年</w:t>
            </w:r>
            <w:r>
              <w:rPr>
                <w:rFonts w:ascii="仿宋" w:hAnsi="仿宋" w:eastAsia="仿宋"/>
                <w:i/>
                <w:color w:val="767171" w:themeColor="background2" w:themeShade="80"/>
                <w:sz w:val="24"/>
                <w:szCs w:val="21"/>
              </w:rPr>
              <w:t>X</w:t>
            </w:r>
            <w:r>
              <w:rPr>
                <w:rFonts w:hint="eastAsia" w:ascii="仿宋" w:hAnsi="仿宋" w:eastAsia="仿宋"/>
                <w:i/>
                <w:color w:val="767171" w:themeColor="background2" w:themeShade="80"/>
                <w:sz w:val="24"/>
                <w:szCs w:val="21"/>
              </w:rPr>
              <w:t>月</w:t>
            </w:r>
            <w:r>
              <w:rPr>
                <w:rFonts w:ascii="仿宋" w:hAnsi="仿宋" w:eastAsia="仿宋"/>
                <w:i/>
                <w:color w:val="767171" w:themeColor="background2" w:themeShade="80"/>
                <w:sz w:val="24"/>
                <w:szCs w:val="21"/>
              </w:rPr>
              <w:t>X</w:t>
            </w:r>
            <w:r>
              <w:rPr>
                <w:rFonts w:hint="eastAsia" w:ascii="仿宋" w:hAnsi="仿宋" w:eastAsia="仿宋"/>
                <w:i/>
                <w:color w:val="767171" w:themeColor="background2" w:themeShade="80"/>
                <w:sz w:val="24"/>
                <w:szCs w:val="21"/>
              </w:rPr>
              <w:t>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1" w:hRule="exact"/>
        </w:trPr>
        <w:tc>
          <w:tcPr>
            <w:tcW w:w="1706" w:type="pct"/>
            <w:gridSpan w:val="3"/>
            <w:shd w:val="clear" w:color="auto" w:fill="auto"/>
            <w:vAlign w:val="center"/>
          </w:tcPr>
          <w:p>
            <w:pPr>
              <w:jc w:val="center"/>
              <w:rPr>
                <w:rFonts w:ascii="仿宋" w:hAnsi="仿宋" w:eastAsia="仿宋"/>
                <w:sz w:val="24"/>
                <w:szCs w:val="21"/>
              </w:rPr>
            </w:pPr>
            <w:r>
              <w:rPr>
                <w:rFonts w:hint="eastAsia" w:ascii="仿宋" w:hAnsi="仿宋" w:eastAsia="仿宋"/>
                <w:sz w:val="24"/>
                <w:szCs w:val="21"/>
              </w:rPr>
              <w:t>载明回购条款的文件</w:t>
            </w:r>
          </w:p>
          <w:p>
            <w:pPr>
              <w:jc w:val="center"/>
              <w:rPr>
                <w:rFonts w:ascii="仿宋" w:hAnsi="仿宋" w:eastAsia="仿宋"/>
                <w:sz w:val="24"/>
                <w:szCs w:val="21"/>
              </w:rPr>
            </w:pPr>
            <w:r>
              <w:rPr>
                <w:rFonts w:hint="eastAsia" w:ascii="仿宋" w:hAnsi="仿宋" w:eastAsia="仿宋"/>
                <w:sz w:val="24"/>
                <w:szCs w:val="21"/>
              </w:rPr>
              <w:t>及披露日期</w:t>
            </w:r>
          </w:p>
        </w:tc>
        <w:tc>
          <w:tcPr>
            <w:tcW w:w="3294" w:type="pct"/>
            <w:gridSpan w:val="4"/>
            <w:shd w:val="clear" w:color="auto" w:fill="auto"/>
            <w:vAlign w:val="center"/>
          </w:tcPr>
          <w:p>
            <w:pPr>
              <w:rPr>
                <w:rFonts w:ascii="仿宋" w:hAnsi="仿宋" w:eastAsia="仿宋"/>
                <w:i/>
                <w:color w:val="767171" w:themeColor="background2" w:themeShade="80"/>
                <w:sz w:val="24"/>
                <w:szCs w:val="21"/>
              </w:rPr>
            </w:pPr>
            <w:r>
              <w:rPr>
                <w:rFonts w:hint="eastAsia" w:ascii="仿宋" w:hAnsi="仿宋" w:eastAsia="仿宋"/>
                <w:i/>
                <w:color w:val="767171" w:themeColor="background2" w:themeShade="80"/>
                <w:sz w:val="24"/>
                <w:szCs w:val="21"/>
              </w:rPr>
              <w:t>《</w:t>
            </w:r>
            <w:r>
              <w:rPr>
                <w:rFonts w:ascii="仿宋" w:hAnsi="仿宋" w:eastAsia="仿宋"/>
                <w:i/>
                <w:color w:val="767171" w:themeColor="background2" w:themeShade="80"/>
                <w:sz w:val="24"/>
                <w:szCs w:val="21"/>
              </w:rPr>
              <w:t>XXXX</w:t>
            </w:r>
            <w:r>
              <w:rPr>
                <w:rFonts w:hint="eastAsia" w:ascii="仿宋" w:hAnsi="仿宋" w:eastAsia="仿宋"/>
                <w:i/>
                <w:color w:val="767171" w:themeColor="background2" w:themeShade="80"/>
                <w:sz w:val="24"/>
                <w:szCs w:val="21"/>
              </w:rPr>
              <w:t>》，</w:t>
            </w:r>
            <w:r>
              <w:rPr>
                <w:rFonts w:ascii="仿宋" w:hAnsi="仿宋" w:eastAsia="仿宋"/>
                <w:i/>
                <w:color w:val="767171" w:themeColor="background2" w:themeShade="80"/>
                <w:sz w:val="24"/>
                <w:szCs w:val="21"/>
              </w:rPr>
              <w:t>X</w:t>
            </w:r>
            <w:r>
              <w:rPr>
                <w:rFonts w:hint="eastAsia" w:ascii="仿宋" w:hAnsi="仿宋" w:eastAsia="仿宋"/>
                <w:i/>
                <w:color w:val="767171" w:themeColor="background2" w:themeShade="80"/>
                <w:sz w:val="24"/>
                <w:szCs w:val="21"/>
              </w:rPr>
              <w:t>年</w:t>
            </w:r>
            <w:r>
              <w:rPr>
                <w:rFonts w:ascii="仿宋" w:hAnsi="仿宋" w:eastAsia="仿宋"/>
                <w:i/>
                <w:color w:val="767171" w:themeColor="background2" w:themeShade="80"/>
                <w:sz w:val="24"/>
                <w:szCs w:val="21"/>
              </w:rPr>
              <w:t>X</w:t>
            </w:r>
            <w:r>
              <w:rPr>
                <w:rFonts w:hint="eastAsia" w:ascii="仿宋" w:hAnsi="仿宋" w:eastAsia="仿宋"/>
                <w:i/>
                <w:color w:val="767171" w:themeColor="background2" w:themeShade="80"/>
                <w:sz w:val="24"/>
                <w:szCs w:val="21"/>
              </w:rPr>
              <w:t>月</w:t>
            </w:r>
            <w:r>
              <w:rPr>
                <w:rFonts w:ascii="仿宋" w:hAnsi="仿宋" w:eastAsia="仿宋"/>
                <w:i/>
                <w:color w:val="767171" w:themeColor="background2" w:themeShade="80"/>
                <w:sz w:val="24"/>
                <w:szCs w:val="21"/>
              </w:rPr>
              <w:t>X</w:t>
            </w:r>
            <w:r>
              <w:rPr>
                <w:rFonts w:hint="eastAsia" w:ascii="仿宋" w:hAnsi="仿宋" w:eastAsia="仿宋"/>
                <w:i/>
                <w:color w:val="767171" w:themeColor="background2" w:themeShade="80"/>
                <w:sz w:val="24"/>
                <w:szCs w:val="21"/>
              </w:rPr>
              <w:t>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56" w:hRule="exact"/>
        </w:trPr>
        <w:tc>
          <w:tcPr>
            <w:tcW w:w="1706" w:type="pct"/>
            <w:gridSpan w:val="3"/>
            <w:shd w:val="clear" w:color="auto" w:fill="auto"/>
            <w:vAlign w:val="center"/>
          </w:tcPr>
          <w:p>
            <w:pPr>
              <w:jc w:val="center"/>
              <w:rPr>
                <w:rFonts w:ascii="仿宋" w:hAnsi="仿宋" w:eastAsia="仿宋"/>
                <w:sz w:val="24"/>
                <w:szCs w:val="21"/>
              </w:rPr>
            </w:pPr>
            <w:r>
              <w:rPr>
                <w:rFonts w:hint="eastAsia" w:ascii="仿宋" w:hAnsi="仿宋" w:eastAsia="仿宋"/>
                <w:sz w:val="24"/>
                <w:szCs w:val="21"/>
              </w:rPr>
              <w:t>回购方案与回购条款一致性</w:t>
            </w:r>
          </w:p>
        </w:tc>
        <w:tc>
          <w:tcPr>
            <w:tcW w:w="3294" w:type="pct"/>
            <w:gridSpan w:val="4"/>
            <w:shd w:val="clear" w:color="auto" w:fill="auto"/>
            <w:vAlign w:val="center"/>
          </w:tcPr>
          <w:p>
            <w:pPr>
              <w:rPr>
                <w:rFonts w:ascii="仿宋" w:hAnsi="仿宋" w:eastAsia="仿宋"/>
                <w:color w:val="767171" w:themeColor="background2" w:themeShade="80"/>
                <w:sz w:val="24"/>
                <w:szCs w:val="21"/>
              </w:rPr>
            </w:pPr>
            <w:r>
              <w:rPr>
                <w:rFonts w:hint="eastAsia" w:ascii="仿宋" w:hAnsi="仿宋" w:eastAsia="仿宋"/>
                <w:color w:val="000000" w:themeColor="text1"/>
                <w:sz w:val="24"/>
                <w:szCs w:val="21"/>
                <w14:textFill>
                  <w14:solidFill>
                    <w14:schemeClr w14:val="tx1"/>
                  </w14:solidFill>
                </w14:textFill>
              </w:rPr>
              <w:t>□回购条款披露至提交定向回购注销申请期间不存在权益分派事项，无需对回购价格、数量作出调整，回购方案与回购条款一致</w:t>
            </w:r>
          </w:p>
          <w:p>
            <w:pPr>
              <w:rPr>
                <w:rFonts w:ascii="仿宋" w:hAnsi="仿宋" w:eastAsia="仿宋"/>
                <w:color w:val="767171" w:themeColor="background2" w:themeShade="80"/>
                <w:sz w:val="24"/>
                <w:szCs w:val="21"/>
              </w:rPr>
            </w:pPr>
            <w:r>
              <w:rPr>
                <w:rFonts w:hint="eastAsia" w:ascii="仿宋" w:hAnsi="仿宋" w:eastAsia="仿宋"/>
                <w:sz w:val="24"/>
                <w:szCs w:val="21"/>
              </w:rPr>
              <w:t>□</w:t>
            </w:r>
            <w:r>
              <w:rPr>
                <w:rFonts w:hint="eastAsia" w:ascii="仿宋" w:hAnsi="仿宋" w:eastAsia="仿宋"/>
                <w:color w:val="000000" w:themeColor="text1"/>
                <w:sz w:val="24"/>
                <w:szCs w:val="21"/>
                <w14:textFill>
                  <w14:solidFill>
                    <w14:schemeClr w14:val="tx1"/>
                  </w14:solidFill>
                </w14:textFill>
              </w:rPr>
              <w:t>回购条款披露至提交定向回购注销申请期间</w:t>
            </w:r>
            <w:r>
              <w:rPr>
                <w:rFonts w:hint="eastAsia" w:ascii="仿宋" w:hAnsi="仿宋" w:eastAsia="仿宋"/>
                <w:sz w:val="24"/>
                <w:szCs w:val="21"/>
              </w:rPr>
              <w:t>存在权益分派事项，已对回购价格、数量作出调整，回购方案与回购条款一致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2" w:hRule="exact"/>
        </w:trPr>
        <w:tc>
          <w:tcPr>
            <w:tcW w:w="1706" w:type="pct"/>
            <w:gridSpan w:val="3"/>
            <w:shd w:val="clear" w:color="auto" w:fill="auto"/>
            <w:vAlign w:val="center"/>
          </w:tcPr>
          <w:p>
            <w:pPr>
              <w:jc w:val="center"/>
              <w:rPr>
                <w:rFonts w:ascii="仿宋" w:hAnsi="仿宋" w:eastAsia="仿宋"/>
                <w:sz w:val="24"/>
                <w:szCs w:val="21"/>
              </w:rPr>
            </w:pPr>
            <w:r>
              <w:rPr>
                <w:rFonts w:hint="eastAsia" w:ascii="仿宋" w:hAnsi="仿宋" w:eastAsia="仿宋"/>
                <w:sz w:val="24"/>
                <w:szCs w:val="21"/>
              </w:rPr>
              <w:t>回购对象异议情况</w:t>
            </w:r>
          </w:p>
        </w:tc>
        <w:tc>
          <w:tcPr>
            <w:tcW w:w="3294" w:type="pct"/>
            <w:gridSpan w:val="4"/>
            <w:shd w:val="clear" w:color="auto" w:fill="auto"/>
            <w:vAlign w:val="center"/>
          </w:tcPr>
          <w:p>
            <w:pPr>
              <w:rPr>
                <w:rFonts w:ascii="仿宋" w:hAnsi="仿宋" w:eastAsia="仿宋"/>
                <w:color w:val="767171" w:themeColor="background2" w:themeShade="80"/>
                <w:sz w:val="24"/>
                <w:szCs w:val="21"/>
              </w:rPr>
            </w:pPr>
            <w:r>
              <w:rPr>
                <w:rFonts w:hint="eastAsia" w:ascii="仿宋" w:hAnsi="仿宋" w:eastAsia="仿宋"/>
                <w:color w:val="000000" w:themeColor="text1"/>
                <w:sz w:val="24"/>
                <w:szCs w:val="21"/>
                <w14:textFill>
                  <w14:solidFill>
                    <w14:schemeClr w14:val="tx1"/>
                  </w14:solidFill>
                </w14:textFill>
              </w:rPr>
              <w:t>□无异议</w:t>
            </w:r>
          </w:p>
          <w:p>
            <w:pPr>
              <w:jc w:val="left"/>
              <w:rPr>
                <w:rFonts w:ascii="仿宋" w:hAnsi="仿宋" w:eastAsia="仿宋"/>
                <w:sz w:val="24"/>
                <w:szCs w:val="21"/>
              </w:rPr>
            </w:pPr>
            <w:r>
              <w:rPr>
                <w:rFonts w:hint="eastAsia" w:ascii="仿宋" w:hAnsi="仿宋" w:eastAsia="仿宋"/>
                <w:sz w:val="24"/>
                <w:szCs w:val="21"/>
              </w:rPr>
              <w:t>□有异议，异议不成立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8" w:hRule="exact"/>
        </w:trPr>
        <w:tc>
          <w:tcPr>
            <w:tcW w:w="1706" w:type="pct"/>
            <w:gridSpan w:val="3"/>
            <w:shd w:val="clear" w:color="auto" w:fill="auto"/>
            <w:vAlign w:val="center"/>
          </w:tcPr>
          <w:p>
            <w:pPr>
              <w:jc w:val="center"/>
              <w:rPr>
                <w:rFonts w:ascii="仿宋" w:hAnsi="仿宋" w:eastAsia="仿宋"/>
                <w:sz w:val="24"/>
                <w:szCs w:val="21"/>
              </w:rPr>
            </w:pPr>
            <w:r>
              <w:rPr>
                <w:rFonts w:hint="eastAsia" w:ascii="仿宋" w:hAnsi="仿宋" w:eastAsia="仿宋"/>
                <w:sz w:val="24"/>
                <w:szCs w:val="21"/>
              </w:rPr>
              <w:t>债权人通知情况</w:t>
            </w:r>
          </w:p>
        </w:tc>
        <w:tc>
          <w:tcPr>
            <w:tcW w:w="3294" w:type="pct"/>
            <w:gridSpan w:val="4"/>
            <w:shd w:val="clear" w:color="auto" w:fill="auto"/>
            <w:vAlign w:val="center"/>
          </w:tcPr>
          <w:p>
            <w:pPr>
              <w:rPr>
                <w:rFonts w:ascii="仿宋" w:hAnsi="仿宋" w:eastAsia="仿宋"/>
                <w:i/>
                <w:color w:val="000000" w:themeColor="text1"/>
                <w:sz w:val="24"/>
                <w:szCs w:val="21"/>
                <w14:textFill>
                  <w14:solidFill>
                    <w14:schemeClr w14:val="tx1"/>
                  </w14:solidFill>
                </w14:textFill>
              </w:rPr>
            </w:pPr>
            <w:r>
              <w:rPr>
                <w:rFonts w:ascii="仿宋" w:hAnsi="仿宋" w:eastAsia="仿宋"/>
                <w:i/>
                <w:color w:val="767171" w:themeColor="background2" w:themeShade="80"/>
                <w:sz w:val="24"/>
                <w:szCs w:val="21"/>
              </w:rPr>
              <w:t>X</w:t>
            </w:r>
            <w:r>
              <w:rPr>
                <w:rFonts w:hint="eastAsia" w:ascii="仿宋" w:hAnsi="仿宋" w:eastAsia="仿宋"/>
                <w:i/>
                <w:color w:val="767171" w:themeColor="background2" w:themeShade="80"/>
                <w:sz w:val="24"/>
                <w:szCs w:val="21"/>
              </w:rPr>
              <w:t>年</w:t>
            </w:r>
            <w:r>
              <w:rPr>
                <w:rFonts w:ascii="仿宋" w:hAnsi="仿宋" w:eastAsia="仿宋"/>
                <w:i/>
                <w:color w:val="767171" w:themeColor="background2" w:themeShade="80"/>
                <w:sz w:val="24"/>
                <w:szCs w:val="21"/>
              </w:rPr>
              <w:t>X</w:t>
            </w:r>
            <w:r>
              <w:rPr>
                <w:rFonts w:hint="eastAsia" w:ascii="仿宋" w:hAnsi="仿宋" w:eastAsia="仿宋"/>
                <w:i/>
                <w:color w:val="767171" w:themeColor="background2" w:themeShade="80"/>
                <w:sz w:val="24"/>
                <w:szCs w:val="21"/>
              </w:rPr>
              <w:t>月</w:t>
            </w:r>
            <w:r>
              <w:rPr>
                <w:rFonts w:ascii="仿宋" w:hAnsi="仿宋" w:eastAsia="仿宋"/>
                <w:i/>
                <w:color w:val="767171" w:themeColor="background2" w:themeShade="80"/>
                <w:sz w:val="24"/>
                <w:szCs w:val="21"/>
              </w:rPr>
              <w:t>X</w:t>
            </w:r>
            <w:r>
              <w:rPr>
                <w:rFonts w:hint="eastAsia" w:ascii="仿宋" w:hAnsi="仿宋" w:eastAsia="仿宋"/>
                <w:i/>
                <w:color w:val="767171" w:themeColor="background2" w:themeShade="80"/>
                <w:sz w:val="24"/>
                <w:szCs w:val="21"/>
              </w:rPr>
              <w:t>日在《</w:t>
            </w:r>
            <w:r>
              <w:rPr>
                <w:rFonts w:ascii="仿宋" w:hAnsi="仿宋" w:eastAsia="仿宋"/>
                <w:i/>
                <w:color w:val="767171" w:themeColor="background2" w:themeShade="80"/>
                <w:sz w:val="24"/>
                <w:szCs w:val="21"/>
              </w:rPr>
              <w:t>XXXX</w:t>
            </w:r>
            <w:r>
              <w:rPr>
                <w:rFonts w:hint="eastAsia" w:ascii="仿宋" w:hAnsi="仿宋" w:eastAsia="仿宋"/>
                <w:i/>
                <w:color w:val="767171" w:themeColor="background2" w:themeShade="80"/>
                <w:sz w:val="24"/>
                <w:szCs w:val="21"/>
              </w:rPr>
              <w:t>》刊登减资事项，并于</w:t>
            </w:r>
            <w:r>
              <w:rPr>
                <w:rFonts w:ascii="仿宋" w:hAnsi="仿宋" w:eastAsia="仿宋"/>
                <w:i/>
                <w:color w:val="767171" w:themeColor="background2" w:themeShade="80"/>
                <w:sz w:val="24"/>
                <w:szCs w:val="21"/>
              </w:rPr>
              <w:t>X</w:t>
            </w:r>
            <w:r>
              <w:rPr>
                <w:rFonts w:hint="eastAsia" w:ascii="仿宋" w:hAnsi="仿宋" w:eastAsia="仿宋"/>
                <w:i/>
                <w:color w:val="767171" w:themeColor="background2" w:themeShade="80"/>
                <w:sz w:val="24"/>
                <w:szCs w:val="21"/>
              </w:rPr>
              <w:t>年</w:t>
            </w:r>
            <w:r>
              <w:rPr>
                <w:rFonts w:ascii="仿宋" w:hAnsi="仿宋" w:eastAsia="仿宋"/>
                <w:i/>
                <w:color w:val="767171" w:themeColor="background2" w:themeShade="80"/>
                <w:sz w:val="24"/>
                <w:szCs w:val="21"/>
              </w:rPr>
              <w:t>X</w:t>
            </w:r>
            <w:r>
              <w:rPr>
                <w:rFonts w:hint="eastAsia" w:ascii="仿宋" w:hAnsi="仿宋" w:eastAsia="仿宋"/>
                <w:i/>
                <w:color w:val="767171" w:themeColor="background2" w:themeShade="80"/>
                <w:sz w:val="24"/>
                <w:szCs w:val="21"/>
              </w:rPr>
              <w:t>月</w:t>
            </w:r>
            <w:r>
              <w:rPr>
                <w:rFonts w:ascii="仿宋" w:hAnsi="仿宋" w:eastAsia="仿宋"/>
                <w:i/>
                <w:color w:val="767171" w:themeColor="background2" w:themeShade="80"/>
                <w:sz w:val="24"/>
                <w:szCs w:val="21"/>
              </w:rPr>
              <w:t>X</w:t>
            </w:r>
            <w:r>
              <w:rPr>
                <w:rFonts w:hint="eastAsia" w:ascii="仿宋" w:hAnsi="仿宋" w:eastAsia="仿宋"/>
                <w:i/>
                <w:color w:val="767171" w:themeColor="background2" w:themeShade="80"/>
                <w:sz w:val="24"/>
                <w:szCs w:val="21"/>
              </w:rPr>
              <w:t>日披露债权人通知情况相关公告</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4" w:hRule="exact"/>
        </w:trPr>
        <w:tc>
          <w:tcPr>
            <w:tcW w:w="1706" w:type="pct"/>
            <w:gridSpan w:val="3"/>
            <w:shd w:val="clear" w:color="auto" w:fill="auto"/>
            <w:vAlign w:val="center"/>
          </w:tcPr>
          <w:p>
            <w:pPr>
              <w:jc w:val="center"/>
              <w:rPr>
                <w:rFonts w:ascii="仿宋" w:hAnsi="仿宋" w:eastAsia="仿宋"/>
                <w:sz w:val="24"/>
                <w:szCs w:val="21"/>
              </w:rPr>
            </w:pPr>
            <w:r>
              <w:rPr>
                <w:rFonts w:hint="eastAsia" w:ascii="仿宋" w:hAnsi="仿宋" w:eastAsia="仿宋"/>
                <w:sz w:val="24"/>
                <w:szCs w:val="21"/>
              </w:rPr>
              <w:t>其他需说明的情况</w:t>
            </w:r>
          </w:p>
        </w:tc>
        <w:tc>
          <w:tcPr>
            <w:tcW w:w="3294" w:type="pct"/>
            <w:gridSpan w:val="4"/>
            <w:shd w:val="clear" w:color="auto" w:fill="auto"/>
            <w:vAlign w:val="center"/>
          </w:tcPr>
          <w:p>
            <w:pPr>
              <w:rPr>
                <w:rFonts w:ascii="仿宋" w:hAnsi="仿宋" w:eastAsia="仿宋"/>
                <w:i/>
                <w:color w:val="767171" w:themeColor="background2" w:themeShade="80"/>
                <w:sz w:val="24"/>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5000" w:type="pct"/>
            <w:gridSpan w:val="7"/>
            <w:shd w:val="clear" w:color="auto" w:fill="E7E6E6" w:themeFill="background2"/>
            <w:vAlign w:val="center"/>
          </w:tcPr>
          <w:p>
            <w:pPr>
              <w:jc w:val="center"/>
              <w:rPr>
                <w:rFonts w:ascii="仿宋" w:hAnsi="仿宋" w:eastAsia="仿宋"/>
                <w:b/>
                <w:sz w:val="24"/>
                <w:szCs w:val="21"/>
              </w:rPr>
            </w:pPr>
            <w:r>
              <w:rPr>
                <w:rFonts w:hint="eastAsia" w:ascii="仿宋" w:hAnsi="仿宋" w:eastAsia="仿宋"/>
                <w:b/>
                <w:sz w:val="24"/>
                <w:szCs w:val="21"/>
              </w:rPr>
              <w:t>定向回购并注销股份明细表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4" w:hRule="exact"/>
        </w:trPr>
        <w:tc>
          <w:tcPr>
            <w:tcW w:w="416" w:type="pct"/>
            <w:vAlign w:val="center"/>
          </w:tcPr>
          <w:p>
            <w:pPr>
              <w:jc w:val="center"/>
              <w:rPr>
                <w:rFonts w:ascii="仿宋" w:hAnsi="仿宋" w:eastAsia="仿宋"/>
                <w:sz w:val="24"/>
                <w:szCs w:val="21"/>
              </w:rPr>
            </w:pPr>
            <w:r>
              <w:rPr>
                <w:rFonts w:hint="eastAsia" w:ascii="仿宋" w:hAnsi="仿宋" w:eastAsia="仿宋"/>
                <w:sz w:val="24"/>
                <w:szCs w:val="21"/>
              </w:rPr>
              <w:t>序号</w:t>
            </w:r>
          </w:p>
        </w:tc>
        <w:tc>
          <w:tcPr>
            <w:tcW w:w="771" w:type="pct"/>
            <w:vAlign w:val="center"/>
          </w:tcPr>
          <w:p>
            <w:pPr>
              <w:jc w:val="center"/>
              <w:rPr>
                <w:rFonts w:ascii="仿宋" w:hAnsi="仿宋" w:eastAsia="仿宋"/>
                <w:sz w:val="24"/>
                <w:szCs w:val="21"/>
              </w:rPr>
            </w:pPr>
            <w:r>
              <w:rPr>
                <w:rFonts w:hint="eastAsia" w:ascii="仿宋" w:hAnsi="仿宋" w:eastAsia="仿宋"/>
                <w:sz w:val="24"/>
                <w:szCs w:val="21"/>
              </w:rPr>
              <w:t>证券账户</w:t>
            </w:r>
          </w:p>
          <w:p>
            <w:pPr>
              <w:jc w:val="center"/>
              <w:rPr>
                <w:rFonts w:ascii="仿宋" w:hAnsi="仿宋" w:eastAsia="仿宋"/>
                <w:sz w:val="24"/>
                <w:szCs w:val="21"/>
              </w:rPr>
            </w:pPr>
            <w:r>
              <w:rPr>
                <w:rFonts w:hint="eastAsia" w:ascii="仿宋" w:hAnsi="仿宋" w:eastAsia="仿宋"/>
                <w:sz w:val="24"/>
                <w:szCs w:val="21"/>
              </w:rPr>
              <w:t>名称</w:t>
            </w:r>
          </w:p>
        </w:tc>
        <w:tc>
          <w:tcPr>
            <w:tcW w:w="751" w:type="pct"/>
            <w:gridSpan w:val="2"/>
            <w:vAlign w:val="center"/>
          </w:tcPr>
          <w:p>
            <w:pPr>
              <w:jc w:val="center"/>
              <w:rPr>
                <w:rFonts w:ascii="仿宋" w:hAnsi="仿宋" w:eastAsia="仿宋"/>
                <w:sz w:val="24"/>
                <w:szCs w:val="21"/>
              </w:rPr>
            </w:pPr>
            <w:r>
              <w:rPr>
                <w:rFonts w:hint="eastAsia" w:ascii="仿宋" w:hAnsi="仿宋" w:eastAsia="仿宋"/>
                <w:sz w:val="24"/>
                <w:szCs w:val="21"/>
              </w:rPr>
              <w:t>证券账户</w:t>
            </w:r>
          </w:p>
          <w:p>
            <w:pPr>
              <w:jc w:val="center"/>
              <w:rPr>
                <w:rFonts w:ascii="仿宋" w:hAnsi="仿宋" w:eastAsia="仿宋"/>
                <w:sz w:val="24"/>
                <w:szCs w:val="21"/>
              </w:rPr>
            </w:pPr>
            <w:r>
              <w:rPr>
                <w:rFonts w:hint="eastAsia" w:ascii="仿宋" w:hAnsi="仿宋" w:eastAsia="仿宋"/>
                <w:sz w:val="24"/>
                <w:szCs w:val="21"/>
              </w:rPr>
              <w:t>号码</w:t>
            </w:r>
          </w:p>
        </w:tc>
        <w:tc>
          <w:tcPr>
            <w:tcW w:w="964" w:type="pct"/>
            <w:vAlign w:val="center"/>
          </w:tcPr>
          <w:p>
            <w:pPr>
              <w:jc w:val="center"/>
              <w:rPr>
                <w:rFonts w:ascii="仿宋" w:hAnsi="仿宋" w:eastAsia="仿宋"/>
                <w:sz w:val="24"/>
                <w:szCs w:val="21"/>
              </w:rPr>
            </w:pPr>
            <w:r>
              <w:rPr>
                <w:rFonts w:hint="eastAsia" w:ascii="仿宋" w:hAnsi="仿宋" w:eastAsia="仿宋"/>
                <w:sz w:val="24"/>
                <w:szCs w:val="21"/>
              </w:rPr>
              <w:t>回购价格</w:t>
            </w:r>
          </w:p>
        </w:tc>
        <w:tc>
          <w:tcPr>
            <w:tcW w:w="833" w:type="pct"/>
            <w:vAlign w:val="center"/>
          </w:tcPr>
          <w:p>
            <w:pPr>
              <w:jc w:val="center"/>
              <w:rPr>
                <w:rFonts w:ascii="仿宋" w:hAnsi="仿宋" w:eastAsia="仿宋"/>
                <w:sz w:val="24"/>
                <w:szCs w:val="21"/>
              </w:rPr>
            </w:pPr>
            <w:r>
              <w:rPr>
                <w:rFonts w:hint="eastAsia" w:ascii="仿宋" w:hAnsi="仿宋" w:eastAsia="仿宋"/>
                <w:sz w:val="24"/>
                <w:szCs w:val="21"/>
              </w:rPr>
              <w:t>回购股份</w:t>
            </w:r>
          </w:p>
          <w:p>
            <w:pPr>
              <w:jc w:val="center"/>
              <w:rPr>
                <w:rFonts w:ascii="仿宋" w:hAnsi="仿宋" w:eastAsia="仿宋"/>
                <w:sz w:val="24"/>
                <w:szCs w:val="21"/>
              </w:rPr>
            </w:pPr>
            <w:r>
              <w:rPr>
                <w:rFonts w:hint="eastAsia" w:ascii="仿宋" w:hAnsi="仿宋" w:eastAsia="仿宋"/>
                <w:sz w:val="24"/>
                <w:szCs w:val="21"/>
              </w:rPr>
              <w:t>性质</w:t>
            </w:r>
          </w:p>
        </w:tc>
        <w:tc>
          <w:tcPr>
            <w:tcW w:w="1265" w:type="pct"/>
            <w:vAlign w:val="center"/>
          </w:tcPr>
          <w:p>
            <w:pPr>
              <w:jc w:val="center"/>
              <w:rPr>
                <w:rFonts w:ascii="仿宋" w:hAnsi="仿宋" w:eastAsia="仿宋"/>
                <w:sz w:val="24"/>
                <w:szCs w:val="21"/>
              </w:rPr>
            </w:pPr>
            <w:r>
              <w:rPr>
                <w:rFonts w:hint="eastAsia" w:ascii="仿宋" w:hAnsi="仿宋" w:eastAsia="仿宋"/>
                <w:sz w:val="24"/>
                <w:szCs w:val="21"/>
              </w:rPr>
              <w:t>回购并注销</w:t>
            </w:r>
          </w:p>
          <w:p>
            <w:pPr>
              <w:jc w:val="center"/>
              <w:rPr>
                <w:rFonts w:ascii="仿宋" w:hAnsi="仿宋" w:eastAsia="仿宋"/>
                <w:sz w:val="24"/>
                <w:szCs w:val="21"/>
              </w:rPr>
            </w:pPr>
            <w:r>
              <w:rPr>
                <w:rFonts w:hint="eastAsia" w:ascii="仿宋" w:hAnsi="仿宋" w:eastAsia="仿宋"/>
                <w:sz w:val="24"/>
                <w:szCs w:val="21"/>
              </w:rPr>
              <w:t>股份数量（股）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6" w:hRule="exact"/>
        </w:trPr>
        <w:tc>
          <w:tcPr>
            <w:tcW w:w="416" w:type="pct"/>
            <w:vAlign w:val="center"/>
          </w:tcPr>
          <w:p>
            <w:pPr>
              <w:jc w:val="center"/>
              <w:rPr>
                <w:rFonts w:ascii="仿宋" w:hAnsi="仿宋" w:eastAsia="仿宋"/>
                <w:sz w:val="24"/>
                <w:szCs w:val="21"/>
              </w:rPr>
            </w:pPr>
          </w:p>
        </w:tc>
        <w:tc>
          <w:tcPr>
            <w:tcW w:w="771" w:type="pct"/>
            <w:vAlign w:val="center"/>
          </w:tcPr>
          <w:p>
            <w:pPr>
              <w:jc w:val="center"/>
              <w:rPr>
                <w:rFonts w:ascii="仿宋" w:hAnsi="仿宋" w:eastAsia="仿宋"/>
                <w:sz w:val="24"/>
                <w:szCs w:val="21"/>
              </w:rPr>
            </w:pPr>
          </w:p>
        </w:tc>
        <w:tc>
          <w:tcPr>
            <w:tcW w:w="751" w:type="pct"/>
            <w:gridSpan w:val="2"/>
            <w:vAlign w:val="center"/>
          </w:tcPr>
          <w:p>
            <w:pPr>
              <w:jc w:val="center"/>
              <w:rPr>
                <w:rFonts w:ascii="仿宋" w:hAnsi="仿宋" w:eastAsia="仿宋"/>
                <w:sz w:val="24"/>
                <w:szCs w:val="21"/>
              </w:rPr>
            </w:pPr>
          </w:p>
        </w:tc>
        <w:tc>
          <w:tcPr>
            <w:tcW w:w="964" w:type="pct"/>
            <w:vAlign w:val="center"/>
          </w:tcPr>
          <w:p>
            <w:pPr>
              <w:jc w:val="center"/>
              <w:rPr>
                <w:rFonts w:ascii="仿宋" w:hAnsi="仿宋" w:eastAsia="仿宋"/>
                <w:i/>
                <w:color w:val="767171" w:themeColor="background2" w:themeShade="80"/>
                <w:sz w:val="24"/>
                <w:szCs w:val="21"/>
              </w:rPr>
            </w:pPr>
            <w:r>
              <w:rPr>
                <w:rFonts w:hint="eastAsia" w:ascii="仿宋" w:hAnsi="仿宋" w:eastAsia="仿宋"/>
                <w:i/>
                <w:color w:val="767171" w:themeColor="background2" w:themeShade="80"/>
                <w:sz w:val="24"/>
                <w:szCs w:val="21"/>
              </w:rPr>
              <w:t>“</w:t>
            </w:r>
            <w:r>
              <w:rPr>
                <w:rFonts w:ascii="仿宋" w:hAnsi="仿宋" w:eastAsia="仿宋"/>
                <w:i/>
                <w:color w:val="767171" w:themeColor="background2" w:themeShade="80"/>
                <w:sz w:val="24"/>
                <w:szCs w:val="21"/>
              </w:rPr>
              <w:t>X</w:t>
            </w:r>
            <w:r>
              <w:rPr>
                <w:rFonts w:hint="eastAsia" w:ascii="仿宋" w:hAnsi="仿宋" w:eastAsia="仿宋"/>
                <w:i/>
                <w:color w:val="767171" w:themeColor="background2" w:themeShade="80"/>
                <w:sz w:val="24"/>
                <w:szCs w:val="21"/>
              </w:rPr>
              <w:t>元</w:t>
            </w:r>
            <w:r>
              <w:rPr>
                <w:rFonts w:ascii="仿宋" w:hAnsi="仿宋" w:eastAsia="仿宋"/>
                <w:i/>
                <w:color w:val="767171" w:themeColor="background2" w:themeShade="80"/>
                <w:sz w:val="24"/>
                <w:szCs w:val="21"/>
              </w:rPr>
              <w:t>/</w:t>
            </w:r>
            <w:r>
              <w:rPr>
                <w:rFonts w:hint="eastAsia" w:ascii="仿宋" w:hAnsi="仿宋" w:eastAsia="仿宋"/>
                <w:i/>
                <w:color w:val="767171" w:themeColor="background2" w:themeShade="80"/>
                <w:sz w:val="24"/>
                <w:szCs w:val="21"/>
              </w:rPr>
              <w:t>股”</w:t>
            </w:r>
          </w:p>
          <w:p>
            <w:pPr>
              <w:jc w:val="center"/>
              <w:rPr>
                <w:rFonts w:ascii="仿宋" w:hAnsi="仿宋" w:eastAsia="仿宋"/>
                <w:sz w:val="24"/>
                <w:szCs w:val="21"/>
              </w:rPr>
            </w:pPr>
            <w:r>
              <w:rPr>
                <w:rFonts w:ascii="仿宋" w:hAnsi="仿宋" w:eastAsia="仿宋"/>
                <w:i/>
                <w:color w:val="767171" w:themeColor="background2" w:themeShade="80"/>
                <w:sz w:val="24"/>
                <w:szCs w:val="21"/>
              </w:rPr>
              <w:t>/</w:t>
            </w:r>
            <w:r>
              <w:rPr>
                <w:rFonts w:hint="eastAsia" w:ascii="仿宋" w:hAnsi="仿宋" w:eastAsia="仿宋"/>
                <w:i/>
                <w:color w:val="767171" w:themeColor="background2" w:themeShade="80"/>
                <w:sz w:val="24"/>
                <w:szCs w:val="21"/>
              </w:rPr>
              <w:t>“总价</w:t>
            </w:r>
            <w:r>
              <w:rPr>
                <w:rFonts w:ascii="仿宋" w:hAnsi="仿宋" w:eastAsia="仿宋"/>
                <w:i/>
                <w:color w:val="767171" w:themeColor="background2" w:themeShade="80"/>
                <w:sz w:val="24"/>
                <w:szCs w:val="21"/>
              </w:rPr>
              <w:t>X”</w:t>
            </w:r>
            <w:r>
              <w:rPr>
                <w:rFonts w:hint="eastAsia" w:ascii="仿宋" w:hAnsi="仿宋" w:eastAsia="仿宋"/>
                <w:i/>
                <w:color w:val="767171" w:themeColor="background2" w:themeShade="80"/>
                <w:sz w:val="24"/>
                <w:szCs w:val="21"/>
              </w:rPr>
              <w:t>元”</w:t>
            </w:r>
          </w:p>
        </w:tc>
        <w:tc>
          <w:tcPr>
            <w:tcW w:w="833" w:type="pct"/>
            <w:vAlign w:val="center"/>
          </w:tcPr>
          <w:p>
            <w:pPr>
              <w:jc w:val="center"/>
              <w:rPr>
                <w:rFonts w:ascii="仿宋" w:hAnsi="仿宋" w:eastAsia="仿宋"/>
                <w:sz w:val="24"/>
                <w:szCs w:val="21"/>
              </w:rPr>
            </w:pPr>
            <w:r>
              <w:rPr>
                <w:rFonts w:hint="eastAsia" w:ascii="仿宋" w:hAnsi="仿宋" w:eastAsia="仿宋"/>
                <w:i/>
                <w:color w:val="767171" w:themeColor="background2" w:themeShade="80"/>
                <w:sz w:val="24"/>
                <w:szCs w:val="21"/>
              </w:rPr>
              <w:t>限售股</w:t>
            </w:r>
            <w:r>
              <w:rPr>
                <w:rFonts w:ascii="仿宋" w:hAnsi="仿宋" w:eastAsia="仿宋"/>
                <w:i/>
                <w:color w:val="767171" w:themeColor="background2" w:themeShade="80"/>
                <w:sz w:val="24"/>
                <w:szCs w:val="21"/>
              </w:rPr>
              <w:t>/</w:t>
            </w:r>
            <w:r>
              <w:rPr>
                <w:rFonts w:hint="eastAsia" w:ascii="仿宋" w:hAnsi="仿宋" w:eastAsia="仿宋"/>
                <w:i/>
                <w:color w:val="767171" w:themeColor="background2" w:themeShade="80"/>
                <w:sz w:val="24"/>
                <w:szCs w:val="21"/>
              </w:rPr>
              <w:t>无限售流通股</w:t>
            </w:r>
          </w:p>
        </w:tc>
        <w:tc>
          <w:tcPr>
            <w:tcW w:w="1265" w:type="pct"/>
            <w:vAlign w:val="center"/>
          </w:tcPr>
          <w:p>
            <w:pPr>
              <w:jc w:val="center"/>
              <w:rPr>
                <w:rFonts w:ascii="仿宋" w:hAnsi="仿宋" w:eastAsia="仿宋"/>
                <w:sz w:val="24"/>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exact"/>
        </w:trPr>
        <w:tc>
          <w:tcPr>
            <w:tcW w:w="416" w:type="pct"/>
            <w:vAlign w:val="center"/>
          </w:tcPr>
          <w:p>
            <w:pPr>
              <w:jc w:val="center"/>
              <w:rPr>
                <w:rFonts w:ascii="仿宋" w:hAnsi="仿宋" w:eastAsia="仿宋"/>
                <w:sz w:val="24"/>
                <w:szCs w:val="21"/>
              </w:rPr>
            </w:pPr>
          </w:p>
        </w:tc>
        <w:tc>
          <w:tcPr>
            <w:tcW w:w="771" w:type="pct"/>
            <w:vAlign w:val="center"/>
          </w:tcPr>
          <w:p>
            <w:pPr>
              <w:jc w:val="center"/>
              <w:rPr>
                <w:rFonts w:ascii="仿宋" w:hAnsi="仿宋" w:eastAsia="仿宋"/>
                <w:sz w:val="24"/>
                <w:szCs w:val="21"/>
              </w:rPr>
            </w:pPr>
          </w:p>
        </w:tc>
        <w:tc>
          <w:tcPr>
            <w:tcW w:w="751" w:type="pct"/>
            <w:gridSpan w:val="2"/>
            <w:vAlign w:val="center"/>
          </w:tcPr>
          <w:p>
            <w:pPr>
              <w:jc w:val="center"/>
              <w:rPr>
                <w:rFonts w:ascii="仿宋" w:hAnsi="仿宋" w:eastAsia="仿宋"/>
                <w:sz w:val="24"/>
                <w:szCs w:val="21"/>
              </w:rPr>
            </w:pPr>
          </w:p>
        </w:tc>
        <w:tc>
          <w:tcPr>
            <w:tcW w:w="964" w:type="pct"/>
            <w:vAlign w:val="center"/>
          </w:tcPr>
          <w:p>
            <w:pPr>
              <w:jc w:val="center"/>
              <w:rPr>
                <w:rFonts w:ascii="仿宋" w:hAnsi="仿宋" w:eastAsia="仿宋"/>
                <w:sz w:val="24"/>
                <w:szCs w:val="21"/>
              </w:rPr>
            </w:pPr>
          </w:p>
        </w:tc>
        <w:tc>
          <w:tcPr>
            <w:tcW w:w="833" w:type="pct"/>
            <w:vAlign w:val="center"/>
          </w:tcPr>
          <w:p>
            <w:pPr>
              <w:jc w:val="center"/>
              <w:rPr>
                <w:rFonts w:ascii="仿宋" w:hAnsi="仿宋" w:eastAsia="仿宋"/>
                <w:sz w:val="24"/>
                <w:szCs w:val="21"/>
              </w:rPr>
            </w:pPr>
          </w:p>
        </w:tc>
        <w:tc>
          <w:tcPr>
            <w:tcW w:w="1265" w:type="pct"/>
            <w:vAlign w:val="center"/>
          </w:tcPr>
          <w:p>
            <w:pPr>
              <w:jc w:val="center"/>
              <w:rPr>
                <w:rFonts w:ascii="仿宋" w:hAnsi="仿宋" w:eastAsia="仿宋"/>
                <w:sz w:val="24"/>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3" w:hRule="exact"/>
        </w:trPr>
        <w:tc>
          <w:tcPr>
            <w:tcW w:w="3735" w:type="pct"/>
            <w:gridSpan w:val="6"/>
            <w:vAlign w:val="center"/>
          </w:tcPr>
          <w:p>
            <w:pPr>
              <w:jc w:val="center"/>
              <w:rPr>
                <w:rFonts w:ascii="仿宋" w:hAnsi="仿宋" w:eastAsia="仿宋"/>
                <w:b/>
                <w:sz w:val="24"/>
                <w:szCs w:val="21"/>
              </w:rPr>
            </w:pPr>
            <w:r>
              <w:rPr>
                <w:rFonts w:hint="eastAsia" w:ascii="仿宋" w:hAnsi="仿宋" w:eastAsia="仿宋"/>
                <w:b/>
                <w:sz w:val="24"/>
                <w:szCs w:val="21"/>
              </w:rPr>
              <w:t>总计</w:t>
            </w:r>
          </w:p>
        </w:tc>
        <w:tc>
          <w:tcPr>
            <w:tcW w:w="1265" w:type="pct"/>
            <w:vAlign w:val="center"/>
          </w:tcPr>
          <w:p>
            <w:pPr>
              <w:jc w:val="center"/>
              <w:rPr>
                <w:rFonts w:ascii="仿宋" w:hAnsi="仿宋" w:eastAsia="仿宋"/>
                <w:sz w:val="24"/>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73" w:hRule="exact"/>
        </w:trPr>
        <w:tc>
          <w:tcPr>
            <w:tcW w:w="5000" w:type="pct"/>
            <w:gridSpan w:val="7"/>
            <w:vAlign w:val="center"/>
          </w:tcPr>
          <w:p>
            <w:pPr>
              <w:jc w:val="left"/>
              <w:rPr>
                <w:rFonts w:ascii="仿宋" w:hAnsi="仿宋" w:eastAsia="仿宋"/>
                <w:sz w:val="24"/>
                <w:szCs w:val="21"/>
              </w:rPr>
            </w:pPr>
            <w:r>
              <w:rPr>
                <w:rFonts w:hint="eastAsia" w:ascii="仿宋" w:hAnsi="仿宋" w:eastAsia="仿宋"/>
                <w:sz w:val="24"/>
                <w:szCs w:val="21"/>
              </w:rPr>
              <w:t>申请人（盖章）：</w:t>
            </w:r>
          </w:p>
          <w:p>
            <w:pPr>
              <w:jc w:val="left"/>
              <w:rPr>
                <w:rFonts w:ascii="仿宋" w:hAnsi="仿宋" w:eastAsia="仿宋"/>
                <w:sz w:val="24"/>
                <w:szCs w:val="21"/>
              </w:rPr>
            </w:pPr>
            <w:r>
              <w:rPr>
                <w:rFonts w:hint="eastAsia" w:ascii="仿宋" w:hAnsi="仿宋" w:eastAsia="仿宋"/>
                <w:sz w:val="24"/>
                <w:szCs w:val="21"/>
              </w:rPr>
              <w:t>经办人：</w:t>
            </w:r>
            <w:r>
              <w:rPr>
                <w:rFonts w:ascii="仿宋" w:hAnsi="仿宋" w:eastAsia="仿宋"/>
                <w:sz w:val="24"/>
                <w:szCs w:val="21"/>
              </w:rPr>
              <w:t xml:space="preserve">                                      </w:t>
            </w:r>
            <w:r>
              <w:rPr>
                <w:rFonts w:hint="eastAsia" w:ascii="仿宋" w:hAnsi="仿宋" w:eastAsia="仿宋"/>
                <w:sz w:val="24"/>
                <w:szCs w:val="21"/>
                <w:lang w:eastAsia="zh-CN"/>
              </w:rPr>
              <w:t>复核</w:t>
            </w:r>
            <w:r>
              <w:rPr>
                <w:rFonts w:hint="eastAsia" w:ascii="仿宋" w:hAnsi="仿宋" w:eastAsia="仿宋"/>
                <w:sz w:val="24"/>
                <w:szCs w:val="21"/>
              </w:rPr>
              <w:t>人：</w:t>
            </w:r>
          </w:p>
          <w:p>
            <w:pPr>
              <w:wordWrap w:val="0"/>
              <w:jc w:val="left"/>
              <w:rPr>
                <w:rFonts w:ascii="仿宋" w:hAnsi="仿宋" w:eastAsia="仿宋"/>
                <w:sz w:val="24"/>
                <w:szCs w:val="21"/>
              </w:rPr>
            </w:pPr>
            <w:r>
              <w:rPr>
                <w:rFonts w:hint="eastAsia" w:ascii="仿宋" w:hAnsi="仿宋" w:eastAsia="仿宋"/>
                <w:sz w:val="24"/>
                <w:szCs w:val="21"/>
              </w:rPr>
              <w:t>日期：</w:t>
            </w:r>
            <w:r>
              <w:rPr>
                <w:rFonts w:ascii="仿宋" w:hAnsi="仿宋" w:eastAsia="仿宋"/>
                <w:sz w:val="24"/>
                <w:szCs w:val="21"/>
              </w:rPr>
              <w:t xml:space="preserve">                                        </w:t>
            </w:r>
            <w:r>
              <w:rPr>
                <w:rFonts w:hint="eastAsia" w:ascii="仿宋" w:hAnsi="仿宋" w:eastAsia="仿宋"/>
                <w:sz w:val="24"/>
                <w:szCs w:val="21"/>
              </w:rPr>
              <w:t>日期：</w:t>
            </w:r>
          </w:p>
        </w:tc>
      </w:tr>
    </w:tbl>
    <w:p>
      <w:pPr>
        <w:rPr>
          <w:rFonts w:hint="eastAsia" w:ascii="仿宋" w:hAnsi="仿宋" w:eastAsia="仿宋"/>
          <w:szCs w:val="18"/>
          <w:lang w:val="en-US" w:eastAsia="zh-CN"/>
        </w:rPr>
      </w:pPr>
      <w:r>
        <w:rPr>
          <w:rFonts w:ascii="仿宋" w:hAnsi="仿宋" w:eastAsia="仿宋"/>
          <w:szCs w:val="18"/>
        </w:rPr>
        <w:t>*</w:t>
      </w:r>
      <w:r>
        <w:rPr>
          <w:rFonts w:hint="eastAsia" w:ascii="仿宋" w:hAnsi="仿宋" w:eastAsia="仿宋"/>
          <w:szCs w:val="18"/>
        </w:rPr>
        <w:t>相关股份回购注销应当按照《北京证券交易所持续监管指引第3号——股权激励和员工持股计划》和本所相关规定办理。</w:t>
      </w:r>
    </w:p>
    <w:sectPr>
      <w:footerReference r:id="rId8" w:type="default"/>
      <w:footerReference r:id="rId9" w:type="even"/>
      <w:pgSz w:w="11906" w:h="16838"/>
      <w:pgMar w:top="2098" w:right="1588" w:bottom="1985" w:left="1588" w:header="851" w:footer="992" w:gutter="0"/>
      <w:pgNumType w:fmt="numberInDash"/>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方正书宋_GBK"/>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altName w:val="Times New Roman"/>
    <w:panose1 w:val="020B0604020202020204"/>
    <w:charset w:val="01"/>
    <w:family w:val="swiss"/>
    <w:pitch w:val="default"/>
    <w:sig w:usb0="E0002AFF" w:usb1="C0007843" w:usb2="00000009" w:usb3="00000000" w:csb0="400001FF" w:csb1="FFFF0000"/>
  </w:font>
  <w:font w:name="黑体">
    <w:altName w:val="方正黑体_GBK"/>
    <w:panose1 w:val="02010609060101010101"/>
    <w:charset w:val="86"/>
    <w:family w:val="auto"/>
    <w:pitch w:val="default"/>
    <w:sig w:usb0="800002BF" w:usb1="38CF7CFA" w:usb2="00000016" w:usb3="00000000" w:csb0="00040001" w:csb1="00000000"/>
  </w:font>
  <w:font w:name="Courier New">
    <w:altName w:val="DejaVu Sans"/>
    <w:panose1 w:val="02070309020205020404"/>
    <w:charset w:val="01"/>
    <w:family w:val="modern"/>
    <w:pitch w:val="default"/>
    <w:sig w:usb0="E0002AFF" w:usb1="C0007843" w:usb2="00000009" w:usb3="00000000" w:csb0="400001FF" w:csb1="FFFF0000"/>
  </w:font>
  <w:font w:name="Symbol">
    <w:panose1 w:val="02000609000000000000"/>
    <w:charset w:val="02"/>
    <w:family w:val="roman"/>
    <w:pitch w:val="default"/>
    <w:sig w:usb0="800000AF" w:usb1="4000204A" w:usb2="00000000" w:usb3="00000000" w:csb0="20000000" w:csb1="00000000"/>
  </w:font>
  <w:font w:name="Calibri">
    <w:altName w:val="DejaVu Sans"/>
    <w:panose1 w:val="020F0502020204030204"/>
    <w:charset w:val="00"/>
    <w:family w:val="swiss"/>
    <w:pitch w:val="default"/>
    <w:sig w:usb0="00000000" w:usb1="00000000" w:usb2="00000001" w:usb3="00000000" w:csb0="0000019F" w:csb1="00000000"/>
  </w:font>
  <w:font w:name="方正大标宋简体">
    <w:panose1 w:val="02010601030101010101"/>
    <w:charset w:val="86"/>
    <w:family w:val="auto"/>
    <w:pitch w:val="default"/>
    <w:sig w:usb0="00000001" w:usb1="080E0000" w:usb2="00000000" w:usb3="00000000" w:csb0="00040000" w:csb1="00000000"/>
  </w:font>
  <w:font w:name="楷体">
    <w:altName w:val="方正楷体_GBK"/>
    <w:panose1 w:val="02010609060101010101"/>
    <w:charset w:val="86"/>
    <w:family w:val="modern"/>
    <w:pitch w:val="default"/>
    <w:sig w:usb0="00000000" w:usb1="00000000" w:usb2="00000016" w:usb3="00000000" w:csb0="00040001" w:csb1="00000000"/>
  </w:font>
  <w:font w:name="仿宋">
    <w:panose1 w:val="02010609060101010101"/>
    <w:charset w:val="86"/>
    <w:family w:val="modern"/>
    <w:pitch w:val="default"/>
    <w:sig w:usb0="800002BF" w:usb1="38CF7CFA" w:usb2="00000016" w:usb3="00000000" w:csb0="00040001" w:csb1="00000000"/>
  </w:font>
  <w:font w:name="仿宋_GB2312">
    <w:altName w:val="仿宋"/>
    <w:panose1 w:val="00000000000000000000"/>
    <w:charset w:val="86"/>
    <w:family w:val="modern"/>
    <w:pitch w:val="default"/>
    <w:sig w:usb0="00000000" w:usb1="00000000" w:usb2="00000010" w:usb3="00000000" w:csb0="00040000" w:csb1="00000000"/>
  </w:font>
  <w:font w:name="微软雅黑">
    <w:altName w:val="方正黑体_GBK"/>
    <w:panose1 w:val="020B0503020204020204"/>
    <w:charset w:val="86"/>
    <w:family w:val="swiss"/>
    <w:pitch w:val="default"/>
    <w:sig w:usb0="00000000" w:usb1="00000000" w:usb2="00000016" w:usb3="00000000" w:csb0="0004001F" w:csb1="00000000"/>
  </w:font>
  <w:font w:name="方正仿宋简体">
    <w:altName w:val="方正仿宋_GBK"/>
    <w:panose1 w:val="02010601030101010101"/>
    <w:charset w:val="86"/>
    <w:family w:val="auto"/>
    <w:pitch w:val="default"/>
    <w:sig w:usb0="00000000" w:usb1="00000000" w:usb2="00000000" w:usb3="00000000" w:csb0="00040000" w:csb1="00000000"/>
  </w:font>
  <w:font w:name="方正书宋_GBK">
    <w:panose1 w:val="02000000000000000000"/>
    <w:charset w:val="86"/>
    <w:family w:val="auto"/>
    <w:pitch w:val="default"/>
    <w:sig w:usb0="00000001" w:usb1="08000000" w:usb2="00000000" w:usb3="00000000" w:csb0="00040000" w:csb1="00000000"/>
  </w:font>
  <w:font w:name="DejaVu Sans">
    <w:panose1 w:val="020B0603030804020204"/>
    <w:charset w:val="00"/>
    <w:family w:val="auto"/>
    <w:pitch w:val="default"/>
    <w:sig w:usb0="E7006EFF" w:usb1="D200FDFF" w:usb2="0A246029" w:usb3="0400200C" w:csb0="600001FF" w:csb1="DFFF0000"/>
  </w:font>
  <w:font w:name="Noto Sans CJK JP Bold">
    <w:panose1 w:val="020B0800000000000000"/>
    <w:charset w:val="86"/>
    <w:family w:val="auto"/>
    <w:pitch w:val="default"/>
    <w:sig w:usb0="30000003" w:usb1="2BDF3C10" w:usb2="00000016" w:usb3="00000000" w:csb0="602E0107" w:csb1="00000000"/>
  </w:font>
  <w:font w:name="方正楷体_GBK">
    <w:panose1 w:val="02000000000000000000"/>
    <w:charset w:val="86"/>
    <w:family w:val="auto"/>
    <w:pitch w:val="default"/>
    <w:sig w:usb0="00000001" w:usb1="08000000" w:usb2="00000000" w:usb3="00000000" w:csb0="00040000" w:csb1="00000000"/>
  </w:font>
  <w:font w:name="方正黑体_GBK">
    <w:panose1 w:val="02000000000000000000"/>
    <w:charset w:val="86"/>
    <w:family w:val="auto"/>
    <w:pitch w:val="default"/>
    <w:sig w:usb0="00000001" w:usb1="08000000" w:usb2="00000000" w:usb3="00000000" w:csb0="00040000" w:csb1="00000000"/>
  </w:font>
  <w:font w:name="方正仿宋_GBK">
    <w:panose1 w:val="02000000000000000000"/>
    <w:charset w:val="86"/>
    <w:family w:val="auto"/>
    <w:pitch w:val="default"/>
    <w:sig w:usb0="00000001" w:usb1="0800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jc w:val="right"/>
      <w:rPr>
        <w:rFonts w:asciiTheme="minorEastAsia" w:hAnsiTheme="minorEastAsia"/>
        <w:sz w:val="28"/>
      </w:rPr>
    </w:pPr>
    <w:r>
      <w:rPr>
        <w:sz w:val="28"/>
      </w:rPr>
      <mc:AlternateContent>
        <mc:Choice Requires="wps">
          <w:drawing>
            <wp:anchor distT="0" distB="0" distL="114300" distR="114300" simplePos="0" relativeHeight="251659264" behindDoc="0" locked="0" layoutInCell="1" allowOverlap="1">
              <wp:simplePos x="0" y="0"/>
              <wp:positionH relativeFrom="margin">
                <wp:align>outside</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true"/>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060479539"/>
                          </w:sdtPr>
                          <w:sdtEndPr>
                            <w:rPr>
                              <w:rFonts w:asciiTheme="minorEastAsia" w:hAnsiTheme="minorEastAsia"/>
                              <w:sz w:val="28"/>
                            </w:rPr>
                          </w:sdtEndPr>
                          <w:sdtContent>
                            <w:p>
                              <w:pPr>
                                <w:pStyle w:val="5"/>
                                <w:jc w:val="right"/>
                                <w:rPr>
                                  <w:rFonts w:asciiTheme="minorEastAsia" w:hAnsiTheme="minorEastAsia"/>
                                  <w:sz w:val="28"/>
                                </w:rPr>
                              </w:pPr>
                              <w:r>
                                <w:rPr>
                                  <w:rFonts w:asciiTheme="minorEastAsia" w:hAnsiTheme="minorEastAsia"/>
                                  <w:sz w:val="28"/>
                                </w:rPr>
                                <w:fldChar w:fldCharType="begin"/>
                              </w:r>
                              <w:r>
                                <w:rPr>
                                  <w:rFonts w:asciiTheme="minorEastAsia" w:hAnsiTheme="minorEastAsia"/>
                                  <w:sz w:val="28"/>
                                </w:rPr>
                                <w:instrText xml:space="preserve">PAGE   \* MERGEFORMAT</w:instrText>
                              </w:r>
                              <w:r>
                                <w:rPr>
                                  <w:rFonts w:asciiTheme="minorEastAsia" w:hAnsiTheme="minorEastAsia"/>
                                  <w:sz w:val="28"/>
                                </w:rPr>
                                <w:fldChar w:fldCharType="separate"/>
                              </w:r>
                              <w:r>
                                <w:rPr>
                                  <w:rFonts w:asciiTheme="minorEastAsia" w:hAnsiTheme="minorEastAsia"/>
                                  <w:sz w:val="28"/>
                                  <w:lang w:val="zh-CN"/>
                                </w:rPr>
                                <w:t>-</w:t>
                              </w:r>
                              <w:r>
                                <w:rPr>
                                  <w:rFonts w:asciiTheme="minorEastAsia" w:hAnsiTheme="minorEastAsia"/>
                                  <w:sz w:val="28"/>
                                </w:rPr>
                                <w:t xml:space="preserve"> 2 -</w:t>
                              </w:r>
                              <w:r>
                                <w:rPr>
                                  <w:rFonts w:asciiTheme="minorEastAsia" w:hAnsiTheme="minorEastAsia"/>
                                  <w:sz w:val="28"/>
                                </w:rPr>
                                <w:fldChar w:fldCharType="end"/>
                              </w:r>
                            </w:p>
                          </w:sdtContent>
                        </w:sdt>
                        <w:p>
                          <w:pPr>
                            <w:rPr>
                              <w:rFonts w:asciiTheme="minorEastAsia" w:hAnsiTheme="minorEastAsia"/>
                              <w:sz w:val="28"/>
                            </w:rPr>
                          </w:pPr>
                        </w:p>
                      </w:txbxContent>
                    </wps:txbx>
                    <wps:bodyPr rot="0" spcFirstLastPara="0" vertOverflow="overflow" horzOverflow="overflow" vert="horz" wrap="none" lIns="0" tIns="0" rIns="0" bIns="0" numCol="1" spcCol="0" rtlCol="0" fromWordArt="false" anchor="t" anchorCtr="false" forceAA="false" upright="false" compatLnSpc="true">
                      <a:spAutoFit/>
                    </wps:bodyPr>
                  </wps:wsp>
                </a:graphicData>
              </a:graphic>
            </wp:anchor>
          </w:drawing>
        </mc:Choice>
        <mc:Fallback>
          <w:pict>
            <v:shape id="_x0000_s1026" o:spid="_x0000_s1026" o:spt="202" type="#_x0000_t202" style="position:absolute;left:0pt;margin-top:0pt;height:144pt;width:144pt;mso-position-horizontal:outside;mso-position-horizontal-relative:margin;mso-wrap-style:none;z-index:251659264;mso-width-relative:page;mso-height-relative:page;" filled="f" stroked="f" coordsize="21600,21600" o:gfxdata="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FgAAAGRycy9QSwECFAAUAAAA&#10;CACHTuJAs0lY7tAAAAAFAQAADwAAAAAAAAABACAAAAA4AAAAZHJzL2Rvd25yZXYueG1sUEsBAhQA&#10;FAAAAAgAh07iQPXvojAdAgAAKQQAAA4AAAAAAAAAAQAgAAAANQEAAGRycy9lMm9Eb2MueG1sUEsF&#10;BgAAAAAGAAYAWQEAAMQFAAAAAA==&#10;">
              <v:fill on="f" focussize="0,0"/>
              <v:stroke on="f" weight="0.5pt"/>
              <v:imagedata o:title=""/>
              <o:lock v:ext="edit" aspectratio="f"/>
              <v:textbox inset="0mm,0mm,0mm,0mm" style="mso-fit-shape-to-text:t;">
                <w:txbxContent>
                  <w:sdt>
                    <w:sdtPr>
                      <w:id w:val="-1060479539"/>
                    </w:sdtPr>
                    <w:sdtEndPr>
                      <w:rPr>
                        <w:rFonts w:asciiTheme="minorEastAsia" w:hAnsiTheme="minorEastAsia"/>
                        <w:sz w:val="28"/>
                      </w:rPr>
                    </w:sdtEndPr>
                    <w:sdtContent>
                      <w:p>
                        <w:pPr>
                          <w:pStyle w:val="5"/>
                          <w:jc w:val="right"/>
                          <w:rPr>
                            <w:rFonts w:asciiTheme="minorEastAsia" w:hAnsiTheme="minorEastAsia"/>
                            <w:sz w:val="28"/>
                          </w:rPr>
                        </w:pPr>
                        <w:r>
                          <w:rPr>
                            <w:rFonts w:asciiTheme="minorEastAsia" w:hAnsiTheme="minorEastAsia"/>
                            <w:sz w:val="28"/>
                          </w:rPr>
                          <w:fldChar w:fldCharType="begin"/>
                        </w:r>
                        <w:r>
                          <w:rPr>
                            <w:rFonts w:asciiTheme="minorEastAsia" w:hAnsiTheme="minorEastAsia"/>
                            <w:sz w:val="28"/>
                          </w:rPr>
                          <w:instrText xml:space="preserve">PAGE   \* MERGEFORMAT</w:instrText>
                        </w:r>
                        <w:r>
                          <w:rPr>
                            <w:rFonts w:asciiTheme="minorEastAsia" w:hAnsiTheme="minorEastAsia"/>
                            <w:sz w:val="28"/>
                          </w:rPr>
                          <w:fldChar w:fldCharType="separate"/>
                        </w:r>
                        <w:r>
                          <w:rPr>
                            <w:rFonts w:asciiTheme="minorEastAsia" w:hAnsiTheme="minorEastAsia"/>
                            <w:sz w:val="28"/>
                            <w:lang w:val="zh-CN"/>
                          </w:rPr>
                          <w:t>-</w:t>
                        </w:r>
                        <w:r>
                          <w:rPr>
                            <w:rFonts w:asciiTheme="minorEastAsia" w:hAnsiTheme="minorEastAsia"/>
                            <w:sz w:val="28"/>
                          </w:rPr>
                          <w:t xml:space="preserve"> 2 -</w:t>
                        </w:r>
                        <w:r>
                          <w:rPr>
                            <w:rFonts w:asciiTheme="minorEastAsia" w:hAnsiTheme="minorEastAsia"/>
                            <w:sz w:val="28"/>
                          </w:rPr>
                          <w:fldChar w:fldCharType="end"/>
                        </w:r>
                      </w:p>
                    </w:sdtContent>
                  </w:sdt>
                  <w:p>
                    <w:pPr>
                      <w:rPr>
                        <w:rFonts w:asciiTheme="minorEastAsia" w:hAnsiTheme="minorEastAsia"/>
                        <w:sz w:val="28"/>
                      </w:rPr>
                    </w:pPr>
                  </w:p>
                </w:txbxContent>
              </v:textbox>
            </v:shape>
          </w:pict>
        </mc:Fallback>
      </mc:AlternateContent>
    </w:r>
  </w:p>
  <w:p>
    <w:pPr>
      <w:pStyle w:val="5"/>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958524133"/>
    </w:sdtPr>
    <w:sdtEndPr>
      <w:rPr>
        <w:rFonts w:asciiTheme="minorEastAsia" w:hAnsiTheme="minorEastAsia"/>
        <w:sz w:val="28"/>
      </w:rPr>
    </w:sdtEndPr>
    <w:sdtContent>
      <w:p>
        <w:pPr>
          <w:pStyle w:val="5"/>
          <w:rPr>
            <w:rFonts w:asciiTheme="minorEastAsia" w:hAnsiTheme="minorEastAsia"/>
            <w:sz w:val="28"/>
          </w:rPr>
        </w:pPr>
        <w:r>
          <w:rPr>
            <w:rFonts w:asciiTheme="minorEastAsia" w:hAnsiTheme="minorEastAsia"/>
            <w:sz w:val="28"/>
          </w:rPr>
          <w:fldChar w:fldCharType="begin"/>
        </w:r>
        <w:r>
          <w:rPr>
            <w:rFonts w:asciiTheme="minorEastAsia" w:hAnsiTheme="minorEastAsia"/>
            <w:sz w:val="28"/>
          </w:rPr>
          <w:instrText xml:space="preserve">PAGE   \* MERGEFORMAT</w:instrText>
        </w:r>
        <w:r>
          <w:rPr>
            <w:rFonts w:asciiTheme="minorEastAsia" w:hAnsiTheme="minorEastAsia"/>
            <w:sz w:val="28"/>
          </w:rPr>
          <w:fldChar w:fldCharType="separate"/>
        </w:r>
        <w:r>
          <w:rPr>
            <w:rFonts w:asciiTheme="minorEastAsia" w:hAnsiTheme="minorEastAsia"/>
            <w:sz w:val="28"/>
            <w:lang w:val="zh-CN"/>
          </w:rPr>
          <w:t>-</w:t>
        </w:r>
        <w:r>
          <w:rPr>
            <w:rFonts w:asciiTheme="minorEastAsia" w:hAnsiTheme="minorEastAsia"/>
            <w:sz w:val="28"/>
          </w:rPr>
          <w:t xml:space="preserve"> 20 -</w:t>
        </w:r>
        <w:r>
          <w:rPr>
            <w:rFonts w:asciiTheme="minorEastAsia" w:hAnsiTheme="minorEastAsia"/>
            <w:sz w:val="28"/>
          </w:rPr>
          <w:fldChar w:fldCharType="end"/>
        </w:r>
      </w:p>
    </w:sdtContent>
  </w:sdt>
  <w:p>
    <w:pPr>
      <w:pStyle w:val="5"/>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pPr>
    <w:r>
      <w:rPr>
        <w:sz w:val="28"/>
      </w:rPr>
      <mc:AlternateContent>
        <mc:Choice Requires="wps">
          <w:drawing>
            <wp:anchor distT="0" distB="0" distL="114300" distR="114300" simplePos="0" relativeHeight="251663360" behindDoc="0" locked="0" layoutInCell="1" allowOverlap="1">
              <wp:simplePos x="0" y="0"/>
              <wp:positionH relativeFrom="margin">
                <wp:posOffset>1270</wp:posOffset>
              </wp:positionH>
              <wp:positionV relativeFrom="paragraph">
                <wp:posOffset>-190500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true"/>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060479539"/>
                          </w:sdtPr>
                          <w:sdtEndPr>
                            <w:rPr>
                              <w:rFonts w:asciiTheme="minorEastAsia" w:hAnsiTheme="minorEastAsia"/>
                              <w:sz w:val="28"/>
                            </w:rPr>
                          </w:sdtEndPr>
                          <w:sdtContent>
                            <w:p>
                              <w:pPr>
                                <w:pStyle w:val="5"/>
                                <w:jc w:val="right"/>
                                <w:rPr>
                                  <w:rFonts w:asciiTheme="minorEastAsia" w:hAnsiTheme="minorEastAsia"/>
                                  <w:sz w:val="28"/>
                                </w:rPr>
                              </w:pPr>
                              <w:r>
                                <w:rPr>
                                  <w:rFonts w:asciiTheme="minorEastAsia" w:hAnsiTheme="minorEastAsia"/>
                                  <w:sz w:val="28"/>
                                </w:rPr>
                                <w:fldChar w:fldCharType="begin"/>
                              </w:r>
                              <w:r>
                                <w:rPr>
                                  <w:rFonts w:asciiTheme="minorEastAsia" w:hAnsiTheme="minorEastAsia"/>
                                  <w:sz w:val="28"/>
                                </w:rPr>
                                <w:instrText xml:space="preserve">PAGE   \* MERGEFORMAT</w:instrText>
                              </w:r>
                              <w:r>
                                <w:rPr>
                                  <w:rFonts w:asciiTheme="minorEastAsia" w:hAnsiTheme="minorEastAsia"/>
                                  <w:sz w:val="28"/>
                                </w:rPr>
                                <w:fldChar w:fldCharType="separate"/>
                              </w:r>
                              <w:r>
                                <w:rPr>
                                  <w:rFonts w:asciiTheme="minorEastAsia" w:hAnsiTheme="minorEastAsia"/>
                                  <w:sz w:val="28"/>
                                  <w:lang w:val="zh-CN"/>
                                </w:rPr>
                                <w:t>-</w:t>
                              </w:r>
                              <w:r>
                                <w:rPr>
                                  <w:rFonts w:asciiTheme="minorEastAsia" w:hAnsiTheme="minorEastAsia"/>
                                  <w:sz w:val="28"/>
                                </w:rPr>
                                <w:t xml:space="preserve"> 2 -</w:t>
                              </w:r>
                              <w:r>
                                <w:rPr>
                                  <w:rFonts w:asciiTheme="minorEastAsia" w:hAnsiTheme="minorEastAsia"/>
                                  <w:sz w:val="28"/>
                                </w:rPr>
                                <w:fldChar w:fldCharType="end"/>
                              </w:r>
                            </w:p>
                          </w:sdtContent>
                        </w:sdt>
                        <w:p>
                          <w:pPr>
                            <w:rPr>
                              <w:rFonts w:asciiTheme="minorEastAsia" w:hAnsiTheme="minorEastAsia"/>
                              <w:sz w:val="28"/>
                            </w:rPr>
                          </w:pPr>
                        </w:p>
                      </w:txbxContent>
                    </wps:txbx>
                    <wps:bodyPr rot="0" spcFirstLastPara="0" vertOverflow="overflow" horzOverflow="overflow" vert="horz" wrap="none" lIns="0" tIns="0" rIns="0" bIns="0" numCol="1" spcCol="0" rtlCol="0" fromWordArt="false" anchor="t" anchorCtr="false" forceAA="false" upright="false" compatLnSpc="true">
                      <a:spAutoFit/>
                    </wps:bodyPr>
                  </wps:wsp>
                </a:graphicData>
              </a:graphic>
            </wp:anchor>
          </w:drawing>
        </mc:Choice>
        <mc:Fallback>
          <w:pict>
            <v:shape id="_x0000_s1026" o:spid="_x0000_s1026" o:spt="202" type="#_x0000_t202" style="position:absolute;left:0pt;margin-left:0.1pt;margin-top:-15pt;height:144pt;width:144pt;mso-position-horizontal-relative:margin;mso-wrap-style:none;z-index:251663360;mso-width-relative:page;mso-height-relative:page;" filled="f" stroked="f" coordsize="21600,21600" o:gfxdata="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WAAAAZHJzL1BLAQIUABQA&#10;AAAIAIdO4kBKVetI1QAAAAgBAAAPAAAAAAAAAAEAIAAAADgAAABkcnMvZG93bnJldi54bWxQSwEC&#10;FAAUAAAACACHTuJAJhrSbhoCAAApBAAADgAAAAAAAAABACAAAAA6AQAAZHJzL2Uyb0RvYy54bWxQ&#10;SwUGAAAAAAYABgBZAQAAxgUAAAAA&#10;">
              <v:fill on="f" focussize="0,0"/>
              <v:stroke on="f" weight="0.5pt"/>
              <v:imagedata o:title=""/>
              <o:lock v:ext="edit" aspectratio="f"/>
              <v:textbox inset="0mm,0mm,0mm,0mm" style="mso-fit-shape-to-text:t;">
                <w:txbxContent>
                  <w:sdt>
                    <w:sdtPr>
                      <w:id w:val="-1060479539"/>
                    </w:sdtPr>
                    <w:sdtEndPr>
                      <w:rPr>
                        <w:rFonts w:asciiTheme="minorEastAsia" w:hAnsiTheme="minorEastAsia"/>
                        <w:sz w:val="28"/>
                      </w:rPr>
                    </w:sdtEndPr>
                    <w:sdtContent>
                      <w:p>
                        <w:pPr>
                          <w:pStyle w:val="5"/>
                          <w:jc w:val="right"/>
                          <w:rPr>
                            <w:rFonts w:asciiTheme="minorEastAsia" w:hAnsiTheme="minorEastAsia"/>
                            <w:sz w:val="28"/>
                          </w:rPr>
                        </w:pPr>
                        <w:r>
                          <w:rPr>
                            <w:rFonts w:asciiTheme="minorEastAsia" w:hAnsiTheme="minorEastAsia"/>
                            <w:sz w:val="28"/>
                          </w:rPr>
                          <w:fldChar w:fldCharType="begin"/>
                        </w:r>
                        <w:r>
                          <w:rPr>
                            <w:rFonts w:asciiTheme="minorEastAsia" w:hAnsiTheme="minorEastAsia"/>
                            <w:sz w:val="28"/>
                          </w:rPr>
                          <w:instrText xml:space="preserve">PAGE   \* MERGEFORMAT</w:instrText>
                        </w:r>
                        <w:r>
                          <w:rPr>
                            <w:rFonts w:asciiTheme="minorEastAsia" w:hAnsiTheme="minorEastAsia"/>
                            <w:sz w:val="28"/>
                          </w:rPr>
                          <w:fldChar w:fldCharType="separate"/>
                        </w:r>
                        <w:r>
                          <w:rPr>
                            <w:rFonts w:asciiTheme="minorEastAsia" w:hAnsiTheme="minorEastAsia"/>
                            <w:sz w:val="28"/>
                            <w:lang w:val="zh-CN"/>
                          </w:rPr>
                          <w:t>-</w:t>
                        </w:r>
                        <w:r>
                          <w:rPr>
                            <w:rFonts w:asciiTheme="minorEastAsia" w:hAnsiTheme="minorEastAsia"/>
                            <w:sz w:val="28"/>
                          </w:rPr>
                          <w:t xml:space="preserve"> 2 -</w:t>
                        </w:r>
                        <w:r>
                          <w:rPr>
                            <w:rFonts w:asciiTheme="minorEastAsia" w:hAnsiTheme="minorEastAsia"/>
                            <w:sz w:val="28"/>
                          </w:rPr>
                          <w:fldChar w:fldCharType="end"/>
                        </w:r>
                      </w:p>
                    </w:sdtContent>
                  </w:sdt>
                  <w:p>
                    <w:pPr>
                      <w:rPr>
                        <w:rFonts w:asciiTheme="minorEastAsia" w:hAnsiTheme="minorEastAsia"/>
                        <w:sz w:val="28"/>
                      </w:rPr>
                    </w:pP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12179428"/>
    </w:sdtPr>
    <w:sdtEndPr>
      <w:rPr>
        <w:rFonts w:asciiTheme="minorEastAsia" w:hAnsiTheme="minorEastAsia"/>
        <w:sz w:val="28"/>
        <w:szCs w:val="28"/>
      </w:rPr>
    </w:sdtEndPr>
    <w:sdtContent>
      <w:p>
        <w:pPr>
          <w:pStyle w:val="5"/>
          <w:rPr>
            <w:rFonts w:asciiTheme="minorEastAsia" w:hAnsiTheme="minorEastAsia"/>
            <w:sz w:val="28"/>
            <w:szCs w:val="28"/>
          </w:rPr>
        </w:pPr>
        <w:r>
          <w:rPr>
            <w:rFonts w:asciiTheme="minorEastAsia" w:hAnsiTheme="minorEastAsia"/>
            <w:sz w:val="28"/>
            <w:szCs w:val="28"/>
          </w:rPr>
          <w:fldChar w:fldCharType="begin"/>
        </w:r>
        <w:r>
          <w:rPr>
            <w:rFonts w:asciiTheme="minorEastAsia" w:hAnsiTheme="minorEastAsia"/>
            <w:sz w:val="28"/>
            <w:szCs w:val="28"/>
          </w:rPr>
          <w:instrText xml:space="preserve">PAGE   \* MERGEFORMAT</w:instrText>
        </w:r>
        <w:r>
          <w:rPr>
            <w:rFonts w:asciiTheme="minorEastAsia" w:hAnsiTheme="minorEastAsia"/>
            <w:sz w:val="28"/>
            <w:szCs w:val="28"/>
          </w:rPr>
          <w:fldChar w:fldCharType="separate"/>
        </w:r>
        <w:r>
          <w:rPr>
            <w:rFonts w:asciiTheme="minorEastAsia" w:hAnsiTheme="minorEastAsia"/>
            <w:sz w:val="28"/>
            <w:szCs w:val="28"/>
            <w:lang w:val="zh-CN"/>
          </w:rPr>
          <w:t>-</w:t>
        </w:r>
        <w:r>
          <w:rPr>
            <w:rFonts w:asciiTheme="minorEastAsia" w:hAnsiTheme="minorEastAsia"/>
            <w:sz w:val="28"/>
            <w:szCs w:val="28"/>
          </w:rPr>
          <w:t xml:space="preserve"> 32 -</w:t>
        </w:r>
        <w:r>
          <w:rPr>
            <w:rFonts w:asciiTheme="minorEastAsia" w:hAnsiTheme="minorEastAsia"/>
            <w:sz w:val="28"/>
            <w:szCs w:val="28"/>
          </w:rPr>
          <w:fldChar w:fldCharType="end"/>
        </w:r>
      </w:p>
    </w:sdtContent>
  </w:sdt>
  <w:p>
    <w:pPr>
      <w:pStyle w:val="5"/>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jc w:val="right"/>
      <w:rPr>
        <w:rFonts w:asciiTheme="minorEastAsia" w:hAnsiTheme="minorEastAsia"/>
        <w:sz w:val="28"/>
        <w:szCs w:val="28"/>
      </w:rPr>
    </w:pPr>
    <w:r>
      <w:rPr>
        <w:sz w:val="28"/>
      </w:rPr>
      <mc:AlternateContent>
        <mc:Choice Requires="wps">
          <w:drawing>
            <wp:anchor distT="0" distB="0" distL="114300" distR="114300" simplePos="0" relativeHeight="251660288" behindDoc="0" locked="0" layoutInCell="1" allowOverlap="1">
              <wp:simplePos x="0" y="0"/>
              <wp:positionH relativeFrom="margin">
                <wp:align>outside</wp:align>
              </wp:positionH>
              <wp:positionV relativeFrom="paragraph">
                <wp:posOffset>0</wp:posOffset>
              </wp:positionV>
              <wp:extent cx="1828800" cy="1828800"/>
              <wp:effectExtent l="0" t="0" r="0" b="0"/>
              <wp:wrapNone/>
              <wp:docPr id="5" name="文本框 5"/>
              <wp:cNvGraphicFramePr/>
              <a:graphic xmlns:a="http://schemas.openxmlformats.org/drawingml/2006/main">
                <a:graphicData uri="http://schemas.microsoft.com/office/word/2010/wordprocessingShape">
                  <wps:wsp>
                    <wps:cNvSpPr txBox="true"/>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752343775"/>
                          </w:sdtPr>
                          <w:sdtEndPr>
                            <w:rPr>
                              <w:rFonts w:asciiTheme="minorEastAsia" w:hAnsiTheme="minorEastAsia"/>
                              <w:sz w:val="28"/>
                              <w:szCs w:val="28"/>
                            </w:rPr>
                          </w:sdtEndPr>
                          <w:sdtContent>
                            <w:p>
                              <w:pPr>
                                <w:pStyle w:val="5"/>
                                <w:jc w:val="right"/>
                                <w:rPr>
                                  <w:rFonts w:asciiTheme="minorEastAsia" w:hAnsiTheme="minorEastAsia"/>
                                  <w:sz w:val="28"/>
                                  <w:szCs w:val="28"/>
                                </w:rPr>
                              </w:pPr>
                              <w:r>
                                <w:rPr>
                                  <w:rFonts w:asciiTheme="minorEastAsia" w:hAnsiTheme="minorEastAsia"/>
                                  <w:sz w:val="28"/>
                                  <w:szCs w:val="28"/>
                                </w:rPr>
                                <w:fldChar w:fldCharType="begin"/>
                              </w:r>
                              <w:r>
                                <w:rPr>
                                  <w:rFonts w:asciiTheme="minorEastAsia" w:hAnsiTheme="minorEastAsia"/>
                                  <w:sz w:val="28"/>
                                  <w:szCs w:val="28"/>
                                </w:rPr>
                                <w:instrText xml:space="preserve">PAGE   \* MERGEFORMAT</w:instrText>
                              </w:r>
                              <w:r>
                                <w:rPr>
                                  <w:rFonts w:asciiTheme="minorEastAsia" w:hAnsiTheme="minorEastAsia"/>
                                  <w:sz w:val="28"/>
                                  <w:szCs w:val="28"/>
                                </w:rPr>
                                <w:fldChar w:fldCharType="separate"/>
                              </w:r>
                              <w:r>
                                <w:rPr>
                                  <w:rFonts w:asciiTheme="minorEastAsia" w:hAnsiTheme="minorEastAsia"/>
                                  <w:sz w:val="28"/>
                                  <w:szCs w:val="28"/>
                                  <w:lang w:val="zh-CN"/>
                                </w:rPr>
                                <w:t>-</w:t>
                              </w:r>
                              <w:r>
                                <w:rPr>
                                  <w:rFonts w:asciiTheme="minorEastAsia" w:hAnsiTheme="minorEastAsia"/>
                                  <w:sz w:val="28"/>
                                  <w:szCs w:val="28"/>
                                </w:rPr>
                                <w:t xml:space="preserve"> 28 -</w:t>
                              </w:r>
                              <w:r>
                                <w:rPr>
                                  <w:rFonts w:asciiTheme="minorEastAsia" w:hAnsiTheme="minorEastAsia"/>
                                  <w:sz w:val="28"/>
                                  <w:szCs w:val="28"/>
                                </w:rPr>
                                <w:fldChar w:fldCharType="end"/>
                              </w:r>
                            </w:p>
                          </w:sdtContent>
                        </w:sdt>
                        <w:p>
                          <w:pPr>
                            <w:rPr>
                              <w:rFonts w:asciiTheme="minorEastAsia" w:hAnsiTheme="minorEastAsia"/>
                              <w:sz w:val="28"/>
                              <w:szCs w:val="28"/>
                            </w:rPr>
                          </w:pPr>
                        </w:p>
                      </w:txbxContent>
                    </wps:txbx>
                    <wps:bodyPr rot="0" spcFirstLastPara="0" vertOverflow="overflow" horzOverflow="overflow" vert="horz" wrap="none" lIns="0" tIns="0" rIns="0" bIns="0" numCol="1" spcCol="0" rtlCol="0" fromWordArt="false" anchor="t" anchorCtr="false" forceAA="false" upright="false" compatLnSpc="true">
                      <a:spAutoFit/>
                    </wps:bodyPr>
                  </wps:wsp>
                </a:graphicData>
              </a:graphic>
            </wp:anchor>
          </w:drawing>
        </mc:Choice>
        <mc:Fallback>
          <w:pict>
            <v:shape id="_x0000_s1026" o:spid="_x0000_s1026" o:spt="202" type="#_x0000_t202" style="position:absolute;left:0pt;margin-top:0pt;height:144pt;width:144pt;mso-position-horizontal:outside;mso-position-horizontal-relative:margin;mso-wrap-style:none;z-index:251660288;mso-width-relative:page;mso-height-relative:page;" filled="f" stroked="f" coordsize="21600,21600" o:gfxdata="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FgAAAGRycy9QSwECFAAUAAAA&#10;CACHTuJAs0lY7tAAAAAFAQAADwAAAAAAAAABACAAAAA4AAAAZHJzL2Rvd25yZXYueG1sUEsBAhQA&#10;FAAAAAgAh07iQIDxM9IdAgAAKQQAAA4AAAAAAAAAAQAgAAAANQEAAGRycy9lMm9Eb2MueG1sUEsF&#10;BgAAAAAGAAYAWQEAAMQFAAAAAA==&#10;">
              <v:fill on="f" focussize="0,0"/>
              <v:stroke on="f" weight="0.5pt"/>
              <v:imagedata o:title=""/>
              <o:lock v:ext="edit" aspectratio="f"/>
              <v:textbox inset="0mm,0mm,0mm,0mm" style="mso-fit-shape-to-text:t;">
                <w:txbxContent>
                  <w:sdt>
                    <w:sdtPr>
                      <w:id w:val="-1752343775"/>
                    </w:sdtPr>
                    <w:sdtEndPr>
                      <w:rPr>
                        <w:rFonts w:asciiTheme="minorEastAsia" w:hAnsiTheme="minorEastAsia"/>
                        <w:sz w:val="28"/>
                        <w:szCs w:val="28"/>
                      </w:rPr>
                    </w:sdtEndPr>
                    <w:sdtContent>
                      <w:p>
                        <w:pPr>
                          <w:pStyle w:val="5"/>
                          <w:jc w:val="right"/>
                          <w:rPr>
                            <w:rFonts w:asciiTheme="minorEastAsia" w:hAnsiTheme="minorEastAsia"/>
                            <w:sz w:val="28"/>
                            <w:szCs w:val="28"/>
                          </w:rPr>
                        </w:pPr>
                        <w:r>
                          <w:rPr>
                            <w:rFonts w:asciiTheme="minorEastAsia" w:hAnsiTheme="minorEastAsia"/>
                            <w:sz w:val="28"/>
                            <w:szCs w:val="28"/>
                          </w:rPr>
                          <w:fldChar w:fldCharType="begin"/>
                        </w:r>
                        <w:r>
                          <w:rPr>
                            <w:rFonts w:asciiTheme="minorEastAsia" w:hAnsiTheme="minorEastAsia"/>
                            <w:sz w:val="28"/>
                            <w:szCs w:val="28"/>
                          </w:rPr>
                          <w:instrText xml:space="preserve">PAGE   \* MERGEFORMAT</w:instrText>
                        </w:r>
                        <w:r>
                          <w:rPr>
                            <w:rFonts w:asciiTheme="minorEastAsia" w:hAnsiTheme="minorEastAsia"/>
                            <w:sz w:val="28"/>
                            <w:szCs w:val="28"/>
                          </w:rPr>
                          <w:fldChar w:fldCharType="separate"/>
                        </w:r>
                        <w:r>
                          <w:rPr>
                            <w:rFonts w:asciiTheme="minorEastAsia" w:hAnsiTheme="minorEastAsia"/>
                            <w:sz w:val="28"/>
                            <w:szCs w:val="28"/>
                            <w:lang w:val="zh-CN"/>
                          </w:rPr>
                          <w:t>-</w:t>
                        </w:r>
                        <w:r>
                          <w:rPr>
                            <w:rFonts w:asciiTheme="minorEastAsia" w:hAnsiTheme="minorEastAsia"/>
                            <w:sz w:val="28"/>
                            <w:szCs w:val="28"/>
                          </w:rPr>
                          <w:t xml:space="preserve"> 28 -</w:t>
                        </w:r>
                        <w:r>
                          <w:rPr>
                            <w:rFonts w:asciiTheme="minorEastAsia" w:hAnsiTheme="minorEastAsia"/>
                            <w:sz w:val="28"/>
                            <w:szCs w:val="28"/>
                          </w:rPr>
                          <w:fldChar w:fldCharType="end"/>
                        </w:r>
                      </w:p>
                    </w:sdtContent>
                  </w:sdt>
                  <w:p>
                    <w:pPr>
                      <w:rPr>
                        <w:rFonts w:asciiTheme="minorEastAsia" w:hAnsiTheme="minorEastAsia"/>
                        <w:sz w:val="28"/>
                        <w:szCs w:val="28"/>
                      </w:rPr>
                    </w:pPr>
                  </w:p>
                </w:txbxContent>
              </v:textbox>
            </v:shape>
          </w:pict>
        </mc:Fallback>
      </mc:AlternateContent>
    </w:r>
  </w:p>
  <w:p>
    <w:pPr>
      <w:pStyle w:val="5"/>
      <w:rPr>
        <w:rFonts w:ascii="宋体" w:hAnsi="宋体"/>
        <w:sz w:val="28"/>
      </w:rP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jc w:val="right"/>
      <w:rPr>
        <w:rFonts w:asciiTheme="minorEastAsia" w:hAnsiTheme="minorEastAsia" w:eastAsiaTheme="minorEastAsia"/>
        <w:sz w:val="28"/>
        <w:szCs w:val="28"/>
      </w:rPr>
    </w:pPr>
    <w:r>
      <w:rPr>
        <w:sz w:val="28"/>
      </w:rPr>
      <mc:AlternateContent>
        <mc:Choice Requires="wps">
          <w:drawing>
            <wp:anchor distT="0" distB="0" distL="114300" distR="114300" simplePos="0" relativeHeight="251661312" behindDoc="0" locked="0" layoutInCell="1" allowOverlap="1">
              <wp:simplePos x="0" y="0"/>
              <wp:positionH relativeFrom="margin">
                <wp:align>outside</wp:align>
              </wp:positionH>
              <wp:positionV relativeFrom="paragraph">
                <wp:posOffset>0</wp:posOffset>
              </wp:positionV>
              <wp:extent cx="1828800" cy="1828800"/>
              <wp:effectExtent l="0" t="0" r="0" b="0"/>
              <wp:wrapNone/>
              <wp:docPr id="8" name="文本框 8"/>
              <wp:cNvGraphicFramePr/>
              <a:graphic xmlns:a="http://schemas.openxmlformats.org/drawingml/2006/main">
                <a:graphicData uri="http://schemas.microsoft.com/office/word/2010/wordprocessingShape">
                  <wps:wsp>
                    <wps:cNvSpPr txBox="true"/>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229509888"/>
                          </w:sdtPr>
                          <w:sdtEndPr>
                            <w:rPr>
                              <w:rFonts w:asciiTheme="minorEastAsia" w:hAnsiTheme="minorEastAsia" w:eastAsiaTheme="minorEastAsia"/>
                              <w:sz w:val="28"/>
                              <w:szCs w:val="28"/>
                            </w:rPr>
                          </w:sdtEndPr>
                          <w:sdtContent>
                            <w:p>
                              <w:pPr>
                                <w:pStyle w:val="5"/>
                                <w:jc w:val="right"/>
                                <w:rPr>
                                  <w:rFonts w:asciiTheme="minorEastAsia" w:hAnsiTheme="minorEastAsia" w:eastAsiaTheme="minorEastAsia"/>
                                  <w:sz w:val="28"/>
                                  <w:szCs w:val="28"/>
                                </w:rPr>
                              </w:pPr>
                              <w:r>
                                <w:rPr>
                                  <w:rFonts w:asciiTheme="minorEastAsia" w:hAnsiTheme="minorEastAsia" w:eastAsiaTheme="minorEastAsia"/>
                                  <w:sz w:val="28"/>
                                  <w:szCs w:val="28"/>
                                </w:rPr>
                                <w:fldChar w:fldCharType="begin"/>
                              </w:r>
                              <w:r>
                                <w:rPr>
                                  <w:rFonts w:asciiTheme="minorEastAsia" w:hAnsiTheme="minorEastAsia" w:eastAsiaTheme="minorEastAsia"/>
                                  <w:sz w:val="28"/>
                                  <w:szCs w:val="28"/>
                                </w:rPr>
                                <w:instrText xml:space="preserve">PAGE   \* MERGEFORMAT</w:instrText>
                              </w:r>
                              <w:r>
                                <w:rPr>
                                  <w:rFonts w:asciiTheme="minorEastAsia" w:hAnsiTheme="minorEastAsia" w:eastAsiaTheme="minorEastAsia"/>
                                  <w:sz w:val="28"/>
                                  <w:szCs w:val="28"/>
                                </w:rPr>
                                <w:fldChar w:fldCharType="separate"/>
                              </w:r>
                              <w:r>
                                <w:rPr>
                                  <w:rFonts w:asciiTheme="minorEastAsia" w:hAnsiTheme="minorEastAsia" w:eastAsiaTheme="minorEastAsia"/>
                                  <w:sz w:val="28"/>
                                  <w:szCs w:val="28"/>
                                  <w:lang w:val="zh-CN"/>
                                </w:rPr>
                                <w:t>-</w:t>
                              </w:r>
                              <w:r>
                                <w:rPr>
                                  <w:rFonts w:asciiTheme="minorEastAsia" w:hAnsiTheme="minorEastAsia" w:eastAsiaTheme="minorEastAsia"/>
                                  <w:sz w:val="28"/>
                                  <w:szCs w:val="28"/>
                                </w:rPr>
                                <w:t xml:space="preserve"> 36 -</w:t>
                              </w:r>
                              <w:r>
                                <w:rPr>
                                  <w:rFonts w:asciiTheme="minorEastAsia" w:hAnsiTheme="minorEastAsia" w:eastAsiaTheme="minorEastAsia"/>
                                  <w:sz w:val="28"/>
                                  <w:szCs w:val="28"/>
                                </w:rPr>
                                <w:fldChar w:fldCharType="end"/>
                              </w:r>
                            </w:p>
                          </w:sdtContent>
                        </w:sdt>
                        <w:p>
                          <w:pPr>
                            <w:rPr>
                              <w:rFonts w:asciiTheme="minorEastAsia" w:hAnsiTheme="minorEastAsia" w:eastAsiaTheme="minorEastAsia"/>
                              <w:sz w:val="28"/>
                              <w:szCs w:val="28"/>
                            </w:rPr>
                          </w:pPr>
                        </w:p>
                      </w:txbxContent>
                    </wps:txbx>
                    <wps:bodyPr rot="0" spcFirstLastPara="0" vertOverflow="overflow" horzOverflow="overflow" vert="horz" wrap="none" lIns="0" tIns="0" rIns="0" bIns="0" numCol="1" spcCol="0" rtlCol="0" fromWordArt="false" anchor="t" anchorCtr="false" forceAA="false" upright="false" compatLnSpc="true">
                      <a:spAutoFit/>
                    </wps:bodyPr>
                  </wps:wsp>
                </a:graphicData>
              </a:graphic>
            </wp:anchor>
          </w:drawing>
        </mc:Choice>
        <mc:Fallback>
          <w:pict>
            <v:shape id="_x0000_s1026" o:spid="_x0000_s1026" o:spt="202" type="#_x0000_t202" style="position:absolute;left:0pt;margin-top:0pt;height:144pt;width:144pt;mso-position-horizontal:outside;mso-position-horizontal-relative:margin;mso-wrap-style:none;z-index:251661312;mso-width-relative:page;mso-height-relative:page;" filled="f" stroked="f" coordsize="21600,21600" o:gfxdata="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BYAAABkcnMvUEsBAhQAFAAAAAgA&#10;h07iQLNJWO7QAAAABQEAAA8AAAAAAAAAAQAgAAAAOAAAAGRycy9kb3ducmV2LnhtbFBLAQIUABQA&#10;AAAIAIdO4kDiMuAOGwIAACkEAAAOAAAAAAAAAAEAIAAAADUBAABkcnMvZTJvRG9jLnhtbFBLBQYA&#10;AAAABgAGAFkBAADCBQAAAAA=&#10;">
              <v:fill on="f" focussize="0,0"/>
              <v:stroke on="f" weight="0.5pt"/>
              <v:imagedata o:title=""/>
              <o:lock v:ext="edit" aspectratio="f"/>
              <v:textbox inset="0mm,0mm,0mm,0mm" style="mso-fit-shape-to-text:t;">
                <w:txbxContent>
                  <w:sdt>
                    <w:sdtPr>
                      <w:id w:val="229509888"/>
                    </w:sdtPr>
                    <w:sdtEndPr>
                      <w:rPr>
                        <w:rFonts w:asciiTheme="minorEastAsia" w:hAnsiTheme="minorEastAsia" w:eastAsiaTheme="minorEastAsia"/>
                        <w:sz w:val="28"/>
                        <w:szCs w:val="28"/>
                      </w:rPr>
                    </w:sdtEndPr>
                    <w:sdtContent>
                      <w:p>
                        <w:pPr>
                          <w:pStyle w:val="5"/>
                          <w:jc w:val="right"/>
                          <w:rPr>
                            <w:rFonts w:asciiTheme="minorEastAsia" w:hAnsiTheme="minorEastAsia" w:eastAsiaTheme="minorEastAsia"/>
                            <w:sz w:val="28"/>
                            <w:szCs w:val="28"/>
                          </w:rPr>
                        </w:pPr>
                        <w:r>
                          <w:rPr>
                            <w:rFonts w:asciiTheme="minorEastAsia" w:hAnsiTheme="minorEastAsia" w:eastAsiaTheme="minorEastAsia"/>
                            <w:sz w:val="28"/>
                            <w:szCs w:val="28"/>
                          </w:rPr>
                          <w:fldChar w:fldCharType="begin"/>
                        </w:r>
                        <w:r>
                          <w:rPr>
                            <w:rFonts w:asciiTheme="minorEastAsia" w:hAnsiTheme="minorEastAsia" w:eastAsiaTheme="minorEastAsia"/>
                            <w:sz w:val="28"/>
                            <w:szCs w:val="28"/>
                          </w:rPr>
                          <w:instrText xml:space="preserve">PAGE   \* MERGEFORMAT</w:instrText>
                        </w:r>
                        <w:r>
                          <w:rPr>
                            <w:rFonts w:asciiTheme="minorEastAsia" w:hAnsiTheme="minorEastAsia" w:eastAsiaTheme="minorEastAsia"/>
                            <w:sz w:val="28"/>
                            <w:szCs w:val="28"/>
                          </w:rPr>
                          <w:fldChar w:fldCharType="separate"/>
                        </w:r>
                        <w:r>
                          <w:rPr>
                            <w:rFonts w:asciiTheme="minorEastAsia" w:hAnsiTheme="minorEastAsia" w:eastAsiaTheme="minorEastAsia"/>
                            <w:sz w:val="28"/>
                            <w:szCs w:val="28"/>
                            <w:lang w:val="zh-CN"/>
                          </w:rPr>
                          <w:t>-</w:t>
                        </w:r>
                        <w:r>
                          <w:rPr>
                            <w:rFonts w:asciiTheme="minorEastAsia" w:hAnsiTheme="minorEastAsia" w:eastAsiaTheme="minorEastAsia"/>
                            <w:sz w:val="28"/>
                            <w:szCs w:val="28"/>
                          </w:rPr>
                          <w:t xml:space="preserve"> 36 -</w:t>
                        </w:r>
                        <w:r>
                          <w:rPr>
                            <w:rFonts w:asciiTheme="minorEastAsia" w:hAnsiTheme="minorEastAsia" w:eastAsiaTheme="minorEastAsia"/>
                            <w:sz w:val="28"/>
                            <w:szCs w:val="28"/>
                          </w:rPr>
                          <w:fldChar w:fldCharType="end"/>
                        </w:r>
                      </w:p>
                    </w:sdtContent>
                  </w:sdt>
                  <w:p>
                    <w:pPr>
                      <w:rPr>
                        <w:rFonts w:asciiTheme="minorEastAsia" w:hAnsiTheme="minorEastAsia" w:eastAsiaTheme="minorEastAsia"/>
                        <w:sz w:val="28"/>
                        <w:szCs w:val="28"/>
                      </w:rPr>
                    </w:pPr>
                  </w:p>
                </w:txbxContent>
              </v:textbox>
            </v:shape>
          </w:pict>
        </mc:Fallback>
      </mc:AlternateContent>
    </w:r>
  </w:p>
  <w:p>
    <w:pPr>
      <w:pStyle w:val="5"/>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794239689"/>
    </w:sdtPr>
    <w:sdtEndPr>
      <w:rPr>
        <w:rFonts w:asciiTheme="minorEastAsia" w:hAnsiTheme="minorEastAsia" w:eastAsiaTheme="minorEastAsia"/>
        <w:sz w:val="28"/>
        <w:szCs w:val="28"/>
      </w:rPr>
    </w:sdtEndPr>
    <w:sdtContent>
      <w:p>
        <w:pPr>
          <w:pStyle w:val="5"/>
          <w:rPr>
            <w:rFonts w:asciiTheme="minorEastAsia" w:hAnsiTheme="minorEastAsia" w:eastAsiaTheme="minorEastAsia"/>
            <w:sz w:val="28"/>
            <w:szCs w:val="28"/>
          </w:rPr>
        </w:pPr>
        <w:r>
          <w:rPr>
            <w:rFonts w:asciiTheme="minorEastAsia" w:hAnsiTheme="minorEastAsia" w:eastAsiaTheme="minorEastAsia"/>
            <w:sz w:val="28"/>
            <w:szCs w:val="28"/>
          </w:rPr>
          <w:fldChar w:fldCharType="begin"/>
        </w:r>
        <w:r>
          <w:rPr>
            <w:rFonts w:asciiTheme="minorEastAsia" w:hAnsiTheme="minorEastAsia" w:eastAsiaTheme="minorEastAsia"/>
            <w:sz w:val="28"/>
            <w:szCs w:val="28"/>
          </w:rPr>
          <w:instrText xml:space="preserve">PAGE   \* MERGEFORMAT</w:instrText>
        </w:r>
        <w:r>
          <w:rPr>
            <w:rFonts w:asciiTheme="minorEastAsia" w:hAnsiTheme="minorEastAsia" w:eastAsiaTheme="minorEastAsia"/>
            <w:sz w:val="28"/>
            <w:szCs w:val="28"/>
          </w:rPr>
          <w:fldChar w:fldCharType="separate"/>
        </w:r>
        <w:r>
          <w:rPr>
            <w:rFonts w:asciiTheme="minorEastAsia" w:hAnsiTheme="minorEastAsia" w:eastAsiaTheme="minorEastAsia"/>
            <w:sz w:val="28"/>
            <w:szCs w:val="28"/>
            <w:lang w:val="zh-CN"/>
          </w:rPr>
          <w:t>-</w:t>
        </w:r>
        <w:r>
          <w:rPr>
            <w:rFonts w:asciiTheme="minorEastAsia" w:hAnsiTheme="minorEastAsia" w:eastAsiaTheme="minorEastAsia"/>
            <w:sz w:val="28"/>
            <w:szCs w:val="28"/>
          </w:rPr>
          <w:t xml:space="preserve"> 12 -</w:t>
        </w:r>
        <w:r>
          <w:rPr>
            <w:rFonts w:asciiTheme="minorEastAsia" w:hAnsiTheme="minorEastAsia" w:eastAsiaTheme="minorEastAsia"/>
            <w:sz w:val="28"/>
            <w:szCs w:val="28"/>
          </w:rPr>
          <w:fldChar w:fldCharType="end"/>
        </w:r>
      </w:p>
    </w:sdtContent>
  </w:sdt>
  <w:p>
    <w:pPr>
      <w:pStyle w:val="5"/>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C857BFA"/>
    <w:multiLevelType w:val="multilevel"/>
    <w:tmpl w:val="3C857BFA"/>
    <w:lvl w:ilvl="0" w:tentative="0">
      <w:start w:val="1"/>
      <w:numFmt w:val="japaneseCounting"/>
      <w:lvlText w:val="第%1节"/>
      <w:lvlJc w:val="left"/>
      <w:pPr>
        <w:ind w:left="1350" w:hanging="135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true"/>
  <w:embedTrueTypeFonts/>
  <w:saveSubsetFonts/>
  <w:bordersDoNotSurroundHeader w:val="true"/>
  <w:bordersDoNotSurroundFooter w:val="true"/>
  <w:documentProtection w:enforcement="0"/>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mU2N2EzMmU2ZGI0ZGUwZGI3YjUyZmE5ZGY1ZTZiM2YifQ=="/>
  </w:docVars>
  <w:rsids>
    <w:rsidRoot w:val="001931B8"/>
    <w:rsid w:val="0001132B"/>
    <w:rsid w:val="000114CC"/>
    <w:rsid w:val="0001279E"/>
    <w:rsid w:val="00013FD4"/>
    <w:rsid w:val="000140A5"/>
    <w:rsid w:val="00023393"/>
    <w:rsid w:val="00023918"/>
    <w:rsid w:val="000253C4"/>
    <w:rsid w:val="00027677"/>
    <w:rsid w:val="00030254"/>
    <w:rsid w:val="0003177A"/>
    <w:rsid w:val="00031819"/>
    <w:rsid w:val="0003452A"/>
    <w:rsid w:val="00034CB4"/>
    <w:rsid w:val="00034DC5"/>
    <w:rsid w:val="000350FA"/>
    <w:rsid w:val="00036093"/>
    <w:rsid w:val="00040339"/>
    <w:rsid w:val="000406E0"/>
    <w:rsid w:val="00040A29"/>
    <w:rsid w:val="00042AA7"/>
    <w:rsid w:val="000464E4"/>
    <w:rsid w:val="0004678F"/>
    <w:rsid w:val="000501AA"/>
    <w:rsid w:val="000515D0"/>
    <w:rsid w:val="000530B5"/>
    <w:rsid w:val="00057221"/>
    <w:rsid w:val="000614F2"/>
    <w:rsid w:val="00061835"/>
    <w:rsid w:val="00070A1C"/>
    <w:rsid w:val="00070EF4"/>
    <w:rsid w:val="00073313"/>
    <w:rsid w:val="00075DDE"/>
    <w:rsid w:val="000770D6"/>
    <w:rsid w:val="00077B36"/>
    <w:rsid w:val="00087D53"/>
    <w:rsid w:val="00090A5F"/>
    <w:rsid w:val="000914B4"/>
    <w:rsid w:val="00092880"/>
    <w:rsid w:val="00093565"/>
    <w:rsid w:val="00093666"/>
    <w:rsid w:val="000979F3"/>
    <w:rsid w:val="000B1D18"/>
    <w:rsid w:val="000B2000"/>
    <w:rsid w:val="000B3F90"/>
    <w:rsid w:val="000B4853"/>
    <w:rsid w:val="000B52DC"/>
    <w:rsid w:val="000B5EAA"/>
    <w:rsid w:val="000C446C"/>
    <w:rsid w:val="000C6818"/>
    <w:rsid w:val="000D7B7F"/>
    <w:rsid w:val="000E6E4C"/>
    <w:rsid w:val="000E72C9"/>
    <w:rsid w:val="000E72D0"/>
    <w:rsid w:val="000F0DC4"/>
    <w:rsid w:val="000F1B08"/>
    <w:rsid w:val="000F2D51"/>
    <w:rsid w:val="000F315B"/>
    <w:rsid w:val="000F593E"/>
    <w:rsid w:val="00104023"/>
    <w:rsid w:val="0010434B"/>
    <w:rsid w:val="0010613F"/>
    <w:rsid w:val="00110389"/>
    <w:rsid w:val="00111415"/>
    <w:rsid w:val="001136DB"/>
    <w:rsid w:val="00113E16"/>
    <w:rsid w:val="00116D3E"/>
    <w:rsid w:val="00117488"/>
    <w:rsid w:val="00121BFE"/>
    <w:rsid w:val="0012224F"/>
    <w:rsid w:val="00126771"/>
    <w:rsid w:val="00126F8E"/>
    <w:rsid w:val="00130AC5"/>
    <w:rsid w:val="00131C2F"/>
    <w:rsid w:val="00131FD5"/>
    <w:rsid w:val="00131FE7"/>
    <w:rsid w:val="001351B4"/>
    <w:rsid w:val="00136A16"/>
    <w:rsid w:val="00137C57"/>
    <w:rsid w:val="00140260"/>
    <w:rsid w:val="001421AB"/>
    <w:rsid w:val="00142A8D"/>
    <w:rsid w:val="0014751A"/>
    <w:rsid w:val="00150C13"/>
    <w:rsid w:val="0015190D"/>
    <w:rsid w:val="001525AB"/>
    <w:rsid w:val="00154EFD"/>
    <w:rsid w:val="00155052"/>
    <w:rsid w:val="001559C9"/>
    <w:rsid w:val="0016074F"/>
    <w:rsid w:val="001608C8"/>
    <w:rsid w:val="00160BF3"/>
    <w:rsid w:val="00165E5A"/>
    <w:rsid w:val="00170F03"/>
    <w:rsid w:val="001732C7"/>
    <w:rsid w:val="001751C9"/>
    <w:rsid w:val="00177DEB"/>
    <w:rsid w:val="0018408C"/>
    <w:rsid w:val="00184F1F"/>
    <w:rsid w:val="001856EA"/>
    <w:rsid w:val="0018614E"/>
    <w:rsid w:val="00186237"/>
    <w:rsid w:val="001868F6"/>
    <w:rsid w:val="0019258E"/>
    <w:rsid w:val="001931B8"/>
    <w:rsid w:val="00194F2E"/>
    <w:rsid w:val="00196309"/>
    <w:rsid w:val="001A4206"/>
    <w:rsid w:val="001A5588"/>
    <w:rsid w:val="001B041D"/>
    <w:rsid w:val="001B0CD9"/>
    <w:rsid w:val="001B3907"/>
    <w:rsid w:val="001B6DFE"/>
    <w:rsid w:val="001B73AB"/>
    <w:rsid w:val="001B7CCF"/>
    <w:rsid w:val="001C3A53"/>
    <w:rsid w:val="001C3B47"/>
    <w:rsid w:val="001C4F64"/>
    <w:rsid w:val="001C7F38"/>
    <w:rsid w:val="001D11CB"/>
    <w:rsid w:val="001D11E3"/>
    <w:rsid w:val="001D1DB2"/>
    <w:rsid w:val="001D2CDF"/>
    <w:rsid w:val="001E0B46"/>
    <w:rsid w:val="001E0D34"/>
    <w:rsid w:val="001E6EB7"/>
    <w:rsid w:val="001E73D1"/>
    <w:rsid w:val="001F09A0"/>
    <w:rsid w:val="001F0B06"/>
    <w:rsid w:val="001F1813"/>
    <w:rsid w:val="001F22B9"/>
    <w:rsid w:val="001F2C66"/>
    <w:rsid w:val="001F5720"/>
    <w:rsid w:val="00200160"/>
    <w:rsid w:val="00201401"/>
    <w:rsid w:val="00201CDB"/>
    <w:rsid w:val="00203CC3"/>
    <w:rsid w:val="00203EFD"/>
    <w:rsid w:val="00205457"/>
    <w:rsid w:val="00207C88"/>
    <w:rsid w:val="002124CB"/>
    <w:rsid w:val="00213109"/>
    <w:rsid w:val="0021481E"/>
    <w:rsid w:val="002152AF"/>
    <w:rsid w:val="00215932"/>
    <w:rsid w:val="00215A3B"/>
    <w:rsid w:val="002205CB"/>
    <w:rsid w:val="002223D6"/>
    <w:rsid w:val="002233E0"/>
    <w:rsid w:val="00224B26"/>
    <w:rsid w:val="002271A7"/>
    <w:rsid w:val="002333E3"/>
    <w:rsid w:val="00236755"/>
    <w:rsid w:val="00236833"/>
    <w:rsid w:val="002473F6"/>
    <w:rsid w:val="0025096D"/>
    <w:rsid w:val="00251293"/>
    <w:rsid w:val="002536E0"/>
    <w:rsid w:val="00254F5B"/>
    <w:rsid w:val="00255F48"/>
    <w:rsid w:val="002566F5"/>
    <w:rsid w:val="00256738"/>
    <w:rsid w:val="0025678A"/>
    <w:rsid w:val="00256A8B"/>
    <w:rsid w:val="00260853"/>
    <w:rsid w:val="00264360"/>
    <w:rsid w:val="00267C14"/>
    <w:rsid w:val="00271211"/>
    <w:rsid w:val="002730B4"/>
    <w:rsid w:val="002735E0"/>
    <w:rsid w:val="00280A80"/>
    <w:rsid w:val="0028118C"/>
    <w:rsid w:val="00283F11"/>
    <w:rsid w:val="002942FD"/>
    <w:rsid w:val="00296704"/>
    <w:rsid w:val="00297E79"/>
    <w:rsid w:val="002A0CDE"/>
    <w:rsid w:val="002A1318"/>
    <w:rsid w:val="002A5EE4"/>
    <w:rsid w:val="002B12F6"/>
    <w:rsid w:val="002B4533"/>
    <w:rsid w:val="002B4CE7"/>
    <w:rsid w:val="002B531D"/>
    <w:rsid w:val="002B5C1B"/>
    <w:rsid w:val="002B66C4"/>
    <w:rsid w:val="002B69F3"/>
    <w:rsid w:val="002C0DC9"/>
    <w:rsid w:val="002C1F53"/>
    <w:rsid w:val="002C3192"/>
    <w:rsid w:val="002C4D50"/>
    <w:rsid w:val="002D06DE"/>
    <w:rsid w:val="002D3F1F"/>
    <w:rsid w:val="002E0200"/>
    <w:rsid w:val="002E3936"/>
    <w:rsid w:val="002F1E6E"/>
    <w:rsid w:val="002F3353"/>
    <w:rsid w:val="002F4FBB"/>
    <w:rsid w:val="002F6091"/>
    <w:rsid w:val="002F67FE"/>
    <w:rsid w:val="0030322B"/>
    <w:rsid w:val="00306CA9"/>
    <w:rsid w:val="0031218F"/>
    <w:rsid w:val="00312E97"/>
    <w:rsid w:val="00313721"/>
    <w:rsid w:val="003138A7"/>
    <w:rsid w:val="0032130E"/>
    <w:rsid w:val="00323369"/>
    <w:rsid w:val="00323A6D"/>
    <w:rsid w:val="00326C44"/>
    <w:rsid w:val="00326E84"/>
    <w:rsid w:val="00327855"/>
    <w:rsid w:val="003325EB"/>
    <w:rsid w:val="0033366F"/>
    <w:rsid w:val="00333E25"/>
    <w:rsid w:val="00336460"/>
    <w:rsid w:val="00336C12"/>
    <w:rsid w:val="003375BE"/>
    <w:rsid w:val="00337714"/>
    <w:rsid w:val="0034018B"/>
    <w:rsid w:val="003413FE"/>
    <w:rsid w:val="00343C07"/>
    <w:rsid w:val="0034410B"/>
    <w:rsid w:val="00344237"/>
    <w:rsid w:val="00346C39"/>
    <w:rsid w:val="00350D51"/>
    <w:rsid w:val="00351852"/>
    <w:rsid w:val="003523D3"/>
    <w:rsid w:val="00353031"/>
    <w:rsid w:val="00353B57"/>
    <w:rsid w:val="00356570"/>
    <w:rsid w:val="00362652"/>
    <w:rsid w:val="00365AE1"/>
    <w:rsid w:val="00365CEC"/>
    <w:rsid w:val="00373B5F"/>
    <w:rsid w:val="003810B0"/>
    <w:rsid w:val="00383400"/>
    <w:rsid w:val="00391E10"/>
    <w:rsid w:val="003941C0"/>
    <w:rsid w:val="003A0328"/>
    <w:rsid w:val="003A0961"/>
    <w:rsid w:val="003A2E2D"/>
    <w:rsid w:val="003B0326"/>
    <w:rsid w:val="003B4EDD"/>
    <w:rsid w:val="003B5FCF"/>
    <w:rsid w:val="003B7243"/>
    <w:rsid w:val="003C0078"/>
    <w:rsid w:val="003C0372"/>
    <w:rsid w:val="003C2E72"/>
    <w:rsid w:val="003C4AFF"/>
    <w:rsid w:val="003C64F5"/>
    <w:rsid w:val="003C70C1"/>
    <w:rsid w:val="003D0861"/>
    <w:rsid w:val="003D2796"/>
    <w:rsid w:val="003D3C08"/>
    <w:rsid w:val="003D48CA"/>
    <w:rsid w:val="003D4B63"/>
    <w:rsid w:val="003D71BB"/>
    <w:rsid w:val="003D7933"/>
    <w:rsid w:val="003E215D"/>
    <w:rsid w:val="003E3337"/>
    <w:rsid w:val="003E6343"/>
    <w:rsid w:val="003E75A9"/>
    <w:rsid w:val="00405C7A"/>
    <w:rsid w:val="004073C0"/>
    <w:rsid w:val="00410467"/>
    <w:rsid w:val="004112D7"/>
    <w:rsid w:val="004155EF"/>
    <w:rsid w:val="00415930"/>
    <w:rsid w:val="00422DFD"/>
    <w:rsid w:val="004248AD"/>
    <w:rsid w:val="00425659"/>
    <w:rsid w:val="004258CD"/>
    <w:rsid w:val="00431C10"/>
    <w:rsid w:val="00432FC0"/>
    <w:rsid w:val="004412FE"/>
    <w:rsid w:val="00441CF2"/>
    <w:rsid w:val="00447E4C"/>
    <w:rsid w:val="00447EB8"/>
    <w:rsid w:val="00453ED7"/>
    <w:rsid w:val="00457E95"/>
    <w:rsid w:val="00460DF6"/>
    <w:rsid w:val="004629E8"/>
    <w:rsid w:val="00462D27"/>
    <w:rsid w:val="004636C3"/>
    <w:rsid w:val="00464262"/>
    <w:rsid w:val="004667C6"/>
    <w:rsid w:val="00466D70"/>
    <w:rsid w:val="0047156C"/>
    <w:rsid w:val="004720FD"/>
    <w:rsid w:val="00475B2E"/>
    <w:rsid w:val="00475E36"/>
    <w:rsid w:val="00480718"/>
    <w:rsid w:val="00481C27"/>
    <w:rsid w:val="004907BB"/>
    <w:rsid w:val="00492779"/>
    <w:rsid w:val="00492F1F"/>
    <w:rsid w:val="00497A41"/>
    <w:rsid w:val="004B16F2"/>
    <w:rsid w:val="004B54A2"/>
    <w:rsid w:val="004B58F2"/>
    <w:rsid w:val="004B7ECC"/>
    <w:rsid w:val="004C012F"/>
    <w:rsid w:val="004C1CFB"/>
    <w:rsid w:val="004C3960"/>
    <w:rsid w:val="004C3E8D"/>
    <w:rsid w:val="004C4091"/>
    <w:rsid w:val="004C7017"/>
    <w:rsid w:val="004D0513"/>
    <w:rsid w:val="004D4298"/>
    <w:rsid w:val="004E0EFA"/>
    <w:rsid w:val="004E2F19"/>
    <w:rsid w:val="004E6730"/>
    <w:rsid w:val="004F0718"/>
    <w:rsid w:val="004F22C0"/>
    <w:rsid w:val="004F44A2"/>
    <w:rsid w:val="0050023A"/>
    <w:rsid w:val="00502293"/>
    <w:rsid w:val="00504A9C"/>
    <w:rsid w:val="005145C1"/>
    <w:rsid w:val="00516D22"/>
    <w:rsid w:val="0052009E"/>
    <w:rsid w:val="005233D2"/>
    <w:rsid w:val="00530DC9"/>
    <w:rsid w:val="00533ACC"/>
    <w:rsid w:val="00536258"/>
    <w:rsid w:val="00541D59"/>
    <w:rsid w:val="0054351C"/>
    <w:rsid w:val="0054585A"/>
    <w:rsid w:val="0055358F"/>
    <w:rsid w:val="00556F11"/>
    <w:rsid w:val="005607CD"/>
    <w:rsid w:val="005609C4"/>
    <w:rsid w:val="00567CB8"/>
    <w:rsid w:val="00570CB3"/>
    <w:rsid w:val="00570F99"/>
    <w:rsid w:val="00572286"/>
    <w:rsid w:val="005727F7"/>
    <w:rsid w:val="005732E1"/>
    <w:rsid w:val="00574BA1"/>
    <w:rsid w:val="00575CD8"/>
    <w:rsid w:val="00577ABC"/>
    <w:rsid w:val="00581DEA"/>
    <w:rsid w:val="00583A82"/>
    <w:rsid w:val="00586313"/>
    <w:rsid w:val="00590FC5"/>
    <w:rsid w:val="00591B1A"/>
    <w:rsid w:val="00594182"/>
    <w:rsid w:val="00594416"/>
    <w:rsid w:val="00594610"/>
    <w:rsid w:val="00594CDC"/>
    <w:rsid w:val="0059595B"/>
    <w:rsid w:val="005A16C3"/>
    <w:rsid w:val="005A4BF4"/>
    <w:rsid w:val="005B1BD5"/>
    <w:rsid w:val="005C235F"/>
    <w:rsid w:val="005C3297"/>
    <w:rsid w:val="005C3D38"/>
    <w:rsid w:val="005C4C02"/>
    <w:rsid w:val="005C7B94"/>
    <w:rsid w:val="005D0783"/>
    <w:rsid w:val="005D14A4"/>
    <w:rsid w:val="005D5157"/>
    <w:rsid w:val="005D595D"/>
    <w:rsid w:val="005D5E84"/>
    <w:rsid w:val="005E5FC8"/>
    <w:rsid w:val="005E7889"/>
    <w:rsid w:val="005F65B0"/>
    <w:rsid w:val="006108D0"/>
    <w:rsid w:val="0061216D"/>
    <w:rsid w:val="00612EFA"/>
    <w:rsid w:val="006144BA"/>
    <w:rsid w:val="00617D4B"/>
    <w:rsid w:val="00617F1A"/>
    <w:rsid w:val="006238B2"/>
    <w:rsid w:val="0063018A"/>
    <w:rsid w:val="0063103E"/>
    <w:rsid w:val="0063153D"/>
    <w:rsid w:val="00634293"/>
    <w:rsid w:val="006413D2"/>
    <w:rsid w:val="00642348"/>
    <w:rsid w:val="00642FB4"/>
    <w:rsid w:val="00646FD2"/>
    <w:rsid w:val="006508A5"/>
    <w:rsid w:val="006541B9"/>
    <w:rsid w:val="0065557B"/>
    <w:rsid w:val="006569F3"/>
    <w:rsid w:val="006577F3"/>
    <w:rsid w:val="00661591"/>
    <w:rsid w:val="006716AD"/>
    <w:rsid w:val="006736BE"/>
    <w:rsid w:val="00680308"/>
    <w:rsid w:val="006805CB"/>
    <w:rsid w:val="006821AC"/>
    <w:rsid w:val="00686D70"/>
    <w:rsid w:val="00690B4E"/>
    <w:rsid w:val="006953A0"/>
    <w:rsid w:val="00695889"/>
    <w:rsid w:val="006A1A60"/>
    <w:rsid w:val="006A4000"/>
    <w:rsid w:val="006A6C9A"/>
    <w:rsid w:val="006A6FE1"/>
    <w:rsid w:val="006B7D6D"/>
    <w:rsid w:val="006C0352"/>
    <w:rsid w:val="006C2998"/>
    <w:rsid w:val="006C2BCD"/>
    <w:rsid w:val="006C310F"/>
    <w:rsid w:val="006C317B"/>
    <w:rsid w:val="006C7D19"/>
    <w:rsid w:val="006D0522"/>
    <w:rsid w:val="006D1144"/>
    <w:rsid w:val="006D4341"/>
    <w:rsid w:val="006D6786"/>
    <w:rsid w:val="006D6BD1"/>
    <w:rsid w:val="006D76DE"/>
    <w:rsid w:val="006E0452"/>
    <w:rsid w:val="006E15D4"/>
    <w:rsid w:val="006E64AE"/>
    <w:rsid w:val="006F7B98"/>
    <w:rsid w:val="00704DC6"/>
    <w:rsid w:val="00710B19"/>
    <w:rsid w:val="00713C6F"/>
    <w:rsid w:val="007141B1"/>
    <w:rsid w:val="00717741"/>
    <w:rsid w:val="00720C37"/>
    <w:rsid w:val="00721DDC"/>
    <w:rsid w:val="00722126"/>
    <w:rsid w:val="00723551"/>
    <w:rsid w:val="007278F1"/>
    <w:rsid w:val="007305A6"/>
    <w:rsid w:val="0073094A"/>
    <w:rsid w:val="00731F38"/>
    <w:rsid w:val="00732954"/>
    <w:rsid w:val="00736F93"/>
    <w:rsid w:val="00737013"/>
    <w:rsid w:val="00737CCC"/>
    <w:rsid w:val="00740DD6"/>
    <w:rsid w:val="00744509"/>
    <w:rsid w:val="00745551"/>
    <w:rsid w:val="0074587C"/>
    <w:rsid w:val="00745C48"/>
    <w:rsid w:val="00750653"/>
    <w:rsid w:val="007506D8"/>
    <w:rsid w:val="00755883"/>
    <w:rsid w:val="0076142A"/>
    <w:rsid w:val="0076251E"/>
    <w:rsid w:val="00765B6D"/>
    <w:rsid w:val="007665B5"/>
    <w:rsid w:val="00767AFC"/>
    <w:rsid w:val="00774792"/>
    <w:rsid w:val="00776D18"/>
    <w:rsid w:val="007774B2"/>
    <w:rsid w:val="007810C5"/>
    <w:rsid w:val="00783A24"/>
    <w:rsid w:val="007860BF"/>
    <w:rsid w:val="00787625"/>
    <w:rsid w:val="00787B9B"/>
    <w:rsid w:val="00790165"/>
    <w:rsid w:val="00790292"/>
    <w:rsid w:val="0079388D"/>
    <w:rsid w:val="00795E0F"/>
    <w:rsid w:val="007A12DA"/>
    <w:rsid w:val="007A45EB"/>
    <w:rsid w:val="007A4B06"/>
    <w:rsid w:val="007A5539"/>
    <w:rsid w:val="007A5C77"/>
    <w:rsid w:val="007A63A3"/>
    <w:rsid w:val="007B38C0"/>
    <w:rsid w:val="007B4891"/>
    <w:rsid w:val="007C1FE2"/>
    <w:rsid w:val="007C29AF"/>
    <w:rsid w:val="007C2D4E"/>
    <w:rsid w:val="007C3CA2"/>
    <w:rsid w:val="007C52F0"/>
    <w:rsid w:val="007D0836"/>
    <w:rsid w:val="007D0AB3"/>
    <w:rsid w:val="007D3F31"/>
    <w:rsid w:val="007D64B2"/>
    <w:rsid w:val="007D64B8"/>
    <w:rsid w:val="007E344F"/>
    <w:rsid w:val="007E3749"/>
    <w:rsid w:val="007E3DA1"/>
    <w:rsid w:val="007E57E1"/>
    <w:rsid w:val="007E6A98"/>
    <w:rsid w:val="007E767D"/>
    <w:rsid w:val="007F0069"/>
    <w:rsid w:val="007F306F"/>
    <w:rsid w:val="007F467E"/>
    <w:rsid w:val="007F46F5"/>
    <w:rsid w:val="007F7F67"/>
    <w:rsid w:val="00800A66"/>
    <w:rsid w:val="0080230B"/>
    <w:rsid w:val="00803735"/>
    <w:rsid w:val="008046FA"/>
    <w:rsid w:val="0080612C"/>
    <w:rsid w:val="008065A4"/>
    <w:rsid w:val="008152CC"/>
    <w:rsid w:val="00825CAE"/>
    <w:rsid w:val="00830314"/>
    <w:rsid w:val="00834D8B"/>
    <w:rsid w:val="00835998"/>
    <w:rsid w:val="00836BAD"/>
    <w:rsid w:val="00841DC6"/>
    <w:rsid w:val="00842A70"/>
    <w:rsid w:val="00843B57"/>
    <w:rsid w:val="00850265"/>
    <w:rsid w:val="008516C1"/>
    <w:rsid w:val="00852B07"/>
    <w:rsid w:val="008566B7"/>
    <w:rsid w:val="00860654"/>
    <w:rsid w:val="00864DCA"/>
    <w:rsid w:val="00864EE1"/>
    <w:rsid w:val="008654AF"/>
    <w:rsid w:val="00865B27"/>
    <w:rsid w:val="008673CB"/>
    <w:rsid w:val="00870868"/>
    <w:rsid w:val="008712CC"/>
    <w:rsid w:val="00871AEB"/>
    <w:rsid w:val="008727F2"/>
    <w:rsid w:val="00872DE7"/>
    <w:rsid w:val="00875140"/>
    <w:rsid w:val="008815F8"/>
    <w:rsid w:val="00881BF1"/>
    <w:rsid w:val="00881CDE"/>
    <w:rsid w:val="00885B5F"/>
    <w:rsid w:val="00885F71"/>
    <w:rsid w:val="00886C8F"/>
    <w:rsid w:val="00893150"/>
    <w:rsid w:val="00893929"/>
    <w:rsid w:val="00896F9A"/>
    <w:rsid w:val="008973DA"/>
    <w:rsid w:val="008A0792"/>
    <w:rsid w:val="008A0BC2"/>
    <w:rsid w:val="008A48B5"/>
    <w:rsid w:val="008B2857"/>
    <w:rsid w:val="008B3A38"/>
    <w:rsid w:val="008C0B07"/>
    <w:rsid w:val="008C314A"/>
    <w:rsid w:val="008C3177"/>
    <w:rsid w:val="008C5972"/>
    <w:rsid w:val="008C643D"/>
    <w:rsid w:val="008C78D2"/>
    <w:rsid w:val="008D243A"/>
    <w:rsid w:val="008D3296"/>
    <w:rsid w:val="008D6A5A"/>
    <w:rsid w:val="008E2016"/>
    <w:rsid w:val="008F2904"/>
    <w:rsid w:val="008F6491"/>
    <w:rsid w:val="008F7A96"/>
    <w:rsid w:val="00910FAB"/>
    <w:rsid w:val="00914F96"/>
    <w:rsid w:val="009158B6"/>
    <w:rsid w:val="00917C4C"/>
    <w:rsid w:val="00920576"/>
    <w:rsid w:val="00920711"/>
    <w:rsid w:val="0092123C"/>
    <w:rsid w:val="00921986"/>
    <w:rsid w:val="009220EE"/>
    <w:rsid w:val="0092461F"/>
    <w:rsid w:val="00924664"/>
    <w:rsid w:val="00925244"/>
    <w:rsid w:val="009356C9"/>
    <w:rsid w:val="00936B1C"/>
    <w:rsid w:val="009428CB"/>
    <w:rsid w:val="00947A56"/>
    <w:rsid w:val="00950FDE"/>
    <w:rsid w:val="009526E9"/>
    <w:rsid w:val="00953670"/>
    <w:rsid w:val="00955FFB"/>
    <w:rsid w:val="009624C9"/>
    <w:rsid w:val="009747FB"/>
    <w:rsid w:val="00975561"/>
    <w:rsid w:val="00976507"/>
    <w:rsid w:val="0097736B"/>
    <w:rsid w:val="00980D21"/>
    <w:rsid w:val="00983F9F"/>
    <w:rsid w:val="00991571"/>
    <w:rsid w:val="009939B0"/>
    <w:rsid w:val="009964EB"/>
    <w:rsid w:val="0099784B"/>
    <w:rsid w:val="009A61C3"/>
    <w:rsid w:val="009B15F9"/>
    <w:rsid w:val="009B2D02"/>
    <w:rsid w:val="009B470E"/>
    <w:rsid w:val="009C35E2"/>
    <w:rsid w:val="009C4955"/>
    <w:rsid w:val="009C7AF2"/>
    <w:rsid w:val="009D118D"/>
    <w:rsid w:val="009D16A1"/>
    <w:rsid w:val="009D1701"/>
    <w:rsid w:val="009D6D6F"/>
    <w:rsid w:val="009E109F"/>
    <w:rsid w:val="009E2352"/>
    <w:rsid w:val="009E2EEF"/>
    <w:rsid w:val="009E3451"/>
    <w:rsid w:val="009E51C1"/>
    <w:rsid w:val="009E65FD"/>
    <w:rsid w:val="009F0843"/>
    <w:rsid w:val="009F68D1"/>
    <w:rsid w:val="00A00F12"/>
    <w:rsid w:val="00A0147F"/>
    <w:rsid w:val="00A047F9"/>
    <w:rsid w:val="00A0639E"/>
    <w:rsid w:val="00A10575"/>
    <w:rsid w:val="00A10B71"/>
    <w:rsid w:val="00A115FB"/>
    <w:rsid w:val="00A11E0C"/>
    <w:rsid w:val="00A17BBA"/>
    <w:rsid w:val="00A2109A"/>
    <w:rsid w:val="00A21B31"/>
    <w:rsid w:val="00A221DA"/>
    <w:rsid w:val="00A2464B"/>
    <w:rsid w:val="00A254DD"/>
    <w:rsid w:val="00A302D2"/>
    <w:rsid w:val="00A31158"/>
    <w:rsid w:val="00A3154C"/>
    <w:rsid w:val="00A31C6A"/>
    <w:rsid w:val="00A3678B"/>
    <w:rsid w:val="00A42557"/>
    <w:rsid w:val="00A44897"/>
    <w:rsid w:val="00A45E54"/>
    <w:rsid w:val="00A478DB"/>
    <w:rsid w:val="00A52365"/>
    <w:rsid w:val="00A53357"/>
    <w:rsid w:val="00A53DA2"/>
    <w:rsid w:val="00A5457E"/>
    <w:rsid w:val="00A54947"/>
    <w:rsid w:val="00A577CA"/>
    <w:rsid w:val="00A617CC"/>
    <w:rsid w:val="00A63BB6"/>
    <w:rsid w:val="00A7779F"/>
    <w:rsid w:val="00A80D85"/>
    <w:rsid w:val="00A8169B"/>
    <w:rsid w:val="00A81700"/>
    <w:rsid w:val="00A954B5"/>
    <w:rsid w:val="00A95C10"/>
    <w:rsid w:val="00AA37F0"/>
    <w:rsid w:val="00AA510C"/>
    <w:rsid w:val="00AA6D90"/>
    <w:rsid w:val="00AB06D8"/>
    <w:rsid w:val="00AB4FB8"/>
    <w:rsid w:val="00AD040F"/>
    <w:rsid w:val="00AD197C"/>
    <w:rsid w:val="00AD1C8F"/>
    <w:rsid w:val="00AD6DB9"/>
    <w:rsid w:val="00AE2F43"/>
    <w:rsid w:val="00AE378E"/>
    <w:rsid w:val="00AE4D51"/>
    <w:rsid w:val="00AE5757"/>
    <w:rsid w:val="00AE6AF9"/>
    <w:rsid w:val="00AF4816"/>
    <w:rsid w:val="00AF5201"/>
    <w:rsid w:val="00AF7A7C"/>
    <w:rsid w:val="00AF7C33"/>
    <w:rsid w:val="00B008E2"/>
    <w:rsid w:val="00B02891"/>
    <w:rsid w:val="00B03141"/>
    <w:rsid w:val="00B0377F"/>
    <w:rsid w:val="00B07873"/>
    <w:rsid w:val="00B10CE4"/>
    <w:rsid w:val="00B10DF0"/>
    <w:rsid w:val="00B1163A"/>
    <w:rsid w:val="00B126C9"/>
    <w:rsid w:val="00B13A69"/>
    <w:rsid w:val="00B16815"/>
    <w:rsid w:val="00B16E12"/>
    <w:rsid w:val="00B17A5B"/>
    <w:rsid w:val="00B23487"/>
    <w:rsid w:val="00B239C0"/>
    <w:rsid w:val="00B24A64"/>
    <w:rsid w:val="00B26049"/>
    <w:rsid w:val="00B266F0"/>
    <w:rsid w:val="00B26E0E"/>
    <w:rsid w:val="00B334FB"/>
    <w:rsid w:val="00B35299"/>
    <w:rsid w:val="00B3592E"/>
    <w:rsid w:val="00B3740B"/>
    <w:rsid w:val="00B40E72"/>
    <w:rsid w:val="00B4651C"/>
    <w:rsid w:val="00B46C42"/>
    <w:rsid w:val="00B52BD4"/>
    <w:rsid w:val="00B52FAB"/>
    <w:rsid w:val="00B55678"/>
    <w:rsid w:val="00B658B2"/>
    <w:rsid w:val="00B6752B"/>
    <w:rsid w:val="00B67D2A"/>
    <w:rsid w:val="00B7401B"/>
    <w:rsid w:val="00B807A7"/>
    <w:rsid w:val="00B84629"/>
    <w:rsid w:val="00B91A8B"/>
    <w:rsid w:val="00B95A64"/>
    <w:rsid w:val="00BA2B8F"/>
    <w:rsid w:val="00BA31CF"/>
    <w:rsid w:val="00BA39DA"/>
    <w:rsid w:val="00BA41FB"/>
    <w:rsid w:val="00BB35D3"/>
    <w:rsid w:val="00BB385F"/>
    <w:rsid w:val="00BB5514"/>
    <w:rsid w:val="00BD02EF"/>
    <w:rsid w:val="00BD1ACA"/>
    <w:rsid w:val="00BD2A70"/>
    <w:rsid w:val="00BD2CAE"/>
    <w:rsid w:val="00BD5C94"/>
    <w:rsid w:val="00BD63C1"/>
    <w:rsid w:val="00BD7A96"/>
    <w:rsid w:val="00BE1A7B"/>
    <w:rsid w:val="00BE5684"/>
    <w:rsid w:val="00BF1C5A"/>
    <w:rsid w:val="00BF6168"/>
    <w:rsid w:val="00BF63A0"/>
    <w:rsid w:val="00C00AD0"/>
    <w:rsid w:val="00C026B3"/>
    <w:rsid w:val="00C0325F"/>
    <w:rsid w:val="00C07BE2"/>
    <w:rsid w:val="00C107D3"/>
    <w:rsid w:val="00C112E3"/>
    <w:rsid w:val="00C12252"/>
    <w:rsid w:val="00C13B57"/>
    <w:rsid w:val="00C155F2"/>
    <w:rsid w:val="00C2081D"/>
    <w:rsid w:val="00C23F7A"/>
    <w:rsid w:val="00C241AB"/>
    <w:rsid w:val="00C3079D"/>
    <w:rsid w:val="00C314CD"/>
    <w:rsid w:val="00C36930"/>
    <w:rsid w:val="00C36E96"/>
    <w:rsid w:val="00C4120A"/>
    <w:rsid w:val="00C473FD"/>
    <w:rsid w:val="00C47F38"/>
    <w:rsid w:val="00C51537"/>
    <w:rsid w:val="00C55A78"/>
    <w:rsid w:val="00C5671A"/>
    <w:rsid w:val="00C569E6"/>
    <w:rsid w:val="00C638EA"/>
    <w:rsid w:val="00C66427"/>
    <w:rsid w:val="00C70B25"/>
    <w:rsid w:val="00C70E2E"/>
    <w:rsid w:val="00C72022"/>
    <w:rsid w:val="00C734BA"/>
    <w:rsid w:val="00C757C6"/>
    <w:rsid w:val="00C7674C"/>
    <w:rsid w:val="00C81251"/>
    <w:rsid w:val="00C83FCB"/>
    <w:rsid w:val="00C84CC6"/>
    <w:rsid w:val="00C85723"/>
    <w:rsid w:val="00C87666"/>
    <w:rsid w:val="00C90B3D"/>
    <w:rsid w:val="00CA6562"/>
    <w:rsid w:val="00CB2104"/>
    <w:rsid w:val="00CB29C3"/>
    <w:rsid w:val="00CB2C39"/>
    <w:rsid w:val="00CB2D41"/>
    <w:rsid w:val="00CC66AC"/>
    <w:rsid w:val="00CD060D"/>
    <w:rsid w:val="00CD2057"/>
    <w:rsid w:val="00CD3B61"/>
    <w:rsid w:val="00CD49B7"/>
    <w:rsid w:val="00CE4F04"/>
    <w:rsid w:val="00CF23F7"/>
    <w:rsid w:val="00CF5143"/>
    <w:rsid w:val="00CF6FBB"/>
    <w:rsid w:val="00D0533D"/>
    <w:rsid w:val="00D0567E"/>
    <w:rsid w:val="00D062B7"/>
    <w:rsid w:val="00D0685A"/>
    <w:rsid w:val="00D10DE3"/>
    <w:rsid w:val="00D11CD9"/>
    <w:rsid w:val="00D12E51"/>
    <w:rsid w:val="00D1489C"/>
    <w:rsid w:val="00D151DF"/>
    <w:rsid w:val="00D3032B"/>
    <w:rsid w:val="00D30781"/>
    <w:rsid w:val="00D30D5C"/>
    <w:rsid w:val="00D323DB"/>
    <w:rsid w:val="00D40370"/>
    <w:rsid w:val="00D40456"/>
    <w:rsid w:val="00D42AA2"/>
    <w:rsid w:val="00D4327E"/>
    <w:rsid w:val="00D44642"/>
    <w:rsid w:val="00D45BB0"/>
    <w:rsid w:val="00D54E59"/>
    <w:rsid w:val="00D6250A"/>
    <w:rsid w:val="00D63B60"/>
    <w:rsid w:val="00D65F3D"/>
    <w:rsid w:val="00D72982"/>
    <w:rsid w:val="00D82381"/>
    <w:rsid w:val="00D861D2"/>
    <w:rsid w:val="00D91A18"/>
    <w:rsid w:val="00D939F4"/>
    <w:rsid w:val="00D94107"/>
    <w:rsid w:val="00D950F4"/>
    <w:rsid w:val="00D96603"/>
    <w:rsid w:val="00D97FC6"/>
    <w:rsid w:val="00DA1CE9"/>
    <w:rsid w:val="00DA76EB"/>
    <w:rsid w:val="00DA7FAE"/>
    <w:rsid w:val="00DB538D"/>
    <w:rsid w:val="00DB5FCC"/>
    <w:rsid w:val="00DC5B69"/>
    <w:rsid w:val="00DC5BA4"/>
    <w:rsid w:val="00DC6B41"/>
    <w:rsid w:val="00DC75AD"/>
    <w:rsid w:val="00DD05EE"/>
    <w:rsid w:val="00DD26E8"/>
    <w:rsid w:val="00DD5E1F"/>
    <w:rsid w:val="00DD7D54"/>
    <w:rsid w:val="00DE29BF"/>
    <w:rsid w:val="00DE3662"/>
    <w:rsid w:val="00DE3C5D"/>
    <w:rsid w:val="00DE3F58"/>
    <w:rsid w:val="00DE56E6"/>
    <w:rsid w:val="00DF2216"/>
    <w:rsid w:val="00DF42AF"/>
    <w:rsid w:val="00E01110"/>
    <w:rsid w:val="00E021CC"/>
    <w:rsid w:val="00E052D2"/>
    <w:rsid w:val="00E12192"/>
    <w:rsid w:val="00E154E8"/>
    <w:rsid w:val="00E15745"/>
    <w:rsid w:val="00E218AB"/>
    <w:rsid w:val="00E21C26"/>
    <w:rsid w:val="00E21C73"/>
    <w:rsid w:val="00E22954"/>
    <w:rsid w:val="00E25076"/>
    <w:rsid w:val="00E25FD5"/>
    <w:rsid w:val="00E2640B"/>
    <w:rsid w:val="00E31176"/>
    <w:rsid w:val="00E33900"/>
    <w:rsid w:val="00E3637F"/>
    <w:rsid w:val="00E37994"/>
    <w:rsid w:val="00E40F19"/>
    <w:rsid w:val="00E423A9"/>
    <w:rsid w:val="00E4269F"/>
    <w:rsid w:val="00E42B7D"/>
    <w:rsid w:val="00E44656"/>
    <w:rsid w:val="00E4794C"/>
    <w:rsid w:val="00E528D3"/>
    <w:rsid w:val="00E538E2"/>
    <w:rsid w:val="00E57502"/>
    <w:rsid w:val="00E632CD"/>
    <w:rsid w:val="00E66532"/>
    <w:rsid w:val="00E67D46"/>
    <w:rsid w:val="00E710AA"/>
    <w:rsid w:val="00E72FBC"/>
    <w:rsid w:val="00E77B69"/>
    <w:rsid w:val="00E77D4D"/>
    <w:rsid w:val="00E804E6"/>
    <w:rsid w:val="00E80512"/>
    <w:rsid w:val="00E81D6B"/>
    <w:rsid w:val="00E82EEA"/>
    <w:rsid w:val="00E84390"/>
    <w:rsid w:val="00E850CF"/>
    <w:rsid w:val="00E85776"/>
    <w:rsid w:val="00E863AC"/>
    <w:rsid w:val="00E873AA"/>
    <w:rsid w:val="00E92DFC"/>
    <w:rsid w:val="00E93346"/>
    <w:rsid w:val="00E96231"/>
    <w:rsid w:val="00E97792"/>
    <w:rsid w:val="00EA3178"/>
    <w:rsid w:val="00EB0ADA"/>
    <w:rsid w:val="00EB2666"/>
    <w:rsid w:val="00EB2F80"/>
    <w:rsid w:val="00EB3A63"/>
    <w:rsid w:val="00EB4D88"/>
    <w:rsid w:val="00EB6728"/>
    <w:rsid w:val="00EC3756"/>
    <w:rsid w:val="00EC5C20"/>
    <w:rsid w:val="00EC5E22"/>
    <w:rsid w:val="00EC6D2E"/>
    <w:rsid w:val="00ED1939"/>
    <w:rsid w:val="00ED6C71"/>
    <w:rsid w:val="00ED6EBB"/>
    <w:rsid w:val="00ED7353"/>
    <w:rsid w:val="00ED7983"/>
    <w:rsid w:val="00EE079A"/>
    <w:rsid w:val="00EE3B19"/>
    <w:rsid w:val="00EE5CD5"/>
    <w:rsid w:val="00EE7018"/>
    <w:rsid w:val="00EF1037"/>
    <w:rsid w:val="00EF39D3"/>
    <w:rsid w:val="00F00CC6"/>
    <w:rsid w:val="00F02A94"/>
    <w:rsid w:val="00F0380F"/>
    <w:rsid w:val="00F1055D"/>
    <w:rsid w:val="00F1511C"/>
    <w:rsid w:val="00F16C00"/>
    <w:rsid w:val="00F16CDB"/>
    <w:rsid w:val="00F22037"/>
    <w:rsid w:val="00F22723"/>
    <w:rsid w:val="00F2386D"/>
    <w:rsid w:val="00F250DC"/>
    <w:rsid w:val="00F26019"/>
    <w:rsid w:val="00F3088C"/>
    <w:rsid w:val="00F30A9B"/>
    <w:rsid w:val="00F3324F"/>
    <w:rsid w:val="00F35261"/>
    <w:rsid w:val="00F419E4"/>
    <w:rsid w:val="00F41D1B"/>
    <w:rsid w:val="00F44BC4"/>
    <w:rsid w:val="00F463E6"/>
    <w:rsid w:val="00F477A4"/>
    <w:rsid w:val="00F51B82"/>
    <w:rsid w:val="00F56CE7"/>
    <w:rsid w:val="00F60524"/>
    <w:rsid w:val="00F60966"/>
    <w:rsid w:val="00F626D1"/>
    <w:rsid w:val="00F6453E"/>
    <w:rsid w:val="00F65A21"/>
    <w:rsid w:val="00F71A7E"/>
    <w:rsid w:val="00F728CD"/>
    <w:rsid w:val="00F72A4B"/>
    <w:rsid w:val="00F85D0F"/>
    <w:rsid w:val="00F864FE"/>
    <w:rsid w:val="00F878AF"/>
    <w:rsid w:val="00F90E9E"/>
    <w:rsid w:val="00F950BF"/>
    <w:rsid w:val="00F96369"/>
    <w:rsid w:val="00F979D5"/>
    <w:rsid w:val="00FA0AC6"/>
    <w:rsid w:val="00FA35A4"/>
    <w:rsid w:val="00FA5ADF"/>
    <w:rsid w:val="00FB3248"/>
    <w:rsid w:val="00FB5B27"/>
    <w:rsid w:val="00FE028E"/>
    <w:rsid w:val="00FE7164"/>
    <w:rsid w:val="00FF0DAD"/>
    <w:rsid w:val="00FF29D2"/>
    <w:rsid w:val="079FF5D6"/>
    <w:rsid w:val="0C9D4705"/>
    <w:rsid w:val="0FB7A95D"/>
    <w:rsid w:val="1AAF390C"/>
    <w:rsid w:val="1BE89252"/>
    <w:rsid w:val="1DFD710F"/>
    <w:rsid w:val="1EE9F3AD"/>
    <w:rsid w:val="1FAD2A59"/>
    <w:rsid w:val="20DD2ECA"/>
    <w:rsid w:val="27421CD9"/>
    <w:rsid w:val="27DD11CB"/>
    <w:rsid w:val="29D567ED"/>
    <w:rsid w:val="29E277A3"/>
    <w:rsid w:val="35DFBB4B"/>
    <w:rsid w:val="35FFA3BA"/>
    <w:rsid w:val="365437D6"/>
    <w:rsid w:val="390E1716"/>
    <w:rsid w:val="3CFD4E27"/>
    <w:rsid w:val="3DE92ED5"/>
    <w:rsid w:val="3EA1224E"/>
    <w:rsid w:val="3F2EB298"/>
    <w:rsid w:val="42B7F9E9"/>
    <w:rsid w:val="44F9A245"/>
    <w:rsid w:val="4BB23021"/>
    <w:rsid w:val="54324CFF"/>
    <w:rsid w:val="57B5F30A"/>
    <w:rsid w:val="57FDD2B5"/>
    <w:rsid w:val="59B6E65A"/>
    <w:rsid w:val="5CED2F93"/>
    <w:rsid w:val="5DFFDE37"/>
    <w:rsid w:val="5E8E5228"/>
    <w:rsid w:val="5EFE3622"/>
    <w:rsid w:val="5F99B715"/>
    <w:rsid w:val="5FAD10AC"/>
    <w:rsid w:val="5FBD22B4"/>
    <w:rsid w:val="5FFF8052"/>
    <w:rsid w:val="60E92BEA"/>
    <w:rsid w:val="670F2A9F"/>
    <w:rsid w:val="67953CF6"/>
    <w:rsid w:val="6B66B056"/>
    <w:rsid w:val="6BDFA7EA"/>
    <w:rsid w:val="6C8E3B00"/>
    <w:rsid w:val="6C962DAE"/>
    <w:rsid w:val="6D761208"/>
    <w:rsid w:val="6EF96F02"/>
    <w:rsid w:val="6F9989FB"/>
    <w:rsid w:val="6FBBF4A3"/>
    <w:rsid w:val="6FFB8141"/>
    <w:rsid w:val="6FFF2880"/>
    <w:rsid w:val="706F8C8F"/>
    <w:rsid w:val="716F54F7"/>
    <w:rsid w:val="726A345E"/>
    <w:rsid w:val="736A57F7"/>
    <w:rsid w:val="75FEC0D1"/>
    <w:rsid w:val="76F79BBE"/>
    <w:rsid w:val="773F25B2"/>
    <w:rsid w:val="7775417B"/>
    <w:rsid w:val="77FF3934"/>
    <w:rsid w:val="78A4F873"/>
    <w:rsid w:val="7B5F4BBA"/>
    <w:rsid w:val="7BF70D87"/>
    <w:rsid w:val="7BFF5745"/>
    <w:rsid w:val="7C9D0624"/>
    <w:rsid w:val="7CBF9327"/>
    <w:rsid w:val="7D5BD848"/>
    <w:rsid w:val="7DE64174"/>
    <w:rsid w:val="7E53C08A"/>
    <w:rsid w:val="7EB7FDF2"/>
    <w:rsid w:val="7EDDB2EF"/>
    <w:rsid w:val="7EF4D46B"/>
    <w:rsid w:val="7EFF53BD"/>
    <w:rsid w:val="7FADFC65"/>
    <w:rsid w:val="7FD7B56C"/>
    <w:rsid w:val="7FEF63DE"/>
    <w:rsid w:val="7FEF6D9A"/>
    <w:rsid w:val="7FF70306"/>
    <w:rsid w:val="7FF7700C"/>
    <w:rsid w:val="8EAFAF6A"/>
    <w:rsid w:val="9FF7BC99"/>
    <w:rsid w:val="9FF924ED"/>
    <w:rsid w:val="A6DFC619"/>
    <w:rsid w:val="AFFF56AD"/>
    <w:rsid w:val="B76B1FCF"/>
    <w:rsid w:val="BCFDA9A5"/>
    <w:rsid w:val="BF3CBEBA"/>
    <w:rsid w:val="BF5D521B"/>
    <w:rsid w:val="BF9F3ECD"/>
    <w:rsid w:val="BFF50662"/>
    <w:rsid w:val="BFFF40BC"/>
    <w:rsid w:val="CBF72677"/>
    <w:rsid w:val="D73EB2BB"/>
    <w:rsid w:val="D77C9A2D"/>
    <w:rsid w:val="D7BCBC26"/>
    <w:rsid w:val="D7EDCE43"/>
    <w:rsid w:val="DBBE0767"/>
    <w:rsid w:val="DCFE6017"/>
    <w:rsid w:val="DE964C6E"/>
    <w:rsid w:val="DF1FFCED"/>
    <w:rsid w:val="DFED2471"/>
    <w:rsid w:val="E7DC9BF7"/>
    <w:rsid w:val="EB4D7B24"/>
    <w:rsid w:val="EBCFDECC"/>
    <w:rsid w:val="EBFD6B74"/>
    <w:rsid w:val="ED3F0592"/>
    <w:rsid w:val="EDDDD3B9"/>
    <w:rsid w:val="EF1FD2D8"/>
    <w:rsid w:val="EF7A036F"/>
    <w:rsid w:val="EF7F1B82"/>
    <w:rsid w:val="EF7FC8E3"/>
    <w:rsid w:val="EFBF2567"/>
    <w:rsid w:val="EFFF0CCE"/>
    <w:rsid w:val="EFFF23BD"/>
    <w:rsid w:val="F2DF7960"/>
    <w:rsid w:val="F3EFDAF6"/>
    <w:rsid w:val="F4BB8267"/>
    <w:rsid w:val="F57BF0AB"/>
    <w:rsid w:val="F7EF5B9B"/>
    <w:rsid w:val="F9F3B570"/>
    <w:rsid w:val="FA72C843"/>
    <w:rsid w:val="FBF52E52"/>
    <w:rsid w:val="FBFFDAD2"/>
    <w:rsid w:val="FC184E2E"/>
    <w:rsid w:val="FCDDF1F2"/>
    <w:rsid w:val="FD7A47A9"/>
    <w:rsid w:val="FDBB209A"/>
    <w:rsid w:val="FDBFA049"/>
    <w:rsid w:val="FDF71D10"/>
    <w:rsid w:val="FDFA307B"/>
    <w:rsid w:val="FE5FF6C1"/>
    <w:rsid w:val="FE6643BB"/>
    <w:rsid w:val="FEE7A7FD"/>
    <w:rsid w:val="FF67A591"/>
    <w:rsid w:val="FF7F252E"/>
    <w:rsid w:val="FFBAC5BE"/>
    <w:rsid w:val="FFD336D6"/>
    <w:rsid w:val="FFDFD60A"/>
    <w:rsid w:val="FFFF244D"/>
    <w:rsid w:val="FFFF38B4"/>
    <w:rsid w:val="FFFFA35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character" w:default="1" w:styleId="10">
    <w:name w:val="Default Paragraph Font"/>
    <w:semiHidden/>
    <w:unhideWhenUsed/>
    <w:qFormat/>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link w:val="17"/>
    <w:semiHidden/>
    <w:unhideWhenUsed/>
    <w:qFormat/>
    <w:uiPriority w:val="99"/>
    <w:pPr>
      <w:jc w:val="left"/>
    </w:pPr>
  </w:style>
  <w:style w:type="paragraph" w:styleId="3">
    <w:name w:val="Date"/>
    <w:basedOn w:val="1"/>
    <w:next w:val="1"/>
    <w:link w:val="15"/>
    <w:semiHidden/>
    <w:unhideWhenUsed/>
    <w:qFormat/>
    <w:uiPriority w:val="99"/>
    <w:pPr>
      <w:ind w:left="100" w:leftChars="2500"/>
    </w:pPr>
  </w:style>
  <w:style w:type="paragraph" w:styleId="4">
    <w:name w:val="Balloon Text"/>
    <w:basedOn w:val="1"/>
    <w:link w:val="18"/>
    <w:semiHidden/>
    <w:unhideWhenUsed/>
    <w:qFormat/>
    <w:uiPriority w:val="99"/>
    <w:rPr>
      <w:sz w:val="18"/>
      <w:szCs w:val="18"/>
    </w:rPr>
  </w:style>
  <w:style w:type="paragraph" w:styleId="5">
    <w:name w:val="footer"/>
    <w:basedOn w:val="1"/>
    <w:link w:val="14"/>
    <w:unhideWhenUsed/>
    <w:qFormat/>
    <w:uiPriority w:val="99"/>
    <w:pPr>
      <w:tabs>
        <w:tab w:val="center" w:pos="4153"/>
        <w:tab w:val="right" w:pos="8306"/>
      </w:tabs>
      <w:snapToGrid w:val="0"/>
      <w:jc w:val="left"/>
    </w:pPr>
    <w:rPr>
      <w:sz w:val="18"/>
      <w:szCs w:val="18"/>
    </w:rPr>
  </w:style>
  <w:style w:type="paragraph" w:styleId="6">
    <w:name w:val="header"/>
    <w:basedOn w:val="1"/>
    <w:link w:val="13"/>
    <w:unhideWhenUsed/>
    <w:qFormat/>
    <w:uiPriority w:val="99"/>
    <w:pPr>
      <w:pBdr>
        <w:bottom w:val="single" w:color="auto" w:sz="6" w:space="1"/>
      </w:pBdr>
      <w:tabs>
        <w:tab w:val="center" w:pos="4153"/>
        <w:tab w:val="right" w:pos="8306"/>
      </w:tabs>
      <w:snapToGrid w:val="0"/>
      <w:jc w:val="center"/>
    </w:pPr>
    <w:rPr>
      <w:sz w:val="18"/>
      <w:szCs w:val="18"/>
    </w:rPr>
  </w:style>
  <w:style w:type="paragraph" w:styleId="7">
    <w:name w:val="annotation subject"/>
    <w:basedOn w:val="2"/>
    <w:next w:val="2"/>
    <w:link w:val="19"/>
    <w:semiHidden/>
    <w:unhideWhenUsed/>
    <w:qFormat/>
    <w:uiPriority w:val="99"/>
    <w:rPr>
      <w:b/>
      <w:bCs/>
    </w:rPr>
  </w:style>
  <w:style w:type="table" w:styleId="9">
    <w:name w:val="Table Grid"/>
    <w:basedOn w:val="8"/>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1">
    <w:name w:val="Hyperlink"/>
    <w:unhideWhenUsed/>
    <w:qFormat/>
    <w:uiPriority w:val="99"/>
    <w:rPr>
      <w:color w:val="0563C1"/>
      <w:u w:val="single"/>
    </w:rPr>
  </w:style>
  <w:style w:type="character" w:styleId="12">
    <w:name w:val="annotation reference"/>
    <w:semiHidden/>
    <w:unhideWhenUsed/>
    <w:qFormat/>
    <w:uiPriority w:val="99"/>
    <w:rPr>
      <w:sz w:val="21"/>
      <w:szCs w:val="21"/>
    </w:rPr>
  </w:style>
  <w:style w:type="character" w:customStyle="1" w:styleId="13">
    <w:name w:val="页眉 Char"/>
    <w:basedOn w:val="10"/>
    <w:link w:val="6"/>
    <w:qFormat/>
    <w:uiPriority w:val="99"/>
    <w:rPr>
      <w:rFonts w:ascii="Calibri" w:hAnsi="Calibri" w:eastAsia="宋体" w:cs="Times New Roman"/>
      <w:sz w:val="18"/>
      <w:szCs w:val="18"/>
    </w:rPr>
  </w:style>
  <w:style w:type="character" w:customStyle="1" w:styleId="14">
    <w:name w:val="页脚 Char"/>
    <w:basedOn w:val="10"/>
    <w:link w:val="5"/>
    <w:qFormat/>
    <w:uiPriority w:val="99"/>
    <w:rPr>
      <w:rFonts w:ascii="Calibri" w:hAnsi="Calibri" w:eastAsia="宋体" w:cs="Times New Roman"/>
      <w:sz w:val="18"/>
      <w:szCs w:val="18"/>
    </w:rPr>
  </w:style>
  <w:style w:type="character" w:customStyle="1" w:styleId="15">
    <w:name w:val="日期 Char"/>
    <w:basedOn w:val="10"/>
    <w:link w:val="3"/>
    <w:semiHidden/>
    <w:qFormat/>
    <w:uiPriority w:val="99"/>
    <w:rPr>
      <w:rFonts w:ascii="Calibri" w:hAnsi="Calibri" w:eastAsia="宋体" w:cs="Times New Roman"/>
    </w:rPr>
  </w:style>
  <w:style w:type="paragraph" w:styleId="16">
    <w:name w:val="List Paragraph"/>
    <w:basedOn w:val="1"/>
    <w:qFormat/>
    <w:uiPriority w:val="99"/>
    <w:pPr>
      <w:ind w:firstLine="420" w:firstLineChars="200"/>
    </w:pPr>
  </w:style>
  <w:style w:type="character" w:customStyle="1" w:styleId="17">
    <w:name w:val="批注文字 Char"/>
    <w:basedOn w:val="10"/>
    <w:link w:val="2"/>
    <w:semiHidden/>
    <w:qFormat/>
    <w:uiPriority w:val="99"/>
    <w:rPr>
      <w:rFonts w:ascii="Calibri" w:hAnsi="Calibri" w:eastAsia="宋体" w:cs="Times New Roman"/>
    </w:rPr>
  </w:style>
  <w:style w:type="character" w:customStyle="1" w:styleId="18">
    <w:name w:val="批注框文本 Char"/>
    <w:basedOn w:val="10"/>
    <w:link w:val="4"/>
    <w:semiHidden/>
    <w:qFormat/>
    <w:uiPriority w:val="99"/>
    <w:rPr>
      <w:rFonts w:ascii="Calibri" w:hAnsi="Calibri" w:eastAsia="宋体" w:cs="Times New Roman"/>
      <w:sz w:val="18"/>
      <w:szCs w:val="18"/>
    </w:rPr>
  </w:style>
  <w:style w:type="character" w:customStyle="1" w:styleId="19">
    <w:name w:val="批注主题 Char"/>
    <w:basedOn w:val="17"/>
    <w:link w:val="7"/>
    <w:semiHidden/>
    <w:qFormat/>
    <w:uiPriority w:val="99"/>
    <w:rPr>
      <w:rFonts w:ascii="Calibri" w:hAnsi="Calibri" w:eastAsia="宋体" w:cs="Times New Roman"/>
      <w:b/>
      <w:bCs/>
    </w:rPr>
  </w:style>
  <w:style w:type="paragraph" w:customStyle="1" w:styleId="20">
    <w:name w:val="修订1"/>
    <w:hidden/>
    <w:semiHidden/>
    <w:qFormat/>
    <w:uiPriority w:val="99"/>
    <w:rPr>
      <w:rFonts w:ascii="Calibri" w:hAnsi="Calibri" w:eastAsia="宋体" w:cs="Times New Roman"/>
      <w:kern w:val="2"/>
      <w:sz w:val="21"/>
      <w:szCs w:val="22"/>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footer" Target="footer7.xml"/><Relationship Id="rId8" Type="http://schemas.openxmlformats.org/officeDocument/2006/relationships/footer" Target="footer6.xml"/><Relationship Id="rId7" Type="http://schemas.openxmlformats.org/officeDocument/2006/relationships/footer" Target="footer5.xml"/><Relationship Id="rId6" Type="http://schemas.openxmlformats.org/officeDocument/2006/relationships/footer" Target="footer4.xml"/><Relationship Id="rId5" Type="http://schemas.openxmlformats.org/officeDocument/2006/relationships/footer" Target="footer3.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customXml" Target="../customXml/item1.xml"/><Relationship Id="rId10" Type="http://schemas.openxmlformats.org/officeDocument/2006/relationships/theme" Target="theme/theme1.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37</Pages>
  <Words>15094</Words>
  <Characters>15211</Characters>
  <Lines>118</Lines>
  <Paragraphs>33</Paragraphs>
  <TotalTime>3</TotalTime>
  <ScaleCrop>false</ScaleCrop>
  <LinksUpToDate>false</LinksUpToDate>
  <CharactersWithSpaces>15897</CharactersWithSpaces>
  <Application>WPS Office_11.8.2.10422_F1E327BC-269C-435d-A152-05C5408002CA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2024-04-02T16:44:00Z</dcterms:created>
  <dc:creator>bse</dc:creator>
  <cp:lastModifiedBy>wumj</cp:lastModifiedBy>
  <cp:lastPrinted>2024-06-25T23:27:00Z</cp:lastPrinted>
  <dcterms:modified xsi:type="dcterms:W3CDTF">2025-07-02T17:16:54Z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2052-11.8.2.10422</vt:lpwstr>
  </property>
  <property fmtid="{D5CDD505-2E9C-101B-9397-08002B2CF9AE}" pid="3" name="ICV">
    <vt:lpwstr>557C75A66F0F4898B86A5362F063EA16_12</vt:lpwstr>
  </property>
</Properties>
</file>