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widowControl w:val="0"/>
        <w:tabs>
          <w:tab w:val="center" w:pos="4365"/>
          <w:tab w:val="left" w:pos="6855"/>
        </w:tabs>
        <w:spacing w:line="600" w:lineRule="exact"/>
        <w:jc w:val="center"/>
        <w:rPr>
          <w:rFonts w:ascii="Times New Roman" w:hAnsi="Times New Roman" w:eastAsia="方正大标宋简体" w:cs="Times New Roman"/>
          <w:color w:val="000000"/>
          <w:kern w:val="2"/>
          <w:sz w:val="44"/>
          <w:szCs w:val="42"/>
        </w:rPr>
      </w:pPr>
    </w:p>
    <w:p>
      <w:pPr>
        <w:widowControl w:val="0"/>
        <w:tabs>
          <w:tab w:val="center" w:pos="4365"/>
          <w:tab w:val="left" w:pos="6855"/>
        </w:tabs>
        <w:spacing w:line="600" w:lineRule="exact"/>
        <w:jc w:val="center"/>
        <w:rPr>
          <w:rFonts w:ascii="Times New Roman" w:hAnsi="Times New Roman" w:eastAsia="方正大标宋简体" w:cs="Times New Roman"/>
          <w:color w:val="000000"/>
          <w:spacing w:val="10"/>
          <w:kern w:val="2"/>
          <w:sz w:val="44"/>
          <w:szCs w:val="42"/>
        </w:rPr>
      </w:pPr>
      <w:r>
        <w:rPr>
          <w:rFonts w:hint="eastAsia" w:ascii="Times New Roman" w:hAnsi="Times New Roman" w:eastAsia="方正大标宋简体" w:cs="Times New Roman"/>
          <w:color w:val="000000"/>
          <w:spacing w:val="10"/>
          <w:kern w:val="2"/>
          <w:sz w:val="44"/>
          <w:szCs w:val="42"/>
        </w:rPr>
        <w:t>北京证券交易所上市公司持续监管指引</w:t>
      </w:r>
    </w:p>
    <w:p>
      <w:pPr>
        <w:widowControl w:val="0"/>
        <w:tabs>
          <w:tab w:val="center" w:pos="4365"/>
          <w:tab w:val="left" w:pos="6855"/>
        </w:tabs>
        <w:spacing w:line="600" w:lineRule="exact"/>
        <w:jc w:val="center"/>
        <w:rPr>
          <w:rFonts w:hint="eastAsia" w:ascii="Times New Roman" w:hAnsi="Times New Roman" w:eastAsia="方正大标宋简体" w:cs="Times New Roman"/>
          <w:color w:val="000000"/>
          <w:spacing w:val="-10"/>
          <w:kern w:val="2"/>
          <w:sz w:val="44"/>
          <w:szCs w:val="42"/>
        </w:rPr>
      </w:pPr>
      <w:r>
        <w:rPr>
          <w:rFonts w:hint="eastAsia" w:ascii="Times New Roman" w:hAnsi="Times New Roman" w:eastAsia="方正大标宋简体" w:cs="Times New Roman"/>
          <w:color w:val="000000"/>
          <w:spacing w:val="-10"/>
          <w:kern w:val="2"/>
          <w:sz w:val="44"/>
          <w:szCs w:val="42"/>
        </w:rPr>
        <w:t>第6号——内幕信息知情人管理及报送</w:t>
      </w:r>
    </w:p>
    <w:p>
      <w:pPr>
        <w:widowControl w:val="0"/>
        <w:tabs>
          <w:tab w:val="center" w:pos="4365"/>
          <w:tab w:val="left" w:pos="6855"/>
        </w:tabs>
        <w:spacing w:line="600" w:lineRule="exact"/>
        <w:jc w:val="center"/>
        <w:rPr>
          <w:rFonts w:hint="eastAsia" w:ascii="Times New Roman" w:hAnsi="Times New Roman" w:eastAsia="方正大标宋简体" w:cs="Times New Roman"/>
          <w:color w:val="000000"/>
          <w:spacing w:val="-10"/>
          <w:kern w:val="2"/>
          <w:sz w:val="44"/>
          <w:szCs w:val="42"/>
        </w:rPr>
      </w:pPr>
    </w:p>
    <w:p>
      <w:pPr>
        <w:tabs>
          <w:tab w:val="left" w:pos="187"/>
        </w:tabs>
        <w:spacing w:line="560" w:lineRule="exact"/>
        <w:jc w:val="center"/>
        <w:rPr>
          <w:rFonts w:hint="default" w:ascii="Times New Roman" w:hAnsi="Times New Roman" w:eastAsia="楷体" w:cs="Times New Roman"/>
          <w:sz w:val="32"/>
          <w:szCs w:val="32"/>
          <w:highlight w:val="none"/>
          <w:lang w:val="en-US" w:eastAsia="zh-CN"/>
        </w:rPr>
      </w:pPr>
      <w:r>
        <w:rPr>
          <w:rFonts w:hint="eastAsia" w:ascii="Times New Roman" w:hAnsi="Times New Roman" w:eastAsia="楷体" w:cs="Times New Roman"/>
          <w:sz w:val="32"/>
          <w:szCs w:val="32"/>
          <w:highlight w:val="none"/>
          <w:lang w:val="en-US" w:eastAsia="zh-CN"/>
        </w:rPr>
        <w:t>（2021年11月2日发布，2025年</w:t>
      </w:r>
      <w:r>
        <w:rPr>
          <w:rFonts w:hint="default" w:ascii="Times New Roman" w:hAnsi="Times New Roman" w:eastAsia="楷体" w:cs="Times New Roman"/>
          <w:sz w:val="32"/>
          <w:szCs w:val="32"/>
          <w:highlight w:val="none"/>
          <w:lang w:val="en" w:eastAsia="zh-CN"/>
        </w:rPr>
        <w:t>4</w:t>
      </w:r>
      <w:r>
        <w:rPr>
          <w:rFonts w:hint="eastAsia" w:ascii="Times New Roman" w:hAnsi="Times New Roman" w:eastAsia="楷体" w:cs="Times New Roman"/>
          <w:sz w:val="32"/>
          <w:szCs w:val="32"/>
          <w:highlight w:val="none"/>
          <w:lang w:val="en-US" w:eastAsia="zh-CN"/>
        </w:rPr>
        <w:t>月</w:t>
      </w:r>
      <w:r>
        <w:rPr>
          <w:rFonts w:hint="default" w:ascii="Times New Roman" w:hAnsi="Times New Roman" w:eastAsia="楷体" w:cs="Times New Roman"/>
          <w:sz w:val="32"/>
          <w:szCs w:val="32"/>
          <w:highlight w:val="none"/>
          <w:lang w:val="en" w:eastAsia="zh-CN"/>
        </w:rPr>
        <w:t>25</w:t>
      </w:r>
      <w:r>
        <w:rPr>
          <w:rFonts w:hint="eastAsia" w:ascii="Times New Roman" w:hAnsi="Times New Roman" w:eastAsia="楷体" w:cs="Times New Roman"/>
          <w:sz w:val="32"/>
          <w:szCs w:val="32"/>
          <w:highlight w:val="none"/>
          <w:lang w:val="en-US" w:eastAsia="zh-CN"/>
        </w:rPr>
        <w:t>日第一次修订）</w:t>
      </w:r>
    </w:p>
    <w:p>
      <w:pPr>
        <w:widowControl w:val="0"/>
        <w:tabs>
          <w:tab w:val="center" w:pos="4365"/>
          <w:tab w:val="left" w:pos="6855"/>
        </w:tabs>
        <w:spacing w:line="600" w:lineRule="exact"/>
        <w:jc w:val="center"/>
        <w:rPr>
          <w:rFonts w:ascii="Times New Roman" w:hAnsi="Times New Roman" w:eastAsia="方正大标宋简体" w:cs="Times New Roman"/>
          <w:color w:val="000000"/>
          <w:kern w:val="2"/>
          <w:sz w:val="44"/>
          <w:szCs w:val="42"/>
        </w:rPr>
      </w:pPr>
      <w:bookmarkStart w:id="6" w:name="_GoBack"/>
      <w:bookmarkEnd w:id="6"/>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 xml:space="preserve">第一条 </w:t>
      </w:r>
      <w:r>
        <w:rPr>
          <w:rFonts w:ascii="黑体" w:hAnsi="黑体" w:eastAsia="黑体" w:cs="Times New Roman"/>
          <w:bCs/>
          <w:kern w:val="2"/>
          <w:sz w:val="32"/>
          <w:szCs w:val="32"/>
        </w:rPr>
        <w:t xml:space="preserve"> </w:t>
      </w:r>
      <w:r>
        <w:rPr>
          <w:rFonts w:hint="eastAsia" w:ascii="Times New Roman" w:hAnsi="Times New Roman" w:eastAsia="仿宋" w:cs="Times New Roman"/>
          <w:bCs/>
          <w:kern w:val="2"/>
          <w:sz w:val="32"/>
          <w:szCs w:val="32"/>
        </w:rPr>
        <w:t>为了规范</w:t>
      </w:r>
      <w:r>
        <w:rPr>
          <w:rFonts w:hint="eastAsia" w:ascii="Times New Roman" w:hAnsi="Times New Roman" w:eastAsia="仿宋" w:cs="Times New Roman"/>
          <w:bCs/>
          <w:sz w:val="32"/>
          <w:szCs w:val="32"/>
        </w:rPr>
        <w:t>北京</w:t>
      </w:r>
      <w:r>
        <w:rPr>
          <w:rFonts w:ascii="Times New Roman" w:hAnsi="Times New Roman" w:eastAsia="仿宋" w:cs="Times New Roman"/>
          <w:bCs/>
          <w:sz w:val="32"/>
          <w:szCs w:val="32"/>
        </w:rPr>
        <w:t>证券交易所（</w:t>
      </w:r>
      <w:r>
        <w:rPr>
          <w:rFonts w:hint="eastAsia" w:ascii="Times New Roman" w:hAnsi="Times New Roman" w:eastAsia="仿宋" w:cs="Times New Roman"/>
          <w:bCs/>
          <w:sz w:val="32"/>
          <w:szCs w:val="32"/>
        </w:rPr>
        <w:t>以下</w:t>
      </w:r>
      <w:r>
        <w:rPr>
          <w:rFonts w:ascii="Times New Roman" w:hAnsi="Times New Roman" w:eastAsia="仿宋" w:cs="Times New Roman"/>
          <w:bCs/>
          <w:sz w:val="32"/>
          <w:szCs w:val="32"/>
        </w:rPr>
        <w:t>简称本所）</w:t>
      </w:r>
      <w:r>
        <w:rPr>
          <w:rFonts w:hint="eastAsia" w:ascii="Times New Roman" w:hAnsi="Times New Roman" w:eastAsia="仿宋" w:cs="Times New Roman"/>
          <w:bCs/>
          <w:kern w:val="2"/>
          <w:sz w:val="32"/>
          <w:szCs w:val="32"/>
        </w:rPr>
        <w:t>上市公司内幕信息知情人管理及报送行为，督促上市公司加强内幕信息管理，防控内幕交易风险，根据《中华人民共和国证券法》（以下简称《证券法》）、《上市公司信息披露管理办法》以及《北京证券交易所股票上市规则》（以下简称《上市规则》）等有关规定，制定本指引。</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第二条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上市公司管理及报送内幕信息知情人相关信息，适用本指引。</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第三条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本指引所称内幕信息知情人，是指《证券法》所规定的有关人员。</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第四条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本指引所称内幕信息，是指《证券法》所规定的，涉及上市公司的经营、财务或者对上市公司股票及其他证券品种交易价格有重大影响的尚未公开的信息。</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第五条</w:t>
      </w:r>
      <w:r>
        <w:rPr>
          <w:rFonts w:ascii="黑体" w:hAnsi="黑体" w:eastAsia="黑体" w:cs="Times New Roman"/>
          <w:bCs/>
          <w:kern w:val="2"/>
          <w:sz w:val="32"/>
          <w:szCs w:val="32"/>
        </w:rPr>
        <w:t xml:space="preserve">  </w:t>
      </w:r>
      <w:r>
        <w:rPr>
          <w:rFonts w:hint="eastAsia" w:ascii="仿宋" w:hAnsi="仿宋" w:eastAsia="仿宋"/>
          <w:sz w:val="32"/>
          <w:szCs w:val="32"/>
        </w:rPr>
        <w:t>上市公司</w:t>
      </w:r>
      <w:r>
        <w:rPr>
          <w:rFonts w:hint="eastAsia" w:ascii="仿宋" w:hAnsi="仿宋" w:eastAsia="仿宋" w:cs="Times New Roman"/>
          <w:bCs/>
          <w:kern w:val="2"/>
          <w:sz w:val="32"/>
          <w:szCs w:val="32"/>
        </w:rPr>
        <w:t>应当按照《</w:t>
      </w:r>
      <w:r>
        <w:rPr>
          <w:rFonts w:hint="eastAsia" w:ascii="Times New Roman" w:hAnsi="Times New Roman" w:eastAsia="仿宋" w:cs="Times New Roman"/>
          <w:bCs/>
          <w:kern w:val="2"/>
          <w:sz w:val="32"/>
          <w:szCs w:val="32"/>
        </w:rPr>
        <w:t>证券法》《上市公司信息披露管理办法》《上市规则》等相关规定，建立内幕信息知情人登记管理制度，对内幕信息的保密管理及内幕信息知情人的登记报送等作出规定。</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内幕信息知情人登记管理制度中应当包括对上市公司下属各部门、分公司、控股子公司及上市公司能够对其实施重大影响的参股公司的内幕信息管理的内容，明确上述主体的内部报告义务、报告程序和有关人员的信息披露职责。</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内幕信息知情人登记管理制度中应当明确内幕信息知情人的保密义务、违反保密规定的责任和通过签订保密协议、禁止内幕交易告知书等必要方式将上述事项告知有关人员等内容。</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第六条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内幕信息知情人应当积极配合上市公司做好内幕信息知情人报送工作，真实、准确、完整地填写相关信息，并及时向上市公司报送内幕信息知情人档案相关材料，送达时间不得晚于内幕信息公开披露的时间。内幕信息知情人档案相关材料应当按照规定要求进行填写，并由内幕信息知情人进行确认。</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第七条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上市公司应当保证所填报内幕信息知情人档案相关材料的真实、准确、完整，并向全部内幕信息知情人通报有关法律法规对内幕信息知情人的相关规定。上市公司全体董事应当对内幕信息知情人档案相关材料的真实、准确、完整出具书面承诺。</w:t>
      </w:r>
    </w:p>
    <w:p>
      <w:pPr>
        <w:widowControl w:val="0"/>
        <w:spacing w:line="600" w:lineRule="exact"/>
        <w:ind w:firstLine="640" w:firstLineChars="200"/>
        <w:jc w:val="both"/>
        <w:rPr>
          <w:rFonts w:hint="eastAsia" w:ascii="Times New Roman" w:hAnsi="Times New Roman" w:eastAsia="仿宋" w:cs="Times New Roman"/>
          <w:bCs/>
          <w:kern w:val="2"/>
          <w:sz w:val="32"/>
          <w:szCs w:val="32"/>
        </w:rPr>
      </w:pPr>
      <w:r>
        <w:rPr>
          <w:rFonts w:hint="eastAsia" w:ascii="黑体" w:hAnsi="黑体" w:eastAsia="黑体" w:cs="Times New Roman"/>
          <w:bCs/>
          <w:kern w:val="2"/>
          <w:sz w:val="32"/>
          <w:szCs w:val="32"/>
        </w:rPr>
        <w:t>第八条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上市公司董事会应当按照本指引要求及时登记和报送内幕信息知情人档案相关材料。董事长为主要责任人，董事会秘书负责办理上市公司内幕信息知情人的登记入档和报送事宜。</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第九条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保荐机构、财务顾问、律师事务所等证券服务机构应当明确告知内幕信息知情人相关报送规定及相应法律责任，督促、协助上市公司核实内幕信息知情人档案相关材料的真实、准确和完整并及时完成报送。</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第十条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仿宋" w:hAnsi="仿宋" w:eastAsia="仿宋" w:cs="Times New Roman"/>
          <w:bCs/>
          <w:kern w:val="2"/>
          <w:sz w:val="32"/>
          <w:szCs w:val="32"/>
        </w:rPr>
        <w:t>本所</w:t>
      </w:r>
      <w:r>
        <w:rPr>
          <w:rFonts w:hint="eastAsia" w:ascii="Times New Roman" w:hAnsi="Times New Roman" w:eastAsia="仿宋" w:cs="Times New Roman"/>
          <w:bCs/>
          <w:kern w:val="2"/>
          <w:sz w:val="32"/>
          <w:szCs w:val="32"/>
        </w:rPr>
        <w:t>可以根据相关规定、中国</w:t>
      </w:r>
      <w:r>
        <w:rPr>
          <w:rFonts w:ascii="Times New Roman" w:hAnsi="Times New Roman" w:eastAsia="仿宋" w:cs="Times New Roman"/>
          <w:bCs/>
          <w:kern w:val="2"/>
          <w:sz w:val="32"/>
          <w:szCs w:val="32"/>
        </w:rPr>
        <w:t>证券</w:t>
      </w:r>
      <w:r>
        <w:rPr>
          <w:rFonts w:hint="eastAsia" w:ascii="Times New Roman" w:hAnsi="Times New Roman" w:eastAsia="仿宋" w:cs="Times New Roman"/>
          <w:bCs/>
          <w:kern w:val="2"/>
          <w:sz w:val="32"/>
          <w:szCs w:val="32"/>
        </w:rPr>
        <w:t>监督</w:t>
      </w:r>
      <w:r>
        <w:rPr>
          <w:rFonts w:ascii="Times New Roman" w:hAnsi="Times New Roman" w:eastAsia="仿宋" w:cs="Times New Roman"/>
          <w:bCs/>
          <w:kern w:val="2"/>
          <w:sz w:val="32"/>
          <w:szCs w:val="32"/>
        </w:rPr>
        <w:t>管理委员会（</w:t>
      </w:r>
      <w:r>
        <w:rPr>
          <w:rFonts w:hint="eastAsia" w:ascii="Times New Roman" w:hAnsi="Times New Roman" w:eastAsia="仿宋" w:cs="Times New Roman"/>
          <w:bCs/>
          <w:kern w:val="2"/>
          <w:sz w:val="32"/>
          <w:szCs w:val="32"/>
        </w:rPr>
        <w:t>以下简称中国证监会）要求及客观需要，对内幕信息知情人的股票交易情况进行核查。</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第十一条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上市公司披露以下重大事项的，应当按照本指引等本所相关规定及时报备内幕信息知情人档案相关材料：</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（一）年度报告、中期报告；</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（二）证券发行；</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（三）股份回购；</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（四）重大资产重组；</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（五）公司被收购；</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（六）公司合并、分立；</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（七）</w:t>
      </w:r>
      <w:r>
        <w:rPr>
          <w:rFonts w:ascii="Times New Roman" w:hAnsi="Times New Roman" w:eastAsia="仿宋" w:cs="Times New Roman"/>
          <w:bCs/>
          <w:kern w:val="2"/>
          <w:sz w:val="32"/>
          <w:szCs w:val="32"/>
        </w:rPr>
        <w:t>申请转板</w:t>
      </w:r>
      <w:r>
        <w:rPr>
          <w:rFonts w:hint="eastAsia" w:ascii="Times New Roman" w:hAnsi="Times New Roman" w:eastAsia="仿宋" w:cs="Times New Roman"/>
          <w:bCs/>
          <w:kern w:val="2"/>
          <w:sz w:val="32"/>
          <w:szCs w:val="32"/>
        </w:rPr>
        <w:t>或</w:t>
      </w:r>
      <w:r>
        <w:rPr>
          <w:rFonts w:ascii="Times New Roman" w:hAnsi="Times New Roman" w:eastAsia="仿宋" w:cs="Times New Roman"/>
          <w:bCs/>
          <w:kern w:val="2"/>
          <w:sz w:val="32"/>
          <w:szCs w:val="32"/>
        </w:rPr>
        <w:t>向</w:t>
      </w:r>
      <w:r>
        <w:rPr>
          <w:rFonts w:hint="eastAsia" w:ascii="Times New Roman" w:hAnsi="Times New Roman" w:eastAsia="仿宋" w:cs="Times New Roman"/>
          <w:bCs/>
          <w:kern w:val="2"/>
          <w:sz w:val="32"/>
          <w:szCs w:val="32"/>
        </w:rPr>
        <w:t>境外其他</w:t>
      </w:r>
      <w:r>
        <w:rPr>
          <w:rFonts w:ascii="Times New Roman" w:hAnsi="Times New Roman" w:eastAsia="仿宋" w:cs="Times New Roman"/>
          <w:bCs/>
          <w:kern w:val="2"/>
          <w:sz w:val="32"/>
          <w:szCs w:val="32"/>
        </w:rPr>
        <w:t>证券交易所</w:t>
      </w:r>
      <w:r>
        <w:rPr>
          <w:rFonts w:hint="eastAsia" w:ascii="Times New Roman" w:hAnsi="Times New Roman" w:eastAsia="仿宋" w:cs="Times New Roman"/>
          <w:bCs/>
          <w:kern w:val="2"/>
          <w:sz w:val="32"/>
          <w:szCs w:val="32"/>
        </w:rPr>
        <w:t>申请</w:t>
      </w:r>
      <w:r>
        <w:rPr>
          <w:rFonts w:ascii="Times New Roman" w:hAnsi="Times New Roman" w:eastAsia="仿宋" w:cs="Times New Roman"/>
          <w:bCs/>
          <w:kern w:val="2"/>
          <w:sz w:val="32"/>
          <w:szCs w:val="32"/>
        </w:rPr>
        <w:t>股票上市</w:t>
      </w:r>
      <w:r>
        <w:rPr>
          <w:rFonts w:hint="eastAsia" w:ascii="Times New Roman" w:hAnsi="Times New Roman" w:eastAsia="仿宋" w:cs="Times New Roman"/>
          <w:bCs/>
          <w:kern w:val="2"/>
          <w:sz w:val="32"/>
          <w:szCs w:val="32"/>
        </w:rPr>
        <w:t>；</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（八）中国证监会和本所规定的其他重大事项。</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上市公司实施股权激励计划、权益分派等事项的，也应做好内幕信息知情人登记管理工作。</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第十二条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上市公司应当在年度报告和中期报告披露后的1</w:t>
      </w:r>
      <w:r>
        <w:rPr>
          <w:rFonts w:ascii="Times New Roman" w:hAnsi="Times New Roman" w:eastAsia="仿宋" w:cs="Times New Roman"/>
          <w:bCs/>
          <w:kern w:val="2"/>
          <w:sz w:val="32"/>
          <w:szCs w:val="32"/>
        </w:rPr>
        <w:t>0</w:t>
      </w:r>
      <w:r>
        <w:rPr>
          <w:rFonts w:hint="eastAsia" w:ascii="Times New Roman" w:hAnsi="Times New Roman" w:eastAsia="仿宋" w:cs="Times New Roman"/>
          <w:bCs/>
          <w:kern w:val="2"/>
          <w:sz w:val="32"/>
          <w:szCs w:val="32"/>
        </w:rPr>
        <w:t>个交易日内，通过内幕信息知情人报备系统（以下简称报备系统）或本所规定的其他方式，提交下列内幕信息知情人报备文件（具体要求见附件1）：</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（一）内幕信息知情人登记表；</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（二）相关人员买卖上市公司股票的自查报告，</w:t>
      </w:r>
      <w:r>
        <w:rPr>
          <w:rFonts w:ascii="Times New Roman" w:hAnsi="Times New Roman" w:eastAsia="仿宋" w:cs="Times New Roman"/>
          <w:bCs/>
          <w:kern w:val="2"/>
          <w:sz w:val="32"/>
          <w:szCs w:val="32"/>
        </w:rPr>
        <w:t>自查期间</w:t>
      </w:r>
      <w:r>
        <w:rPr>
          <w:rFonts w:hint="eastAsia" w:ascii="Times New Roman" w:hAnsi="Times New Roman" w:eastAsia="仿宋" w:cs="Times New Roman"/>
          <w:bCs/>
          <w:kern w:val="2"/>
          <w:sz w:val="32"/>
          <w:szCs w:val="32"/>
        </w:rPr>
        <w:t>为</w:t>
      </w:r>
      <w:r>
        <w:rPr>
          <w:rFonts w:ascii="Times New Roman" w:hAnsi="Times New Roman" w:eastAsia="仿宋" w:cs="Times New Roman"/>
          <w:bCs/>
          <w:kern w:val="2"/>
          <w:sz w:val="32"/>
          <w:szCs w:val="32"/>
        </w:rPr>
        <w:t>年度报告</w:t>
      </w:r>
      <w:r>
        <w:rPr>
          <w:rFonts w:hint="eastAsia" w:ascii="Times New Roman" w:hAnsi="Times New Roman" w:eastAsia="仿宋" w:cs="Times New Roman"/>
          <w:bCs/>
          <w:kern w:val="2"/>
          <w:sz w:val="32"/>
          <w:szCs w:val="32"/>
        </w:rPr>
        <w:t>披露</w:t>
      </w:r>
      <w:r>
        <w:rPr>
          <w:rFonts w:ascii="Times New Roman" w:hAnsi="Times New Roman" w:eastAsia="仿宋" w:cs="Times New Roman"/>
          <w:bCs/>
          <w:kern w:val="2"/>
          <w:sz w:val="32"/>
          <w:szCs w:val="32"/>
        </w:rPr>
        <w:t>日</w:t>
      </w:r>
      <w:r>
        <w:rPr>
          <w:rFonts w:hint="eastAsia" w:ascii="Times New Roman" w:hAnsi="Times New Roman" w:eastAsia="仿宋" w:cs="Times New Roman"/>
          <w:bCs/>
          <w:kern w:val="2"/>
          <w:sz w:val="32"/>
          <w:szCs w:val="32"/>
        </w:rPr>
        <w:t>的</w:t>
      </w:r>
      <w:r>
        <w:rPr>
          <w:rFonts w:ascii="Times New Roman" w:hAnsi="Times New Roman" w:eastAsia="仿宋" w:cs="Times New Roman"/>
          <w:bCs/>
          <w:kern w:val="2"/>
          <w:sz w:val="32"/>
          <w:szCs w:val="32"/>
        </w:rPr>
        <w:t>前</w:t>
      </w:r>
      <w:r>
        <w:rPr>
          <w:rFonts w:hint="eastAsia" w:ascii="Times New Roman" w:hAnsi="Times New Roman" w:eastAsia="仿宋" w:cs="Times New Roman"/>
          <w:bCs/>
          <w:kern w:val="2"/>
          <w:sz w:val="32"/>
          <w:szCs w:val="32"/>
        </w:rPr>
        <w:t>6个月以及</w:t>
      </w:r>
      <w:r>
        <w:rPr>
          <w:rFonts w:ascii="Times New Roman" w:hAnsi="Times New Roman" w:eastAsia="仿宋" w:cs="Times New Roman"/>
          <w:bCs/>
          <w:kern w:val="2"/>
          <w:sz w:val="32"/>
          <w:szCs w:val="32"/>
        </w:rPr>
        <w:t>中期报告</w:t>
      </w:r>
      <w:r>
        <w:rPr>
          <w:rFonts w:hint="eastAsia" w:ascii="Times New Roman" w:hAnsi="Times New Roman" w:eastAsia="仿宋" w:cs="Times New Roman"/>
          <w:bCs/>
          <w:kern w:val="2"/>
          <w:sz w:val="32"/>
          <w:szCs w:val="32"/>
        </w:rPr>
        <w:t>披露</w:t>
      </w:r>
      <w:r>
        <w:rPr>
          <w:rFonts w:ascii="Times New Roman" w:hAnsi="Times New Roman" w:eastAsia="仿宋" w:cs="Times New Roman"/>
          <w:bCs/>
          <w:kern w:val="2"/>
          <w:sz w:val="32"/>
          <w:szCs w:val="32"/>
        </w:rPr>
        <w:t>日</w:t>
      </w:r>
      <w:r>
        <w:rPr>
          <w:rFonts w:hint="eastAsia" w:ascii="Times New Roman" w:hAnsi="Times New Roman" w:eastAsia="仿宋" w:cs="Times New Roman"/>
          <w:bCs/>
          <w:kern w:val="2"/>
          <w:sz w:val="32"/>
          <w:szCs w:val="32"/>
        </w:rPr>
        <w:t>的</w:t>
      </w:r>
      <w:r>
        <w:rPr>
          <w:rFonts w:ascii="Times New Roman" w:hAnsi="Times New Roman" w:eastAsia="仿宋" w:cs="Times New Roman"/>
          <w:bCs/>
          <w:kern w:val="2"/>
          <w:sz w:val="32"/>
          <w:szCs w:val="32"/>
        </w:rPr>
        <w:t>前</w:t>
      </w:r>
      <w:r>
        <w:rPr>
          <w:rFonts w:hint="eastAsia" w:ascii="Times New Roman" w:hAnsi="Times New Roman" w:eastAsia="仿宋" w:cs="Times New Roman"/>
          <w:bCs/>
          <w:kern w:val="2"/>
          <w:sz w:val="32"/>
          <w:szCs w:val="32"/>
        </w:rPr>
        <w:t>3个月；</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（三）上市公司全体董事对内幕信息知情人报备文件真实性、准确性和完整性的承诺书；</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（四）本所要求的其他文件。</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本所对自查期间上市公司股票交易情况进行核查，发现明显异常的，可以要求上市公司提交股票交易情况说明。</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第十三条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上市公司应当在合并、分立、其他重大事项披露后的1</w:t>
      </w:r>
      <w:r>
        <w:rPr>
          <w:rFonts w:ascii="Times New Roman" w:hAnsi="Times New Roman" w:eastAsia="仿宋" w:cs="Times New Roman"/>
          <w:bCs/>
          <w:kern w:val="2"/>
          <w:sz w:val="32"/>
          <w:szCs w:val="32"/>
        </w:rPr>
        <w:t>0</w:t>
      </w:r>
      <w:r>
        <w:rPr>
          <w:rFonts w:hint="eastAsia" w:ascii="Times New Roman" w:hAnsi="Times New Roman" w:eastAsia="仿宋" w:cs="Times New Roman"/>
          <w:bCs/>
          <w:kern w:val="2"/>
          <w:sz w:val="32"/>
          <w:szCs w:val="32"/>
        </w:rPr>
        <w:t>个交易日内，通过报备系统或本所规定的其他方式，提交下列内幕信息知情人报备文件：</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（一）内幕信息知情人登记表；</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（二）相关人员买卖上市公司股票的自查报告，自查期间为董事会决议披露日的前6个月；</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（三）重大事项进程备忘录；</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（四）上市公司全体董事对内幕信息知情人报备文件真实性、准确性和完整性的承诺书；</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（五）本所要求的其他文件。</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第十四条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上市公司实施合并、分立事项的，本所对自查期间上市公司股票交易情况进行核查，发现明显异常的，可以要求上市公司提交股票交易情况说明。</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上市公司决定继续推进本次合并、分立事项的，应采取措施消除相关事项对上市公司的影响；无法完全消除的，上市公司应就股票交易存在明显异常，可能被中国证监会立案调查或司法机关立案侦查，而导致本次合并、分立被中止或者终止的情况披露特别风险提示公告。上市公司聘请的律师应对公司股票交易情况是否涉嫌内幕交易、是否会影响本次合并、分立发表明确意见。</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上市公司自主决定终止本次合并、分立事项的，应当履行相应决策程序，并及时</w:t>
      </w:r>
      <w:r>
        <w:rPr>
          <w:rFonts w:hint="eastAsia" w:ascii="Times New Roman" w:hAnsi="Times New Roman" w:eastAsia="仿宋" w:cs="Times New Roman"/>
          <w:sz w:val="32"/>
          <w:szCs w:val="32"/>
        </w:rPr>
        <w:t>发布终止公告披露终止原因</w:t>
      </w:r>
      <w:r>
        <w:rPr>
          <w:rFonts w:hint="eastAsia" w:ascii="Times New Roman" w:hAnsi="Times New Roman" w:eastAsia="仿宋" w:cs="Times New Roman"/>
          <w:bCs/>
          <w:kern w:val="2"/>
          <w:sz w:val="32"/>
          <w:szCs w:val="32"/>
        </w:rPr>
        <w:t>。</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第十五条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投资者及其一致行动人（以下简称投资者）进行上市公司收购及股份权益变动活动，根据《上市公司收购管理办法》《公开发行证券</w:t>
      </w:r>
      <w:r>
        <w:rPr>
          <w:rFonts w:ascii="Times New Roman" w:hAnsi="Times New Roman" w:eastAsia="仿宋" w:cs="Times New Roman"/>
          <w:bCs/>
          <w:kern w:val="2"/>
          <w:sz w:val="32"/>
          <w:szCs w:val="32"/>
        </w:rPr>
        <w:t>的公司信息披露内容与格式准则第</w:t>
      </w:r>
      <w:r>
        <w:rPr>
          <w:rFonts w:hint="eastAsia" w:ascii="Times New Roman" w:hAnsi="Times New Roman" w:eastAsia="仿宋" w:cs="Times New Roman"/>
          <w:bCs/>
          <w:kern w:val="2"/>
          <w:sz w:val="32"/>
          <w:szCs w:val="32"/>
        </w:rPr>
        <w:t>55号</w:t>
      </w:r>
      <w:r>
        <w:rPr>
          <w:rFonts w:hint="eastAsia" w:ascii="Times New Roman" w:hAnsi="Times New Roman" w:eastAsia="仿宋" w:cs="Times New Roman"/>
          <w:bCs/>
          <w:kern w:val="2"/>
          <w:sz w:val="32"/>
          <w:szCs w:val="32"/>
          <w:lang w:eastAsia="zh-CN"/>
        </w:rPr>
        <w:t>——</w:t>
      </w:r>
      <w:r>
        <w:rPr>
          <w:rFonts w:hint="eastAsia" w:ascii="Times New Roman" w:hAnsi="Times New Roman" w:eastAsia="仿宋" w:cs="Times New Roman"/>
          <w:bCs/>
          <w:kern w:val="2"/>
          <w:sz w:val="32"/>
          <w:szCs w:val="32"/>
        </w:rPr>
        <w:t>北京证券交易所上市公司权益变动报告书、上市公司收购报告书、要约收购报告书、被收购公司董事会报告书》的规定应当披露收购报告书的，或因成为上市公司第一大股东或者实际控制人应当披露详式权益变动报告书的，投资者应当按照规定填写内幕信息知情人报备文件，保证内幕信息知情人报备文件的真实、准确和完整，并及时送达上市公司。</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上市公司应当按照规定填写上市公司内幕信息知情人报备文件，做好各方报备文件的汇总，并在收购报告书摘要或详式权益变动报告书披露后的10个交易日内，通过报备系统或本所规定的其他方式，提交下列内幕信息知情人报备文件：</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（一）内幕信息知情人登记表；</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（二）相关人员买卖上市公司股票的自查报告，自查期间为收购报告书摘要或详式权益变动报告书披露日的前6个月；</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（三）重大事项进程备忘录；</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（四）投资者及上市公司全体董事对内幕信息知情人报备文件真实性、准确性和完整性的承诺书；</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（五）本所要求的其他文件。</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第十六条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投资者进行上市公司收购及股份权益变动活动的</w:t>
      </w:r>
      <w:r>
        <w:rPr>
          <w:rFonts w:ascii="Times New Roman" w:hAnsi="Times New Roman" w:eastAsia="仿宋" w:cs="Times New Roman"/>
          <w:bCs/>
          <w:kern w:val="2"/>
          <w:sz w:val="32"/>
          <w:szCs w:val="32"/>
        </w:rPr>
        <w:t>，</w:t>
      </w:r>
      <w:r>
        <w:rPr>
          <w:rFonts w:hint="eastAsia" w:ascii="Times New Roman" w:hAnsi="Times New Roman" w:eastAsia="仿宋" w:cs="Times New Roman"/>
          <w:bCs/>
          <w:kern w:val="2"/>
          <w:sz w:val="32"/>
          <w:szCs w:val="32"/>
        </w:rPr>
        <w:t>本所对自查期间上市公司股票交易情况进行核查，发现明显异常的，可以要求上市公司提交股票交易情况说明。</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收购完成前，相关各方决定继续推进本次收购事项的，应采取措施消除相关事项对上市公司的影响；无法完全消除的，上市公司应就股票交易存在明显异常，可能被中国证监会立案调查或司法机关立案侦查，而导致本次收购被中止或者终止的情况披露特别风险提示公告。上市公司聘请的律师应对公司股票交易情况是否涉嫌内幕交易、是否会影响本次收购发表明确意见。</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相关各方自主决定终止本次收购事项的，应当履行相应决策程序，并及时发布终止公告披露终止原因。</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第十七条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上市公司进行证券发行、股份回购、重大资产重组，公司</w:t>
      </w:r>
      <w:r>
        <w:rPr>
          <w:rFonts w:ascii="Times New Roman" w:hAnsi="Times New Roman" w:eastAsia="仿宋" w:cs="Times New Roman"/>
          <w:bCs/>
          <w:kern w:val="2"/>
          <w:sz w:val="32"/>
          <w:szCs w:val="32"/>
        </w:rPr>
        <w:t>被</w:t>
      </w:r>
      <w:r>
        <w:rPr>
          <w:rFonts w:hint="eastAsia" w:ascii="Times New Roman" w:hAnsi="Times New Roman" w:eastAsia="仿宋" w:cs="Times New Roman"/>
          <w:bCs/>
          <w:kern w:val="2"/>
          <w:sz w:val="32"/>
          <w:szCs w:val="32"/>
        </w:rPr>
        <w:t>要约收购、申请转板或向境外其他证券交易所申请股票上市的，应当按照本所相关规定报备内幕信息知情人档案相关材料。</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第十八条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内幕信息知情人登记表应当包括：</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（一）姓名或名称、证件类型、证件号码，证券账户，联系方式；</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（二）所在单位、部门，职务或岗位，与上市公司的关系；</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（三）知悉内幕信息时间、方式；</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（四）内幕信息的内容与所处阶段；</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（五）登记时间、登记人等其他信息。</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前款所称知悉内幕信息时间，是指内幕信息知情人知悉或应当知悉内幕信息的第一时间；知悉内幕信息方式，包括但不限于会谈、电话、传真、书面报告、电子邮件等；内幕信息所处阶段，包括商议筹划，论证咨询，合同订立，公司内部的报告、传递、编制、决议等。</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第十九条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上市公司按照本所规定制作重大事项进程备忘录的，重大事项进程备忘录的内容包括但不限于筹划决策过程中各个关键时点的时间、参与筹划决策人员名单、筹划决策方式等。</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第二十条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上市公司应当督促重大事项进程备忘录涉及的相关人员在重大事项进程备忘录上签名确认。上市公司股东、实际控制人及其关联方等相关主体应当配合制作重大事项进程备忘录。</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第二十一条</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上市公司国有股东、实际控制人实施本指引第十一条第一款规定事项，需履行主管部门相关程序的，上市公司应当在履行主管部门相关程序后及时向本所报送内幕信息知情人档案相关材料。</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在首次报送后，内幕信息知情人档案相关材料发生变化的，上市公司应当及时补充报送。</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第二十二条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内幕信息知情人档案相关材料自记录（含补充完善）之日起至少保存</w:t>
      </w:r>
      <w:r>
        <w:rPr>
          <w:rFonts w:ascii="Times New Roman" w:hAnsi="Times New Roman" w:eastAsia="仿宋" w:cs="Times New Roman"/>
          <w:bCs/>
          <w:kern w:val="2"/>
          <w:sz w:val="32"/>
          <w:szCs w:val="32"/>
        </w:rPr>
        <w:t>10</w:t>
      </w:r>
      <w:r>
        <w:rPr>
          <w:rFonts w:hint="eastAsia" w:ascii="Times New Roman" w:hAnsi="Times New Roman" w:eastAsia="仿宋" w:cs="Times New Roman"/>
          <w:bCs/>
          <w:kern w:val="2"/>
          <w:sz w:val="32"/>
          <w:szCs w:val="32"/>
        </w:rPr>
        <w:t>年。</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Times New Roman" w:hAnsi="Times New Roman" w:eastAsia="仿宋" w:cs="Times New Roman"/>
          <w:bCs/>
          <w:kern w:val="2"/>
          <w:sz w:val="32"/>
          <w:szCs w:val="32"/>
        </w:rPr>
        <w:t>本所可视情况要求上市公司披露内幕信息知情人档案相关材料中的相关内容。</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第二十三条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color w:val="000000"/>
          <w:sz w:val="32"/>
          <w:szCs w:val="24"/>
          <w:lang w:val="zh-CN"/>
        </w:rPr>
        <w:t>上市公司及相关主体在内幕信息知情人管理及报送中有违规行为的，本所依据《上市规则》等有关规定，对上市公司及相关责任主体采取工作措施、自律监管措施或纪律处分。</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hint="eastAsia" w:ascii="黑体" w:hAnsi="黑体" w:eastAsia="黑体" w:cs="Times New Roman"/>
          <w:bCs/>
          <w:kern w:val="2"/>
          <w:sz w:val="32"/>
          <w:szCs w:val="32"/>
        </w:rPr>
        <w:t>第二十四条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bCs/>
          <w:kern w:val="2"/>
          <w:sz w:val="32"/>
          <w:szCs w:val="32"/>
        </w:rPr>
        <w:t>本指引由本所负责解释。</w:t>
      </w:r>
    </w:p>
    <w:p>
      <w:pPr>
        <w:widowControl w:val="0"/>
        <w:spacing w:line="600" w:lineRule="exact"/>
        <w:ind w:firstLine="640" w:firstLineChars="200"/>
        <w:jc w:val="both"/>
        <w:rPr>
          <w:rFonts w:ascii="Times New Roman" w:hAnsi="Times New Roman" w:eastAsia="仿宋" w:cs="Times New Roman"/>
          <w:bCs/>
          <w:kern w:val="2"/>
          <w:sz w:val="32"/>
          <w:szCs w:val="32"/>
        </w:rPr>
        <w:sectPr>
          <w:footerReference r:id="rId3" w:type="default"/>
          <w:footerReference r:id="rId4" w:type="even"/>
          <w:type w:val="continuous"/>
          <w:pgSz w:w="11906" w:h="16838"/>
          <w:pgMar w:top="2098" w:right="1588" w:bottom="1984" w:left="1588" w:header="851" w:footer="992" w:gutter="0"/>
          <w:pgNumType w:fmt="numberInDash"/>
          <w:cols w:space="425" w:num="1"/>
          <w:docGrid w:type="lines" w:linePitch="312" w:charSpace="0"/>
        </w:sectPr>
      </w:pPr>
      <w:r>
        <w:rPr>
          <w:rFonts w:hint="eastAsia" w:ascii="黑体" w:hAnsi="黑体" w:eastAsia="黑体" w:cs="Times New Roman"/>
          <w:bCs/>
          <w:kern w:val="2"/>
          <w:sz w:val="32"/>
          <w:szCs w:val="32"/>
        </w:rPr>
        <w:t>第二十五条</w:t>
      </w:r>
      <w:r>
        <w:rPr>
          <w:rFonts w:hint="eastAsia" w:ascii="仿宋" w:hAnsi="仿宋" w:eastAsia="仿宋" w:cs="Times New Roman"/>
          <w:bCs/>
          <w:kern w:val="2"/>
          <w:sz w:val="32"/>
          <w:szCs w:val="32"/>
        </w:rPr>
        <w:t xml:space="preserve"> </w:t>
      </w:r>
      <w:r>
        <w:rPr>
          <w:rFonts w:ascii="仿宋" w:hAnsi="仿宋" w:eastAsia="仿宋" w:cs="Times New Roman"/>
          <w:bCs/>
          <w:kern w:val="2"/>
          <w:sz w:val="32"/>
          <w:szCs w:val="32"/>
        </w:rPr>
        <w:t xml:space="preserve"> </w:t>
      </w:r>
      <w:r>
        <w:rPr>
          <w:rFonts w:hint="eastAsia" w:ascii="Times New Roman" w:hAnsi="Times New Roman" w:eastAsia="仿宋" w:cs="Times New Roman"/>
          <w:sz w:val="32"/>
          <w:szCs w:val="32"/>
        </w:rPr>
        <w:t>本指引自发布之日起施行。</w:t>
      </w:r>
    </w:p>
    <w:p>
      <w:pPr>
        <w:widowControl w:val="0"/>
        <w:spacing w:line="600" w:lineRule="exact"/>
        <w:ind w:firstLine="640" w:firstLineChars="200"/>
        <w:jc w:val="both"/>
        <w:rPr>
          <w:rFonts w:ascii="Times New Roman" w:hAnsi="Times New Roman" w:eastAsia="仿宋" w:cs="Times New Roman"/>
          <w:bCs/>
          <w:kern w:val="2"/>
          <w:sz w:val="32"/>
          <w:szCs w:val="32"/>
        </w:rPr>
      </w:pPr>
      <w:r>
        <w:rPr>
          <w:rFonts w:ascii="Times New Roman" w:hAnsi="Times New Roman" w:eastAsia="仿宋" w:cs="Times New Roman"/>
          <w:bCs/>
          <w:kern w:val="2"/>
          <w:sz w:val="32"/>
          <w:szCs w:val="32"/>
        </w:rPr>
        <w:br w:type="page"/>
      </w:r>
    </w:p>
    <w:p>
      <w:pPr>
        <w:pStyle w:val="2"/>
        <w:pageBreakBefore w:val="0"/>
        <w:kinsoku/>
        <w:wordWrap/>
        <w:overflowPunct/>
        <w:topLinePunct w:val="0"/>
        <w:autoSpaceDE/>
        <w:autoSpaceDN/>
        <w:bidi w:val="0"/>
        <w:adjustRightInd/>
        <w:snapToGrid/>
        <w:spacing w:before="0" w:after="0"/>
        <w:textAlignment w:val="auto"/>
        <w:rPr>
          <w:rFonts w:ascii="Times New Roman" w:hAnsi="Times New Roman" w:eastAsia="黑体" w:cs="Times New Roman"/>
          <w:b w:val="0"/>
          <w:kern w:val="0"/>
        </w:rPr>
      </w:pPr>
      <w:r>
        <w:rPr>
          <w:rFonts w:ascii="Times New Roman" w:hAnsi="Times New Roman" w:eastAsia="黑体" w:cs="Times New Roman"/>
          <w:b w:val="0"/>
          <w:kern w:val="0"/>
        </w:rPr>
        <w:t>附件1</w:t>
      </w:r>
    </w:p>
    <w:p>
      <w:pPr>
        <w:pageBreakBefore w:val="0"/>
        <w:kinsoku/>
        <w:wordWrap/>
        <w:overflowPunct/>
        <w:topLinePunct w:val="0"/>
        <w:autoSpaceDE/>
        <w:autoSpaceDN/>
        <w:bidi w:val="0"/>
        <w:adjustRightInd/>
        <w:snapToGrid/>
        <w:spacing w:line="600" w:lineRule="exact"/>
        <w:jc w:val="center"/>
        <w:textAlignment w:val="auto"/>
        <w:rPr>
          <w:rFonts w:ascii="Times New Roman" w:hAnsi="Times New Roman" w:eastAsia="方正大标宋简体" w:cs="Times New Roman"/>
          <w:sz w:val="44"/>
          <w:szCs w:val="44"/>
        </w:rPr>
      </w:pPr>
      <w:bookmarkStart w:id="0" w:name="_Toc18590706"/>
      <w:bookmarkStart w:id="1" w:name="_Toc16836349"/>
      <w:bookmarkStart w:id="2" w:name="_Toc21674054"/>
      <w:bookmarkStart w:id="3" w:name="_Toc16598013"/>
      <w:bookmarkStart w:id="4" w:name="_Toc18590866"/>
      <w:bookmarkStart w:id="5" w:name="_Toc21619215"/>
      <w:r>
        <w:rPr>
          <w:rFonts w:hint="eastAsia" w:ascii="Times New Roman" w:hAnsi="Times New Roman" w:eastAsia="方正大标宋简体" w:cs="Times New Roman"/>
          <w:sz w:val="44"/>
          <w:szCs w:val="44"/>
        </w:rPr>
        <w:t>内幕信息知情人</w:t>
      </w:r>
      <w:bookmarkEnd w:id="0"/>
      <w:bookmarkEnd w:id="1"/>
      <w:bookmarkEnd w:id="2"/>
      <w:bookmarkEnd w:id="3"/>
      <w:bookmarkEnd w:id="4"/>
      <w:bookmarkEnd w:id="5"/>
      <w:r>
        <w:rPr>
          <w:rFonts w:hint="eastAsia" w:ascii="Times New Roman" w:hAnsi="Times New Roman" w:eastAsia="方正大标宋简体" w:cs="Times New Roman"/>
          <w:sz w:val="44"/>
          <w:szCs w:val="44"/>
        </w:rPr>
        <w:t>报备文件及要求</w:t>
      </w:r>
    </w:p>
    <w:tbl>
      <w:tblPr>
        <w:tblStyle w:val="10"/>
        <w:tblW w:w="102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1953"/>
        <w:gridCol w:w="77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shd w:val="clear" w:color="auto" w:fill="FFFFFF" w:themeFill="background1"/>
            <w:vAlign w:val="center"/>
          </w:tcPr>
          <w:p>
            <w:pPr>
              <w:widowControl w:val="0"/>
              <w:adjustRightInd w:val="0"/>
              <w:snapToGrid w:val="0"/>
              <w:jc w:val="both"/>
              <w:rPr>
                <w:rFonts w:ascii="Times New Roman" w:hAnsi="Times New Roman" w:eastAsia="仿宋" w:cs="Times New Roman"/>
                <w:b/>
                <w:sz w:val="24"/>
                <w:szCs w:val="24"/>
              </w:rPr>
            </w:pPr>
            <w:r>
              <w:rPr>
                <w:rFonts w:hint="eastAsia" w:ascii="Times New Roman" w:hAnsi="Times New Roman" w:eastAsia="仿宋" w:cs="Times New Roman"/>
                <w:b/>
                <w:sz w:val="24"/>
                <w:szCs w:val="24"/>
              </w:rPr>
              <w:t>序号</w:t>
            </w:r>
          </w:p>
        </w:tc>
        <w:tc>
          <w:tcPr>
            <w:tcW w:w="1953" w:type="dxa"/>
            <w:shd w:val="clear" w:color="auto" w:fill="FFFFFF" w:themeFill="background1"/>
            <w:vAlign w:val="center"/>
          </w:tcPr>
          <w:p>
            <w:pPr>
              <w:widowControl w:val="0"/>
              <w:adjustRightInd w:val="0"/>
              <w:snapToGrid w:val="0"/>
              <w:jc w:val="center"/>
              <w:rPr>
                <w:rFonts w:ascii="Times New Roman" w:hAnsi="Times New Roman" w:eastAsia="仿宋" w:cs="Times New Roman"/>
                <w:b/>
                <w:sz w:val="24"/>
                <w:szCs w:val="24"/>
              </w:rPr>
            </w:pPr>
            <w:r>
              <w:rPr>
                <w:rFonts w:hint="eastAsia" w:ascii="Times New Roman" w:hAnsi="Times New Roman" w:eastAsia="仿宋" w:cs="Times New Roman"/>
                <w:b/>
                <w:sz w:val="24"/>
                <w:szCs w:val="24"/>
              </w:rPr>
              <w:t>文件名称</w:t>
            </w:r>
          </w:p>
        </w:tc>
        <w:tc>
          <w:tcPr>
            <w:tcW w:w="7797" w:type="dxa"/>
            <w:shd w:val="clear" w:color="auto" w:fill="FFFFFF" w:themeFill="background1"/>
            <w:vAlign w:val="center"/>
          </w:tcPr>
          <w:p>
            <w:pPr>
              <w:widowControl w:val="0"/>
              <w:adjustRightInd w:val="0"/>
              <w:snapToGrid w:val="0"/>
              <w:jc w:val="center"/>
              <w:rPr>
                <w:rFonts w:ascii="Times New Roman" w:hAnsi="Times New Roman" w:eastAsia="仿宋" w:cs="Times New Roman"/>
                <w:b/>
                <w:sz w:val="24"/>
                <w:szCs w:val="24"/>
              </w:rPr>
            </w:pPr>
            <w:r>
              <w:rPr>
                <w:rFonts w:hint="eastAsia" w:ascii="Times New Roman" w:hAnsi="Times New Roman" w:eastAsia="仿宋" w:cs="Times New Roman"/>
                <w:b/>
                <w:sz w:val="24"/>
                <w:szCs w:val="24"/>
              </w:rPr>
              <w:t>内容要求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widowControl w:val="0"/>
              <w:adjustRightInd w:val="0"/>
              <w:snapToGrid w:val="0"/>
              <w:ind w:firstLine="120" w:firstLineChars="50"/>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1953" w:type="dxa"/>
            <w:vAlign w:val="center"/>
          </w:tcPr>
          <w:p>
            <w:pPr>
              <w:widowControl w:val="0"/>
              <w:adjustRightInd w:val="0"/>
              <w:snapToGrid w:val="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内幕信息知情人登记表</w:t>
            </w:r>
          </w:p>
        </w:tc>
        <w:tc>
          <w:tcPr>
            <w:tcW w:w="7797" w:type="dxa"/>
          </w:tcPr>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内幕信息知情人范围，根据《证券法》第五十一条的有关规定确定，包括但不限于：</w:t>
            </w:r>
          </w:p>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）上市公司及其董事、高级管理人员；</w:t>
            </w:r>
          </w:p>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）持有上市公司</w:t>
            </w:r>
            <w:r>
              <w:rPr>
                <w:rFonts w:ascii="Times New Roman" w:hAnsi="Times New Roman" w:eastAsia="仿宋" w:cs="Times New Roman"/>
                <w:sz w:val="24"/>
                <w:szCs w:val="24"/>
              </w:rPr>
              <w:t>5%</w:t>
            </w:r>
            <w:r>
              <w:rPr>
                <w:rFonts w:hint="eastAsia" w:ascii="Times New Roman" w:hAnsi="Times New Roman" w:eastAsia="仿宋" w:cs="Times New Roman"/>
                <w:sz w:val="24"/>
                <w:szCs w:val="24"/>
              </w:rPr>
              <w:t>以上股份的股东和上市公司的实际控制人，以及其董事、监事、高级管理人员（如有）；</w:t>
            </w:r>
          </w:p>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）上市公司控股或者实际控制的公司及其董事、监事、高级管理人员（如有）；</w:t>
            </w:r>
          </w:p>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）由于所任公司职务或者因与公司业务往来可以获取有关内幕信息的人员；</w:t>
            </w:r>
          </w:p>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5</w:t>
            </w:r>
            <w:r>
              <w:rPr>
                <w:rFonts w:hint="eastAsia" w:ascii="Times New Roman" w:hAnsi="Times New Roman" w:eastAsia="仿宋" w:cs="Times New Roman"/>
                <w:sz w:val="24"/>
                <w:szCs w:val="24"/>
              </w:rPr>
              <w:t>）为</w:t>
            </w:r>
            <w:r>
              <w:rPr>
                <w:rFonts w:ascii="Times New Roman" w:hAnsi="Times New Roman" w:eastAsia="仿宋" w:cs="Times New Roman"/>
                <w:sz w:val="24"/>
                <w:szCs w:val="24"/>
              </w:rPr>
              <w:t>重大事项提供服务以及</w:t>
            </w:r>
            <w:r>
              <w:rPr>
                <w:rFonts w:hint="eastAsia" w:ascii="Times New Roman" w:hAnsi="Times New Roman" w:eastAsia="仿宋" w:cs="Times New Roman"/>
                <w:sz w:val="24"/>
                <w:szCs w:val="24"/>
              </w:rPr>
              <w:t>参与该重大事项的咨询、筹划、论证、审批等各环节的相关单位和人员；</w:t>
            </w:r>
          </w:p>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6</w:t>
            </w:r>
            <w:r>
              <w:rPr>
                <w:rFonts w:hint="eastAsia" w:ascii="Times New Roman" w:hAnsi="Times New Roman" w:eastAsia="仿宋" w:cs="Times New Roman"/>
                <w:sz w:val="24"/>
                <w:szCs w:val="24"/>
              </w:rPr>
              <w:t>）上市公司</w:t>
            </w:r>
            <w:r>
              <w:rPr>
                <w:rFonts w:ascii="Times New Roman" w:hAnsi="Times New Roman" w:eastAsia="仿宋" w:cs="Times New Roman"/>
                <w:sz w:val="24"/>
                <w:szCs w:val="24"/>
              </w:rPr>
              <w:t>收购人及其控股股东、实际控制人、董事、监事</w:t>
            </w:r>
            <w:r>
              <w:rPr>
                <w:rFonts w:hint="eastAsia" w:ascii="Times New Roman" w:hAnsi="Times New Roman" w:eastAsia="仿宋" w:cs="Times New Roman"/>
                <w:sz w:val="24"/>
                <w:szCs w:val="24"/>
              </w:rPr>
              <w:t>、</w:t>
            </w:r>
            <w:r>
              <w:rPr>
                <w:rFonts w:ascii="Times New Roman" w:hAnsi="Times New Roman" w:eastAsia="仿宋" w:cs="Times New Roman"/>
                <w:sz w:val="24"/>
                <w:szCs w:val="24"/>
              </w:rPr>
              <w:t>高级管理人员</w:t>
            </w:r>
            <w:r>
              <w:rPr>
                <w:rFonts w:hint="eastAsia" w:ascii="Times New Roman" w:hAnsi="Times New Roman" w:eastAsia="仿宋" w:cs="Times New Roman"/>
                <w:sz w:val="24"/>
                <w:szCs w:val="24"/>
              </w:rPr>
              <w:t>（如有）；</w:t>
            </w:r>
          </w:p>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7</w:t>
            </w:r>
            <w:r>
              <w:rPr>
                <w:rFonts w:hint="eastAsia" w:ascii="Times New Roman" w:hAnsi="Times New Roman" w:eastAsia="仿宋" w:cs="Times New Roman"/>
                <w:sz w:val="24"/>
                <w:szCs w:val="24"/>
              </w:rPr>
              <w:t>）前述自然人的直系亲属（配偶、父母、子女）；</w:t>
            </w:r>
          </w:p>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上市公司的所有董事、高级管理人员及其直系亲属，无论是否知情，均属于内幕信息知情人报备范围；</w:t>
            </w:r>
          </w:p>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（8）可以获取内幕信息的其他人员。</w:t>
            </w:r>
          </w:p>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登记表加盖公司公章或公司董事会公章，并写明填报日期。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widowControl w:val="0"/>
              <w:adjustRightInd w:val="0"/>
              <w:snapToGrid w:val="0"/>
              <w:ind w:firstLine="120" w:firstLineChars="50"/>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1953" w:type="dxa"/>
            <w:vAlign w:val="center"/>
          </w:tcPr>
          <w:p>
            <w:pPr>
              <w:widowControl w:val="0"/>
              <w:adjustRightInd w:val="0"/>
              <w:snapToGrid w:val="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自查报告</w:t>
            </w:r>
          </w:p>
        </w:tc>
        <w:tc>
          <w:tcPr>
            <w:tcW w:w="7797" w:type="dxa"/>
          </w:tcPr>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自然人自查报告：应列明自然人的姓名、职务、身份证号码、股票账户、有无买卖股票行为，并经本人签字确认；</w:t>
            </w:r>
          </w:p>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机构的自查报告：应列明机构的名称、统一社会信用代码、股票账户、有无买卖股票行为并加盖公章确认。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7" w:type="dxa"/>
            <w:vAlign w:val="center"/>
          </w:tcPr>
          <w:p>
            <w:pPr>
              <w:widowControl w:val="0"/>
              <w:adjustRightInd w:val="0"/>
              <w:snapToGrid w:val="0"/>
              <w:ind w:firstLine="120" w:firstLineChars="5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w:t>
            </w:r>
          </w:p>
        </w:tc>
        <w:tc>
          <w:tcPr>
            <w:tcW w:w="1953" w:type="dxa"/>
            <w:vAlign w:val="center"/>
          </w:tcPr>
          <w:p>
            <w:pPr>
              <w:widowControl w:val="0"/>
              <w:adjustRightInd w:val="0"/>
              <w:snapToGrid w:val="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承诺书</w:t>
            </w:r>
          </w:p>
        </w:tc>
        <w:tc>
          <w:tcPr>
            <w:tcW w:w="7797" w:type="dxa"/>
          </w:tcPr>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上市公司全体董事对内幕信息知情人报备文件真实性、准确性和完整性的承诺书，由全体董事签字并加盖公司公章。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widowControl w:val="0"/>
              <w:adjustRightInd w:val="0"/>
              <w:snapToGrid w:val="0"/>
              <w:ind w:firstLine="120" w:firstLineChars="50"/>
              <w:jc w:val="center"/>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1953" w:type="dxa"/>
            <w:vAlign w:val="center"/>
          </w:tcPr>
          <w:p>
            <w:pPr>
              <w:widowControl w:val="0"/>
              <w:adjustRightInd w:val="0"/>
              <w:snapToGrid w:val="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重大事项</w:t>
            </w:r>
          </w:p>
          <w:p>
            <w:pPr>
              <w:widowControl w:val="0"/>
              <w:adjustRightInd w:val="0"/>
              <w:snapToGrid w:val="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进程备忘录</w:t>
            </w:r>
          </w:p>
        </w:tc>
        <w:tc>
          <w:tcPr>
            <w:tcW w:w="7797" w:type="dxa"/>
          </w:tcPr>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包括但不限于筹划决策过程中各个关键时点的时间、参与筹划决策人员名单、筹划决策方式等。涉及的相关人员均应在备忘录上签名确认。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widowControl w:val="0"/>
              <w:adjustRightInd w:val="0"/>
              <w:snapToGrid w:val="0"/>
              <w:ind w:firstLine="120" w:firstLineChars="50"/>
              <w:jc w:val="center"/>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1953" w:type="dxa"/>
            <w:vAlign w:val="center"/>
          </w:tcPr>
          <w:p>
            <w:pPr>
              <w:widowControl w:val="0"/>
              <w:adjustRightInd w:val="0"/>
              <w:snapToGrid w:val="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股票交易情况</w:t>
            </w:r>
          </w:p>
          <w:p>
            <w:pPr>
              <w:widowControl w:val="0"/>
              <w:adjustRightInd w:val="0"/>
              <w:snapToGrid w:val="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说明（如有）</w:t>
            </w:r>
          </w:p>
        </w:tc>
        <w:tc>
          <w:tcPr>
            <w:tcW w:w="7797" w:type="dxa"/>
          </w:tcPr>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相关人员存在买卖公司股票行为的，当事人应当书面说明其买卖股票行为是否利用了相关内幕信息；上市公司应当书面说明与买卖股票人员相关事项的动议时间，买卖股票人员是否参与决策，买卖行为与该事项是否存在关联关系以及是否签订了保密协议书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widowControl w:val="0"/>
              <w:adjustRightInd w:val="0"/>
              <w:snapToGrid w:val="0"/>
              <w:ind w:firstLine="120" w:firstLineChars="5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6</w:t>
            </w:r>
          </w:p>
        </w:tc>
        <w:tc>
          <w:tcPr>
            <w:tcW w:w="1953" w:type="dxa"/>
          </w:tcPr>
          <w:p>
            <w:pPr>
              <w:widowControl w:val="0"/>
              <w:adjustRightInd w:val="0"/>
              <w:snapToGrid w:val="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报备文件电子件与预留原件一致的鉴证意见</w:t>
            </w:r>
          </w:p>
        </w:tc>
        <w:tc>
          <w:tcPr>
            <w:tcW w:w="7797" w:type="dxa"/>
          </w:tcPr>
          <w:p>
            <w:pPr>
              <w:widowControl w:val="0"/>
              <w:adjustRightInd w:val="0"/>
              <w:snapToGrid w:val="0"/>
              <w:jc w:val="both"/>
              <w:rPr>
                <w:rFonts w:ascii="Times New Roman" w:hAnsi="Times New Roman" w:eastAsia="仿宋" w:cs="Times New Roman"/>
                <w:sz w:val="24"/>
                <w:szCs w:val="24"/>
              </w:rPr>
            </w:pPr>
            <w:r>
              <w:rPr>
                <w:rFonts w:hint="eastAsia" w:ascii="Times New Roman" w:hAnsi="Times New Roman" w:eastAsia="仿宋" w:cs="Times New Roman"/>
                <w:sz w:val="24"/>
                <w:szCs w:val="24"/>
              </w:rPr>
              <w:t>律师应当对报送的电子文件与原件的一致性出具鉴证意见，并签名和签署鉴证日期，律师事务所应当在鉴证意见首页加盖律师事务所公章，并在侧面加盖骑缝章。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207" w:type="dxa"/>
            <w:gridSpan w:val="3"/>
            <w:vAlign w:val="center"/>
          </w:tcPr>
          <w:p>
            <w:pPr>
              <w:widowControl w:val="0"/>
              <w:adjustRightInd w:val="0"/>
              <w:snapToGrid w:val="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注：</w:t>
            </w:r>
          </w:p>
          <w:p>
            <w:pPr>
              <w:widowControl w:val="0"/>
              <w:adjustRightInd w:val="0"/>
              <w:snapToGrid w:val="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1、上市公司应提交与预留原件一致的电子文件（</w:t>
            </w:r>
            <w:r>
              <w:rPr>
                <w:rFonts w:ascii="Times New Roman" w:hAnsi="Times New Roman" w:eastAsia="仿宋" w:cs="Times New Roman"/>
                <w:sz w:val="24"/>
                <w:szCs w:val="24"/>
              </w:rPr>
              <w:t>WORD</w:t>
            </w:r>
            <w:r>
              <w:rPr>
                <w:rFonts w:hint="eastAsia" w:ascii="Times New Roman" w:hAnsi="Times New Roman" w:eastAsia="仿宋" w:cs="Times New Roman"/>
                <w:sz w:val="24"/>
                <w:szCs w:val="24"/>
              </w:rPr>
              <w:t>、</w:t>
            </w:r>
            <w:r>
              <w:rPr>
                <w:rFonts w:ascii="Times New Roman" w:hAnsi="Times New Roman" w:eastAsia="仿宋" w:cs="Times New Roman"/>
                <w:sz w:val="24"/>
                <w:szCs w:val="24"/>
              </w:rPr>
              <w:t>EXCEL</w:t>
            </w:r>
            <w:r>
              <w:rPr>
                <w:rFonts w:hint="eastAsia" w:ascii="Times New Roman" w:hAnsi="Times New Roman" w:eastAsia="仿宋" w:cs="Times New Roman"/>
                <w:sz w:val="24"/>
                <w:szCs w:val="24"/>
              </w:rPr>
              <w:t>、</w:t>
            </w:r>
            <w:r>
              <w:rPr>
                <w:rFonts w:ascii="Times New Roman" w:hAnsi="Times New Roman" w:eastAsia="仿宋" w:cs="Times New Roman"/>
                <w:sz w:val="24"/>
                <w:szCs w:val="24"/>
              </w:rPr>
              <w:t>PDF</w:t>
            </w:r>
            <w:r>
              <w:rPr>
                <w:rFonts w:hint="eastAsia" w:ascii="Times New Roman" w:hAnsi="Times New Roman" w:eastAsia="仿宋" w:cs="Times New Roman"/>
                <w:sz w:val="24"/>
                <w:szCs w:val="24"/>
              </w:rPr>
              <w:t>等文件格式）；</w:t>
            </w:r>
          </w:p>
          <w:p>
            <w:pPr>
              <w:widowControl w:val="0"/>
              <w:adjustRightInd w:val="0"/>
              <w:snapToGrid w:val="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、报备文件中应当注明上市公司、</w:t>
            </w:r>
            <w:r>
              <w:rPr>
                <w:rFonts w:ascii="Times New Roman" w:hAnsi="Times New Roman" w:eastAsia="仿宋" w:cs="Times New Roman"/>
                <w:sz w:val="24"/>
                <w:szCs w:val="24"/>
              </w:rPr>
              <w:t>律师事务所（</w:t>
            </w:r>
            <w:r>
              <w:rPr>
                <w:rFonts w:hint="eastAsia" w:ascii="Times New Roman" w:hAnsi="Times New Roman" w:eastAsia="仿宋" w:cs="Times New Roman"/>
                <w:sz w:val="24"/>
                <w:szCs w:val="24"/>
              </w:rPr>
              <w:t>如有</w:t>
            </w:r>
            <w:r>
              <w:rPr>
                <w:rFonts w:ascii="Times New Roman" w:hAnsi="Times New Roman" w:eastAsia="仿宋" w:cs="Times New Roman"/>
                <w:sz w:val="24"/>
                <w:szCs w:val="24"/>
              </w:rPr>
              <w:t>）</w:t>
            </w:r>
            <w:r>
              <w:rPr>
                <w:rFonts w:hint="eastAsia" w:ascii="Times New Roman" w:hAnsi="Times New Roman" w:eastAsia="仿宋" w:cs="Times New Roman"/>
                <w:sz w:val="24"/>
                <w:szCs w:val="24"/>
              </w:rPr>
              <w:t>联系人姓名、电话、联系邮箱等信息；报备文件所需签名处，均应为签名人亲笔签名，不得以名章、签名章等代替。</w:t>
            </w:r>
          </w:p>
        </w:tc>
      </w:tr>
    </w:tbl>
    <w:p>
      <w:pPr>
        <w:adjustRightInd w:val="0"/>
        <w:snapToGrid w:val="0"/>
        <w:rPr>
          <w:rFonts w:ascii="Times New Roman" w:hAnsi="Times New Roman" w:eastAsia="仿宋" w:cs="Times New Roman"/>
          <w:b/>
          <w:sz w:val="28"/>
          <w:szCs w:val="28"/>
        </w:rPr>
        <w:sectPr>
          <w:footerReference r:id="rId5" w:type="default"/>
          <w:footerReference r:id="rId6" w:type="even"/>
          <w:type w:val="continuous"/>
          <w:pgSz w:w="11906" w:h="16838"/>
          <w:pgMar w:top="1440" w:right="1800" w:bottom="1440" w:left="1800" w:header="851" w:footer="992" w:gutter="0"/>
          <w:pgNumType w:fmt="numberInDash"/>
          <w:cols w:space="425" w:num="1"/>
          <w:docGrid w:type="lines" w:linePitch="312" w:charSpace="0"/>
        </w:sectPr>
      </w:pPr>
    </w:p>
    <w:p>
      <w:pPr>
        <w:spacing w:line="600" w:lineRule="exact"/>
        <w:jc w:val="center"/>
        <w:rPr>
          <w:rFonts w:ascii="Times New Roman" w:hAnsi="Times New Roman" w:eastAsia="方正大标宋简体" w:cs="Times New Roman"/>
          <w:sz w:val="44"/>
          <w:szCs w:val="44"/>
        </w:rPr>
      </w:pPr>
      <w:r>
        <w:rPr>
          <w:rFonts w:hint="eastAsia" w:ascii="Times New Roman" w:hAnsi="Times New Roman" w:eastAsia="方正大标宋简体" w:cs="Times New Roman"/>
          <w:sz w:val="44"/>
          <w:szCs w:val="44"/>
        </w:rPr>
        <w:t>内幕信息知情人登记表</w:t>
      </w:r>
    </w:p>
    <w:p>
      <w:pPr>
        <w:spacing w:line="600" w:lineRule="exact"/>
        <w:jc w:val="center"/>
        <w:rPr>
          <w:rFonts w:ascii="Times New Roman" w:hAnsi="Times New Roman" w:eastAsia="方正大标宋简体" w:cs="Times New Roman"/>
          <w:sz w:val="44"/>
          <w:szCs w:val="44"/>
        </w:rPr>
      </w:pPr>
    </w:p>
    <w:p>
      <w:pPr>
        <w:ind w:firstLine="480"/>
        <w:rPr>
          <w:rFonts w:ascii="Times New Roman" w:hAnsi="Times New Roman" w:eastAsia="仿宋" w:cs="Times New Roman"/>
          <w:sz w:val="24"/>
        </w:rPr>
      </w:pPr>
      <w:r>
        <w:rPr>
          <w:rFonts w:hint="eastAsia" w:ascii="Times New Roman" w:hAnsi="Times New Roman" w:eastAsia="仿宋" w:cs="Times New Roman"/>
          <w:sz w:val="24"/>
        </w:rPr>
        <w:t>证券简称：</w:t>
      </w:r>
      <w:r>
        <w:rPr>
          <w:rFonts w:ascii="Times New Roman" w:hAnsi="Times New Roman" w:eastAsia="仿宋" w:cs="Times New Roman"/>
          <w:sz w:val="24"/>
        </w:rPr>
        <w:t xml:space="preserve">                                               </w:t>
      </w:r>
      <w:r>
        <w:rPr>
          <w:rFonts w:hint="eastAsia" w:ascii="Times New Roman" w:hAnsi="Times New Roman" w:eastAsia="仿宋" w:cs="Times New Roman"/>
          <w:sz w:val="24"/>
        </w:rPr>
        <w:t>证券代码：</w:t>
      </w:r>
    </w:p>
    <w:p>
      <w:pPr>
        <w:ind w:firstLine="480"/>
        <w:rPr>
          <w:rFonts w:ascii="Times New Roman" w:hAnsi="Times New Roman" w:eastAsia="仿宋" w:cs="Times New Roman"/>
          <w:sz w:val="24"/>
        </w:rPr>
      </w:pPr>
      <w:r>
        <w:rPr>
          <w:rFonts w:hint="eastAsia" w:ascii="Times New Roman" w:hAnsi="Times New Roman" w:eastAsia="仿宋" w:cs="Times New Roman"/>
          <w:sz w:val="24"/>
        </w:rPr>
        <w:t>内幕信息事项：</w:t>
      </w:r>
    </w:p>
    <w:p>
      <w:pPr>
        <w:ind w:firstLine="480"/>
        <w:rPr>
          <w:rFonts w:ascii="Times New Roman" w:hAnsi="Times New Roman" w:eastAsia="仿宋" w:cs="Times New Roman"/>
          <w:sz w:val="24"/>
        </w:rPr>
      </w:pPr>
    </w:p>
    <w:tbl>
      <w:tblPr>
        <w:tblStyle w:val="9"/>
        <w:tblW w:w="150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992"/>
        <w:gridCol w:w="851"/>
        <w:gridCol w:w="850"/>
        <w:gridCol w:w="851"/>
        <w:gridCol w:w="899"/>
        <w:gridCol w:w="1207"/>
        <w:gridCol w:w="938"/>
        <w:gridCol w:w="1307"/>
        <w:gridCol w:w="1184"/>
        <w:gridCol w:w="1184"/>
        <w:gridCol w:w="1183"/>
        <w:gridCol w:w="1184"/>
        <w:gridCol w:w="832"/>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567"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序号</w:t>
            </w:r>
          </w:p>
        </w:tc>
        <w:tc>
          <w:tcPr>
            <w:tcW w:w="992"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姓名或名称</w:t>
            </w:r>
          </w:p>
        </w:tc>
        <w:tc>
          <w:tcPr>
            <w:tcW w:w="851"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证件类型</w:t>
            </w:r>
          </w:p>
        </w:tc>
        <w:tc>
          <w:tcPr>
            <w:tcW w:w="850"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证件号码</w:t>
            </w:r>
          </w:p>
        </w:tc>
        <w:tc>
          <w:tcPr>
            <w:tcW w:w="851"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证券账户</w:t>
            </w:r>
          </w:p>
        </w:tc>
        <w:tc>
          <w:tcPr>
            <w:tcW w:w="899"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联系方式</w:t>
            </w:r>
          </w:p>
        </w:tc>
        <w:tc>
          <w:tcPr>
            <w:tcW w:w="1207"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所在单位</w:t>
            </w:r>
            <w:r>
              <w:rPr>
                <w:rFonts w:ascii="Times New Roman" w:hAnsi="Times New Roman" w:eastAsia="仿宋" w:cs="Times New Roman"/>
                <w:sz w:val="24"/>
              </w:rPr>
              <w:t>/</w:t>
            </w:r>
            <w:r>
              <w:rPr>
                <w:rFonts w:hint="eastAsia" w:ascii="Times New Roman" w:hAnsi="Times New Roman" w:eastAsia="仿宋" w:cs="Times New Roman"/>
                <w:sz w:val="24"/>
              </w:rPr>
              <w:t>部门</w:t>
            </w:r>
          </w:p>
        </w:tc>
        <w:tc>
          <w:tcPr>
            <w:tcW w:w="938"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职务</w:t>
            </w:r>
            <w:r>
              <w:rPr>
                <w:rFonts w:ascii="Times New Roman" w:hAnsi="Times New Roman" w:eastAsia="仿宋" w:cs="Times New Roman"/>
                <w:sz w:val="24"/>
              </w:rPr>
              <w:t>/</w:t>
            </w:r>
            <w:r>
              <w:rPr>
                <w:rFonts w:hint="eastAsia" w:ascii="Times New Roman" w:hAnsi="Times New Roman" w:eastAsia="仿宋" w:cs="Times New Roman"/>
                <w:sz w:val="24"/>
              </w:rPr>
              <w:t>岗位</w:t>
            </w:r>
          </w:p>
        </w:tc>
        <w:tc>
          <w:tcPr>
            <w:tcW w:w="1307"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与上市公司关系</w:t>
            </w:r>
          </w:p>
        </w:tc>
        <w:tc>
          <w:tcPr>
            <w:tcW w:w="1184"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知悉内幕信息时间</w:t>
            </w:r>
          </w:p>
        </w:tc>
        <w:tc>
          <w:tcPr>
            <w:tcW w:w="1184"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知悉内幕信息方式</w:t>
            </w:r>
          </w:p>
        </w:tc>
        <w:tc>
          <w:tcPr>
            <w:tcW w:w="1183"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内幕信息内容</w:t>
            </w:r>
          </w:p>
        </w:tc>
        <w:tc>
          <w:tcPr>
            <w:tcW w:w="1184"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内幕信息所处阶段</w:t>
            </w:r>
          </w:p>
        </w:tc>
        <w:tc>
          <w:tcPr>
            <w:tcW w:w="832"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登记时间</w:t>
            </w:r>
          </w:p>
        </w:tc>
        <w:tc>
          <w:tcPr>
            <w:tcW w:w="992"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登记人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67" w:type="dxa"/>
            <w:vAlign w:val="center"/>
          </w:tcPr>
          <w:p>
            <w:pPr>
              <w:jc w:val="center"/>
              <w:rPr>
                <w:rFonts w:ascii="Times New Roman" w:hAnsi="Times New Roman" w:eastAsia="仿宋" w:cs="Times New Roman"/>
                <w:b/>
                <w:sz w:val="24"/>
              </w:rPr>
            </w:pPr>
          </w:p>
        </w:tc>
        <w:tc>
          <w:tcPr>
            <w:tcW w:w="992" w:type="dxa"/>
            <w:vAlign w:val="center"/>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50" w:type="dxa"/>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99" w:type="dxa"/>
            <w:vAlign w:val="center"/>
          </w:tcPr>
          <w:p>
            <w:pPr>
              <w:jc w:val="center"/>
              <w:rPr>
                <w:rFonts w:ascii="Times New Roman" w:hAnsi="Times New Roman" w:eastAsia="仿宋" w:cs="Times New Roman"/>
                <w:b/>
                <w:sz w:val="24"/>
              </w:rPr>
            </w:pPr>
          </w:p>
        </w:tc>
        <w:tc>
          <w:tcPr>
            <w:tcW w:w="1207" w:type="dxa"/>
            <w:vAlign w:val="center"/>
          </w:tcPr>
          <w:p>
            <w:pPr>
              <w:jc w:val="center"/>
              <w:rPr>
                <w:rFonts w:ascii="Times New Roman" w:hAnsi="Times New Roman" w:eastAsia="仿宋" w:cs="Times New Roman"/>
                <w:b/>
                <w:sz w:val="24"/>
              </w:rPr>
            </w:pPr>
          </w:p>
        </w:tc>
        <w:tc>
          <w:tcPr>
            <w:tcW w:w="938" w:type="dxa"/>
          </w:tcPr>
          <w:p>
            <w:pPr>
              <w:jc w:val="center"/>
              <w:rPr>
                <w:rFonts w:ascii="Times New Roman" w:hAnsi="Times New Roman" w:eastAsia="仿宋" w:cs="Times New Roman"/>
                <w:b/>
                <w:sz w:val="24"/>
              </w:rPr>
            </w:pPr>
          </w:p>
        </w:tc>
        <w:tc>
          <w:tcPr>
            <w:tcW w:w="1307"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1184" w:type="dxa"/>
          </w:tcPr>
          <w:p>
            <w:pPr>
              <w:jc w:val="center"/>
              <w:rPr>
                <w:rFonts w:ascii="Times New Roman" w:hAnsi="Times New Roman" w:eastAsia="仿宋" w:cs="Times New Roman"/>
                <w:b/>
                <w:sz w:val="24"/>
              </w:rPr>
            </w:pPr>
          </w:p>
        </w:tc>
        <w:tc>
          <w:tcPr>
            <w:tcW w:w="1183"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832" w:type="dxa"/>
          </w:tcPr>
          <w:p>
            <w:pPr>
              <w:jc w:val="center"/>
              <w:rPr>
                <w:rFonts w:ascii="Times New Roman" w:hAnsi="Times New Roman" w:eastAsia="仿宋" w:cs="Times New Roman"/>
                <w:b/>
                <w:sz w:val="24"/>
              </w:rPr>
            </w:pPr>
          </w:p>
        </w:tc>
        <w:tc>
          <w:tcPr>
            <w:tcW w:w="992" w:type="dxa"/>
          </w:tcPr>
          <w:p>
            <w:pPr>
              <w:jc w:val="center"/>
              <w:rPr>
                <w:rFonts w:ascii="Times New Roman" w:hAnsi="Times New Roman" w:eastAsia="仿宋" w:cs="Times New Roman"/>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67" w:type="dxa"/>
            <w:vAlign w:val="center"/>
          </w:tcPr>
          <w:p>
            <w:pPr>
              <w:jc w:val="center"/>
              <w:rPr>
                <w:rFonts w:ascii="Times New Roman" w:hAnsi="Times New Roman" w:eastAsia="仿宋" w:cs="Times New Roman"/>
                <w:b/>
                <w:sz w:val="24"/>
              </w:rPr>
            </w:pPr>
          </w:p>
        </w:tc>
        <w:tc>
          <w:tcPr>
            <w:tcW w:w="992" w:type="dxa"/>
            <w:vAlign w:val="center"/>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50" w:type="dxa"/>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99" w:type="dxa"/>
            <w:vAlign w:val="center"/>
          </w:tcPr>
          <w:p>
            <w:pPr>
              <w:jc w:val="center"/>
              <w:rPr>
                <w:rFonts w:ascii="Times New Roman" w:hAnsi="Times New Roman" w:eastAsia="仿宋" w:cs="Times New Roman"/>
                <w:b/>
                <w:sz w:val="24"/>
              </w:rPr>
            </w:pPr>
          </w:p>
        </w:tc>
        <w:tc>
          <w:tcPr>
            <w:tcW w:w="1207" w:type="dxa"/>
            <w:vAlign w:val="center"/>
          </w:tcPr>
          <w:p>
            <w:pPr>
              <w:jc w:val="center"/>
              <w:rPr>
                <w:rFonts w:ascii="Times New Roman" w:hAnsi="Times New Roman" w:eastAsia="仿宋" w:cs="Times New Roman"/>
                <w:b/>
                <w:sz w:val="24"/>
              </w:rPr>
            </w:pPr>
          </w:p>
        </w:tc>
        <w:tc>
          <w:tcPr>
            <w:tcW w:w="938" w:type="dxa"/>
          </w:tcPr>
          <w:p>
            <w:pPr>
              <w:jc w:val="center"/>
              <w:rPr>
                <w:rFonts w:ascii="Times New Roman" w:hAnsi="Times New Roman" w:eastAsia="仿宋" w:cs="Times New Roman"/>
                <w:b/>
                <w:sz w:val="24"/>
              </w:rPr>
            </w:pPr>
          </w:p>
        </w:tc>
        <w:tc>
          <w:tcPr>
            <w:tcW w:w="1307"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1184" w:type="dxa"/>
          </w:tcPr>
          <w:p>
            <w:pPr>
              <w:jc w:val="center"/>
              <w:rPr>
                <w:rFonts w:ascii="Times New Roman" w:hAnsi="Times New Roman" w:eastAsia="仿宋" w:cs="Times New Roman"/>
                <w:b/>
                <w:sz w:val="24"/>
              </w:rPr>
            </w:pPr>
          </w:p>
        </w:tc>
        <w:tc>
          <w:tcPr>
            <w:tcW w:w="1183"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832" w:type="dxa"/>
          </w:tcPr>
          <w:p>
            <w:pPr>
              <w:jc w:val="center"/>
              <w:rPr>
                <w:rFonts w:ascii="Times New Roman" w:hAnsi="Times New Roman" w:eastAsia="仿宋" w:cs="Times New Roman"/>
                <w:b/>
                <w:sz w:val="24"/>
              </w:rPr>
            </w:pPr>
          </w:p>
        </w:tc>
        <w:tc>
          <w:tcPr>
            <w:tcW w:w="992" w:type="dxa"/>
          </w:tcPr>
          <w:p>
            <w:pPr>
              <w:jc w:val="center"/>
              <w:rPr>
                <w:rFonts w:ascii="Times New Roman" w:hAnsi="Times New Roman" w:eastAsia="仿宋" w:cs="Times New Roman"/>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67" w:type="dxa"/>
            <w:vAlign w:val="center"/>
          </w:tcPr>
          <w:p>
            <w:pPr>
              <w:jc w:val="center"/>
              <w:rPr>
                <w:rFonts w:ascii="Times New Roman" w:hAnsi="Times New Roman" w:eastAsia="仿宋" w:cs="Times New Roman"/>
                <w:b/>
                <w:sz w:val="24"/>
              </w:rPr>
            </w:pPr>
          </w:p>
        </w:tc>
        <w:tc>
          <w:tcPr>
            <w:tcW w:w="992" w:type="dxa"/>
            <w:vAlign w:val="center"/>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50" w:type="dxa"/>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99" w:type="dxa"/>
            <w:vAlign w:val="center"/>
          </w:tcPr>
          <w:p>
            <w:pPr>
              <w:jc w:val="center"/>
              <w:rPr>
                <w:rFonts w:ascii="Times New Roman" w:hAnsi="Times New Roman" w:eastAsia="仿宋" w:cs="Times New Roman"/>
                <w:b/>
                <w:sz w:val="24"/>
              </w:rPr>
            </w:pPr>
          </w:p>
        </w:tc>
        <w:tc>
          <w:tcPr>
            <w:tcW w:w="1207" w:type="dxa"/>
            <w:vAlign w:val="center"/>
          </w:tcPr>
          <w:p>
            <w:pPr>
              <w:jc w:val="center"/>
              <w:rPr>
                <w:rFonts w:ascii="Times New Roman" w:hAnsi="Times New Roman" w:eastAsia="仿宋" w:cs="Times New Roman"/>
                <w:b/>
                <w:sz w:val="24"/>
              </w:rPr>
            </w:pPr>
          </w:p>
        </w:tc>
        <w:tc>
          <w:tcPr>
            <w:tcW w:w="938" w:type="dxa"/>
          </w:tcPr>
          <w:p>
            <w:pPr>
              <w:jc w:val="center"/>
              <w:rPr>
                <w:rFonts w:ascii="Times New Roman" w:hAnsi="Times New Roman" w:eastAsia="仿宋" w:cs="Times New Roman"/>
                <w:b/>
                <w:sz w:val="24"/>
              </w:rPr>
            </w:pPr>
          </w:p>
        </w:tc>
        <w:tc>
          <w:tcPr>
            <w:tcW w:w="1307"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1184" w:type="dxa"/>
          </w:tcPr>
          <w:p>
            <w:pPr>
              <w:jc w:val="center"/>
              <w:rPr>
                <w:rFonts w:ascii="Times New Roman" w:hAnsi="Times New Roman" w:eastAsia="仿宋" w:cs="Times New Roman"/>
                <w:b/>
                <w:sz w:val="24"/>
              </w:rPr>
            </w:pPr>
          </w:p>
        </w:tc>
        <w:tc>
          <w:tcPr>
            <w:tcW w:w="1183"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832" w:type="dxa"/>
          </w:tcPr>
          <w:p>
            <w:pPr>
              <w:jc w:val="center"/>
              <w:rPr>
                <w:rFonts w:ascii="Times New Roman" w:hAnsi="Times New Roman" w:eastAsia="仿宋" w:cs="Times New Roman"/>
                <w:b/>
                <w:sz w:val="24"/>
              </w:rPr>
            </w:pPr>
          </w:p>
        </w:tc>
        <w:tc>
          <w:tcPr>
            <w:tcW w:w="992" w:type="dxa"/>
          </w:tcPr>
          <w:p>
            <w:pPr>
              <w:jc w:val="center"/>
              <w:rPr>
                <w:rFonts w:ascii="Times New Roman" w:hAnsi="Times New Roman" w:eastAsia="仿宋" w:cs="Times New Roman"/>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67" w:type="dxa"/>
            <w:vAlign w:val="center"/>
          </w:tcPr>
          <w:p>
            <w:pPr>
              <w:jc w:val="center"/>
              <w:rPr>
                <w:rFonts w:ascii="Times New Roman" w:hAnsi="Times New Roman" w:eastAsia="仿宋" w:cs="Times New Roman"/>
                <w:b/>
                <w:sz w:val="24"/>
              </w:rPr>
            </w:pPr>
          </w:p>
        </w:tc>
        <w:tc>
          <w:tcPr>
            <w:tcW w:w="992" w:type="dxa"/>
            <w:vAlign w:val="center"/>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50" w:type="dxa"/>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99" w:type="dxa"/>
            <w:vAlign w:val="center"/>
          </w:tcPr>
          <w:p>
            <w:pPr>
              <w:jc w:val="center"/>
              <w:rPr>
                <w:rFonts w:ascii="Times New Roman" w:hAnsi="Times New Roman" w:eastAsia="仿宋" w:cs="Times New Roman"/>
                <w:b/>
                <w:sz w:val="24"/>
              </w:rPr>
            </w:pPr>
          </w:p>
        </w:tc>
        <w:tc>
          <w:tcPr>
            <w:tcW w:w="1207" w:type="dxa"/>
            <w:vAlign w:val="center"/>
          </w:tcPr>
          <w:p>
            <w:pPr>
              <w:jc w:val="center"/>
              <w:rPr>
                <w:rFonts w:ascii="Times New Roman" w:hAnsi="Times New Roman" w:eastAsia="仿宋" w:cs="Times New Roman"/>
                <w:b/>
                <w:sz w:val="24"/>
              </w:rPr>
            </w:pPr>
          </w:p>
        </w:tc>
        <w:tc>
          <w:tcPr>
            <w:tcW w:w="938" w:type="dxa"/>
          </w:tcPr>
          <w:p>
            <w:pPr>
              <w:jc w:val="center"/>
              <w:rPr>
                <w:rFonts w:ascii="Times New Roman" w:hAnsi="Times New Roman" w:eastAsia="仿宋" w:cs="Times New Roman"/>
                <w:b/>
                <w:sz w:val="24"/>
              </w:rPr>
            </w:pPr>
          </w:p>
        </w:tc>
        <w:tc>
          <w:tcPr>
            <w:tcW w:w="1307"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1184" w:type="dxa"/>
          </w:tcPr>
          <w:p>
            <w:pPr>
              <w:jc w:val="center"/>
              <w:rPr>
                <w:rFonts w:ascii="Times New Roman" w:hAnsi="Times New Roman" w:eastAsia="仿宋" w:cs="Times New Roman"/>
                <w:b/>
                <w:sz w:val="24"/>
              </w:rPr>
            </w:pPr>
          </w:p>
        </w:tc>
        <w:tc>
          <w:tcPr>
            <w:tcW w:w="1183"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832" w:type="dxa"/>
          </w:tcPr>
          <w:p>
            <w:pPr>
              <w:jc w:val="center"/>
              <w:rPr>
                <w:rFonts w:ascii="Times New Roman" w:hAnsi="Times New Roman" w:eastAsia="仿宋" w:cs="Times New Roman"/>
                <w:b/>
                <w:sz w:val="24"/>
              </w:rPr>
            </w:pPr>
          </w:p>
        </w:tc>
        <w:tc>
          <w:tcPr>
            <w:tcW w:w="992" w:type="dxa"/>
          </w:tcPr>
          <w:p>
            <w:pPr>
              <w:jc w:val="center"/>
              <w:rPr>
                <w:rFonts w:ascii="Times New Roman" w:hAnsi="Times New Roman" w:eastAsia="仿宋" w:cs="Times New Roman"/>
                <w:b/>
                <w:sz w:val="24"/>
              </w:rPr>
            </w:pPr>
          </w:p>
        </w:tc>
      </w:tr>
    </w:tbl>
    <w:p>
      <w:pPr>
        <w:rPr>
          <w:rFonts w:ascii="Times New Roman" w:hAnsi="Times New Roman" w:eastAsia="仿宋" w:cs="Times New Roman"/>
          <w:sz w:val="24"/>
        </w:rPr>
      </w:pPr>
    </w:p>
    <w:p>
      <w:pPr>
        <w:ind w:right="1200"/>
        <w:rPr>
          <w:rFonts w:ascii="Times New Roman" w:hAnsi="Times New Roman" w:eastAsia="方正仿宋简体" w:cs="Times New Roman"/>
          <w:sz w:val="24"/>
          <w:szCs w:val="30"/>
        </w:rPr>
      </w:pPr>
      <w:r>
        <w:rPr>
          <w:rFonts w:hint="eastAsia" w:ascii="Times New Roman" w:hAnsi="Times New Roman" w:eastAsia="方正仿宋简体" w:cs="Times New Roman"/>
          <w:sz w:val="24"/>
          <w:szCs w:val="30"/>
        </w:rPr>
        <w:t>（加盖公章</w:t>
      </w:r>
      <w:r>
        <w:rPr>
          <w:rFonts w:ascii="Times New Roman" w:hAnsi="Times New Roman" w:eastAsia="方正仿宋简体" w:cs="Times New Roman"/>
          <w:sz w:val="24"/>
          <w:szCs w:val="30"/>
        </w:rPr>
        <w:t>或董事会章</w:t>
      </w:r>
      <w:r>
        <w:rPr>
          <w:rFonts w:hint="eastAsia" w:ascii="Times New Roman" w:hAnsi="Times New Roman" w:eastAsia="方正仿宋简体" w:cs="Times New Roman"/>
          <w:sz w:val="24"/>
          <w:szCs w:val="30"/>
        </w:rPr>
        <w:t>）</w:t>
      </w:r>
    </w:p>
    <w:p>
      <w:pPr>
        <w:rPr>
          <w:rFonts w:ascii="Times New Roman" w:hAnsi="Times New Roman" w:eastAsia="仿宋" w:cs="Times New Roman"/>
          <w:sz w:val="24"/>
        </w:rPr>
      </w:pPr>
      <w:r>
        <w:rPr>
          <w:rFonts w:hint="eastAsia" w:ascii="Times New Roman" w:hAnsi="Times New Roman" w:eastAsia="仿宋" w:cs="Times New Roman"/>
          <w:sz w:val="24"/>
        </w:rPr>
        <w:t>填报日期：</w:t>
      </w:r>
    </w:p>
    <w:p>
      <w:pPr>
        <w:rPr>
          <w:rFonts w:ascii="Times New Roman" w:hAnsi="Times New Roman" w:eastAsia="仿宋" w:cs="Times New Roman"/>
          <w:sz w:val="24"/>
        </w:rPr>
      </w:pPr>
    </w:p>
    <w:p>
      <w:pPr>
        <w:rPr>
          <w:rFonts w:hint="eastAsia" w:ascii="Times New Roman" w:hAnsi="Times New Roman" w:eastAsia="仿宋" w:cs="Times New Roman"/>
          <w:sz w:val="24"/>
          <w:lang w:eastAsia="zh-CN"/>
        </w:rPr>
      </w:pPr>
      <w:r>
        <w:rPr>
          <w:rFonts w:hint="eastAsia" w:ascii="Times New Roman" w:hAnsi="Times New Roman" w:eastAsia="仿宋" w:cs="Times New Roman"/>
          <w:sz w:val="24"/>
        </w:rPr>
        <w:t>注：</w:t>
      </w:r>
      <w:r>
        <w:rPr>
          <w:rFonts w:ascii="Times New Roman" w:hAnsi="Times New Roman" w:eastAsia="仿宋" w:cs="Times New Roman"/>
          <w:sz w:val="24"/>
        </w:rPr>
        <w:t>1</w:t>
      </w:r>
      <w:r>
        <w:rPr>
          <w:rFonts w:hint="eastAsia" w:ascii="Times New Roman" w:hAnsi="Times New Roman" w:eastAsia="仿宋" w:cs="Times New Roman"/>
          <w:sz w:val="24"/>
        </w:rPr>
        <w:t>、本表所列项目仅为必备项目，上市公司可根据自身内幕信息管理的需要增加内容</w:t>
      </w:r>
      <w:r>
        <w:rPr>
          <w:rFonts w:hint="eastAsia" w:ascii="Times New Roman" w:hAnsi="Times New Roman" w:eastAsia="仿宋" w:cs="Times New Roman"/>
          <w:sz w:val="24"/>
          <w:lang w:val="en-US" w:eastAsia="zh-CN"/>
        </w:rPr>
        <w:t>；</w:t>
      </w:r>
    </w:p>
    <w:p>
      <w:pPr>
        <w:ind w:firstLine="480" w:firstLineChars="200"/>
        <w:rPr>
          <w:rFonts w:ascii="Times New Roman" w:hAnsi="Times New Roman" w:eastAsia="仿宋" w:cs="Times New Roman"/>
          <w:sz w:val="24"/>
        </w:rPr>
      </w:pPr>
      <w:r>
        <w:rPr>
          <w:rFonts w:ascii="Times New Roman" w:hAnsi="Times New Roman" w:eastAsia="仿宋" w:cs="Times New Roman"/>
          <w:sz w:val="24"/>
        </w:rPr>
        <w:t>2</w:t>
      </w:r>
      <w:r>
        <w:rPr>
          <w:rFonts w:hint="eastAsia" w:ascii="Times New Roman" w:hAnsi="Times New Roman" w:eastAsia="仿宋" w:cs="Times New Roman"/>
          <w:sz w:val="24"/>
        </w:rPr>
        <w:t>、内幕信息事项应当采取一事一记的方式，即每份内幕信息知情人登记表仅涉及一个内幕信息事项，不同内幕信息事项涉及的知情人档案应当分别记录；</w:t>
      </w:r>
    </w:p>
    <w:p>
      <w:pPr>
        <w:ind w:firstLine="480" w:firstLineChars="200"/>
        <w:rPr>
          <w:rFonts w:ascii="Times New Roman" w:hAnsi="Times New Roman" w:eastAsia="仿宋" w:cs="Times New Roman"/>
          <w:sz w:val="24"/>
        </w:rPr>
      </w:pPr>
      <w:r>
        <w:rPr>
          <w:rFonts w:ascii="Times New Roman" w:hAnsi="Times New Roman" w:eastAsia="仿宋" w:cs="Times New Roman"/>
          <w:sz w:val="24"/>
        </w:rPr>
        <w:t>3、填报获取内幕信息的方式，包括但不限于会谈、电话、传真、书面报告、电子邮件等；</w:t>
      </w:r>
    </w:p>
    <w:p>
      <w:pPr>
        <w:ind w:firstLine="480" w:firstLineChars="200"/>
        <w:rPr>
          <w:rFonts w:ascii="Times New Roman" w:hAnsi="Times New Roman" w:eastAsia="仿宋" w:cs="Times New Roman"/>
          <w:sz w:val="24"/>
        </w:rPr>
      </w:pPr>
      <w:r>
        <w:rPr>
          <w:rFonts w:ascii="Times New Roman" w:hAnsi="Times New Roman" w:eastAsia="仿宋" w:cs="Times New Roman"/>
          <w:sz w:val="24"/>
        </w:rPr>
        <w:t>4、填报各内幕信息知情人员所获知的内幕信息的内容，可根据需要添加附页进行详细说明；</w:t>
      </w:r>
    </w:p>
    <w:p>
      <w:pPr>
        <w:ind w:firstLine="480" w:firstLineChars="200"/>
        <w:rPr>
          <w:rFonts w:ascii="Times New Roman" w:hAnsi="Times New Roman" w:eastAsia="仿宋" w:cs="Times New Roman"/>
          <w:sz w:val="24"/>
        </w:rPr>
      </w:pPr>
      <w:r>
        <w:rPr>
          <w:rFonts w:ascii="Times New Roman" w:hAnsi="Times New Roman" w:eastAsia="仿宋" w:cs="Times New Roman"/>
          <w:sz w:val="24"/>
        </w:rPr>
        <w:t>5、填报内幕信息所处阶段，包括商议筹划，论证咨询，合同订立，公司内部的报告、传递、编制、决议等；</w:t>
      </w:r>
    </w:p>
    <w:p>
      <w:pPr>
        <w:ind w:firstLine="480" w:firstLineChars="200"/>
        <w:rPr>
          <w:rFonts w:ascii="Times New Roman" w:hAnsi="Times New Roman" w:eastAsia="仿宋" w:cs="Times New Roman"/>
          <w:sz w:val="24"/>
        </w:rPr>
      </w:pPr>
      <w:r>
        <w:rPr>
          <w:rFonts w:ascii="Times New Roman" w:hAnsi="Times New Roman" w:eastAsia="仿宋" w:cs="Times New Roman"/>
          <w:sz w:val="24"/>
        </w:rPr>
        <w:t>6</w:t>
      </w:r>
      <w:r>
        <w:rPr>
          <w:rFonts w:hint="eastAsia" w:ascii="Times New Roman" w:hAnsi="Times New Roman" w:eastAsia="仿宋" w:cs="Times New Roman"/>
          <w:sz w:val="24"/>
        </w:rPr>
        <w:t>、如为上市公司登记，填写上市公司登记人姓名；如为上市公司汇总，保留所汇总表格中原登记人姓名。</w:t>
      </w:r>
    </w:p>
    <w:p>
      <w:pPr>
        <w:ind w:firstLine="400" w:firstLineChars="200"/>
        <w:rPr>
          <w:rFonts w:ascii="Times New Roman" w:hAnsi="Times New Roman" w:eastAsia="仿宋" w:cs="Times New Roman"/>
        </w:rPr>
      </w:pPr>
      <w:r>
        <w:rPr>
          <w:rFonts w:ascii="Times New Roman" w:hAnsi="Times New Roman" w:eastAsia="仿宋" w:cs="Times New Roman"/>
        </w:rPr>
        <w:br w:type="page"/>
      </w:r>
    </w:p>
    <w:p>
      <w:pPr>
        <w:spacing w:line="600" w:lineRule="exact"/>
        <w:jc w:val="center"/>
        <w:rPr>
          <w:rFonts w:ascii="Times New Roman" w:hAnsi="Times New Roman" w:eastAsia="方正大标宋简体" w:cs="Times New Roman"/>
          <w:sz w:val="44"/>
          <w:szCs w:val="44"/>
        </w:rPr>
      </w:pPr>
      <w:r>
        <w:rPr>
          <w:rFonts w:hint="eastAsia" w:ascii="Times New Roman" w:hAnsi="Times New Roman" w:eastAsia="方正大标宋简体" w:cs="Times New Roman"/>
          <w:sz w:val="44"/>
          <w:szCs w:val="44"/>
        </w:rPr>
        <w:t>重大事项进程备忘录</w:t>
      </w:r>
    </w:p>
    <w:p>
      <w:pPr>
        <w:spacing w:line="560" w:lineRule="exact"/>
        <w:jc w:val="center"/>
        <w:rPr>
          <w:rFonts w:ascii="Times New Roman" w:hAnsi="Times New Roman" w:eastAsia="方正仿宋简体" w:cs="Times New Roman"/>
          <w:sz w:val="30"/>
          <w:szCs w:val="30"/>
        </w:rPr>
      </w:pPr>
    </w:p>
    <w:p>
      <w:pPr>
        <w:autoSpaceDE w:val="0"/>
        <w:autoSpaceDN w:val="0"/>
        <w:ind w:firstLine="240" w:firstLineChars="100"/>
        <w:rPr>
          <w:rFonts w:ascii="Times New Roman" w:hAnsi="Times New Roman" w:eastAsia="仿宋" w:cs="Times New Roman"/>
          <w:sz w:val="24"/>
        </w:rPr>
      </w:pPr>
      <w:r>
        <w:rPr>
          <w:rFonts w:hint="eastAsia" w:ascii="Times New Roman" w:hAnsi="Times New Roman" w:eastAsia="仿宋" w:cs="Times New Roman"/>
          <w:sz w:val="24"/>
        </w:rPr>
        <w:t>证券简称：</w:t>
      </w:r>
      <w:r>
        <w:rPr>
          <w:rFonts w:ascii="Times New Roman" w:hAnsi="Times New Roman" w:eastAsia="仿宋" w:cs="Times New Roman"/>
          <w:sz w:val="24"/>
        </w:rPr>
        <w:t xml:space="preserve">                                      </w:t>
      </w:r>
      <w:r>
        <w:rPr>
          <w:rFonts w:hint="eastAsia" w:ascii="Times New Roman" w:hAnsi="Times New Roman" w:eastAsia="仿宋" w:cs="Times New Roman"/>
          <w:sz w:val="24"/>
        </w:rPr>
        <w:t>证券代码：</w:t>
      </w:r>
    </w:p>
    <w:p>
      <w:pPr>
        <w:autoSpaceDE w:val="0"/>
        <w:autoSpaceDN w:val="0"/>
        <w:ind w:firstLine="240" w:firstLineChars="100"/>
        <w:rPr>
          <w:rFonts w:ascii="Times New Roman" w:hAnsi="Times New Roman" w:eastAsia="仿宋" w:cs="Times New Roman"/>
          <w:sz w:val="24"/>
        </w:rPr>
      </w:pPr>
      <w:r>
        <w:rPr>
          <w:rFonts w:hint="eastAsia" w:ascii="Times New Roman" w:hAnsi="Times New Roman" w:eastAsia="仿宋" w:cs="Times New Roman"/>
          <w:sz w:val="24"/>
        </w:rPr>
        <w:t>所涉重大事项简述：</w:t>
      </w:r>
      <w:r>
        <w:rPr>
          <w:rFonts w:ascii="Times New Roman" w:hAnsi="Times New Roman" w:eastAsia="仿宋" w:cs="Times New Roman"/>
          <w:sz w:val="24"/>
        </w:rPr>
        <w:t xml:space="preserve">        </w:t>
      </w:r>
    </w:p>
    <w:p>
      <w:pPr>
        <w:autoSpaceDE w:val="0"/>
        <w:autoSpaceDN w:val="0"/>
        <w:ind w:firstLine="240" w:firstLineChars="100"/>
        <w:rPr>
          <w:rFonts w:ascii="Times New Roman" w:hAnsi="Times New Roman" w:eastAsia="仿宋" w:cs="Times New Roman"/>
          <w:sz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1"/>
        <w:gridCol w:w="1992"/>
        <w:gridCol w:w="1682"/>
        <w:gridCol w:w="2304"/>
        <w:gridCol w:w="1993"/>
        <w:gridCol w:w="1993"/>
        <w:gridCol w:w="1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991" w:type="dxa"/>
            <w:shd w:val="clear" w:color="auto" w:fill="auto"/>
            <w:vAlign w:val="center"/>
          </w:tcPr>
          <w:p>
            <w:pPr>
              <w:widowControl w:val="0"/>
              <w:jc w:val="center"/>
              <w:rPr>
                <w:rFonts w:ascii="Times New Roman" w:hAnsi="Times New Roman" w:eastAsia="仿宋" w:cs="Times New Roman"/>
                <w:sz w:val="24"/>
                <w:szCs w:val="22"/>
              </w:rPr>
            </w:pPr>
            <w:r>
              <w:rPr>
                <w:rFonts w:hint="eastAsia" w:ascii="Times New Roman" w:hAnsi="Times New Roman" w:eastAsia="仿宋" w:cs="Times New Roman"/>
                <w:sz w:val="24"/>
              </w:rPr>
              <w:t>关键时点</w:t>
            </w:r>
          </w:p>
        </w:tc>
        <w:tc>
          <w:tcPr>
            <w:tcW w:w="1992" w:type="dxa"/>
            <w:shd w:val="clear" w:color="auto" w:fill="auto"/>
            <w:vAlign w:val="center"/>
          </w:tcPr>
          <w:p>
            <w:pPr>
              <w:widowControl w:val="0"/>
              <w:jc w:val="center"/>
              <w:rPr>
                <w:rFonts w:ascii="Times New Roman" w:hAnsi="Times New Roman" w:eastAsia="仿宋" w:cs="Times New Roman"/>
                <w:sz w:val="24"/>
                <w:szCs w:val="22"/>
              </w:rPr>
            </w:pPr>
            <w:r>
              <w:rPr>
                <w:rFonts w:hint="eastAsia" w:ascii="Times New Roman" w:hAnsi="Times New Roman" w:eastAsia="仿宋" w:cs="Times New Roman"/>
                <w:sz w:val="24"/>
              </w:rPr>
              <w:t>时间</w:t>
            </w:r>
          </w:p>
        </w:tc>
        <w:tc>
          <w:tcPr>
            <w:tcW w:w="1682" w:type="dxa"/>
            <w:shd w:val="clear" w:color="auto" w:fill="auto"/>
            <w:vAlign w:val="center"/>
          </w:tcPr>
          <w:p>
            <w:pPr>
              <w:widowControl w:val="0"/>
              <w:jc w:val="center"/>
              <w:rPr>
                <w:rFonts w:ascii="Times New Roman" w:hAnsi="Times New Roman" w:eastAsia="仿宋" w:cs="Times New Roman"/>
                <w:sz w:val="24"/>
                <w:szCs w:val="22"/>
              </w:rPr>
            </w:pPr>
            <w:r>
              <w:rPr>
                <w:rFonts w:hint="eastAsia" w:ascii="Times New Roman" w:hAnsi="Times New Roman" w:eastAsia="仿宋" w:cs="Times New Roman"/>
                <w:sz w:val="24"/>
              </w:rPr>
              <w:t>地点</w:t>
            </w:r>
          </w:p>
        </w:tc>
        <w:tc>
          <w:tcPr>
            <w:tcW w:w="2304" w:type="dxa"/>
            <w:shd w:val="clear" w:color="auto" w:fill="auto"/>
            <w:vAlign w:val="center"/>
          </w:tcPr>
          <w:p>
            <w:pPr>
              <w:widowControl w:val="0"/>
              <w:jc w:val="center"/>
              <w:rPr>
                <w:rFonts w:ascii="Times New Roman" w:hAnsi="Times New Roman" w:eastAsia="仿宋" w:cs="Times New Roman"/>
                <w:sz w:val="24"/>
                <w:szCs w:val="22"/>
              </w:rPr>
            </w:pPr>
            <w:r>
              <w:rPr>
                <w:rFonts w:hint="eastAsia" w:ascii="Times New Roman" w:hAnsi="Times New Roman" w:eastAsia="仿宋" w:cs="Times New Roman"/>
                <w:sz w:val="24"/>
              </w:rPr>
              <w:t>参与筹划决策人员</w:t>
            </w:r>
          </w:p>
        </w:tc>
        <w:tc>
          <w:tcPr>
            <w:tcW w:w="1993" w:type="dxa"/>
            <w:shd w:val="clear" w:color="auto" w:fill="auto"/>
            <w:vAlign w:val="center"/>
          </w:tcPr>
          <w:p>
            <w:pPr>
              <w:widowControl w:val="0"/>
              <w:jc w:val="center"/>
              <w:rPr>
                <w:rFonts w:ascii="Times New Roman" w:hAnsi="Times New Roman" w:eastAsia="仿宋" w:cs="Times New Roman"/>
                <w:sz w:val="24"/>
                <w:szCs w:val="22"/>
              </w:rPr>
            </w:pPr>
            <w:r>
              <w:rPr>
                <w:rFonts w:hint="eastAsia" w:ascii="Times New Roman" w:hAnsi="Times New Roman" w:eastAsia="仿宋" w:cs="Times New Roman"/>
                <w:sz w:val="24"/>
              </w:rPr>
              <w:t>筹划决策方式</w:t>
            </w:r>
          </w:p>
        </w:tc>
        <w:tc>
          <w:tcPr>
            <w:tcW w:w="1993" w:type="dxa"/>
            <w:shd w:val="clear" w:color="auto" w:fill="auto"/>
            <w:vAlign w:val="center"/>
          </w:tcPr>
          <w:p>
            <w:pPr>
              <w:widowControl w:val="0"/>
              <w:jc w:val="center"/>
              <w:rPr>
                <w:rFonts w:ascii="Times New Roman" w:hAnsi="Times New Roman" w:eastAsia="仿宋" w:cs="Times New Roman"/>
                <w:sz w:val="24"/>
                <w:szCs w:val="22"/>
              </w:rPr>
            </w:pPr>
            <w:r>
              <w:rPr>
                <w:rFonts w:hint="eastAsia" w:ascii="Times New Roman" w:hAnsi="Times New Roman" w:eastAsia="仿宋" w:cs="Times New Roman"/>
                <w:sz w:val="24"/>
              </w:rPr>
              <w:t>商议和决议内容</w:t>
            </w:r>
          </w:p>
        </w:tc>
        <w:tc>
          <w:tcPr>
            <w:tcW w:w="1993" w:type="dxa"/>
            <w:shd w:val="clear" w:color="auto" w:fill="auto"/>
            <w:vAlign w:val="center"/>
          </w:tcPr>
          <w:p>
            <w:pPr>
              <w:widowControl w:val="0"/>
              <w:jc w:val="center"/>
              <w:rPr>
                <w:rFonts w:ascii="Times New Roman" w:hAnsi="Times New Roman" w:eastAsia="仿宋" w:cs="Times New Roman"/>
                <w:sz w:val="24"/>
                <w:szCs w:val="22"/>
              </w:rPr>
            </w:pPr>
            <w:r>
              <w:rPr>
                <w:rFonts w:hint="eastAsia" w:ascii="Times New Roman" w:hAnsi="Times New Roman" w:eastAsia="仿宋" w:cs="Times New Roman"/>
                <w:sz w:val="24"/>
              </w:rPr>
              <w:t>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pPr>
              <w:widowControl w:val="0"/>
              <w:spacing w:line="560" w:lineRule="exact"/>
              <w:jc w:val="center"/>
              <w:rPr>
                <w:rFonts w:ascii="Times New Roman" w:hAnsi="Times New Roman" w:eastAsia="方正仿宋简体" w:cs="Times New Roman"/>
                <w:sz w:val="30"/>
                <w:szCs w:val="30"/>
              </w:rPr>
            </w:pPr>
          </w:p>
        </w:tc>
        <w:tc>
          <w:tcPr>
            <w:tcW w:w="1992" w:type="dxa"/>
          </w:tcPr>
          <w:p>
            <w:pPr>
              <w:widowControl w:val="0"/>
              <w:spacing w:line="560" w:lineRule="exact"/>
              <w:jc w:val="center"/>
              <w:rPr>
                <w:rFonts w:ascii="Times New Roman" w:hAnsi="Times New Roman" w:eastAsia="方正仿宋简体" w:cs="Times New Roman"/>
                <w:sz w:val="30"/>
                <w:szCs w:val="30"/>
              </w:rPr>
            </w:pPr>
          </w:p>
        </w:tc>
        <w:tc>
          <w:tcPr>
            <w:tcW w:w="1682" w:type="dxa"/>
          </w:tcPr>
          <w:p>
            <w:pPr>
              <w:widowControl w:val="0"/>
              <w:spacing w:line="560" w:lineRule="exact"/>
              <w:jc w:val="center"/>
              <w:rPr>
                <w:rFonts w:ascii="Times New Roman" w:hAnsi="Times New Roman" w:eastAsia="方正仿宋简体" w:cs="Times New Roman"/>
                <w:sz w:val="30"/>
                <w:szCs w:val="30"/>
              </w:rPr>
            </w:pPr>
          </w:p>
        </w:tc>
        <w:tc>
          <w:tcPr>
            <w:tcW w:w="2304" w:type="dxa"/>
          </w:tcPr>
          <w:p>
            <w:pPr>
              <w:widowControl w:val="0"/>
              <w:spacing w:line="560" w:lineRule="exact"/>
              <w:jc w:val="center"/>
              <w:rPr>
                <w:rFonts w:ascii="Times New Roman" w:hAnsi="Times New Roman" w:eastAsia="方正仿宋简体" w:cs="Times New Roman"/>
                <w:sz w:val="30"/>
                <w:szCs w:val="30"/>
              </w:rPr>
            </w:pPr>
          </w:p>
        </w:tc>
        <w:tc>
          <w:tcPr>
            <w:tcW w:w="1993" w:type="dxa"/>
          </w:tcPr>
          <w:p>
            <w:pPr>
              <w:widowControl w:val="0"/>
              <w:spacing w:line="560" w:lineRule="exact"/>
              <w:jc w:val="center"/>
              <w:rPr>
                <w:rFonts w:ascii="Times New Roman" w:hAnsi="Times New Roman" w:eastAsia="方正仿宋简体" w:cs="Times New Roman"/>
                <w:sz w:val="30"/>
                <w:szCs w:val="30"/>
              </w:rPr>
            </w:pPr>
          </w:p>
        </w:tc>
        <w:tc>
          <w:tcPr>
            <w:tcW w:w="1993" w:type="dxa"/>
          </w:tcPr>
          <w:p>
            <w:pPr>
              <w:widowControl w:val="0"/>
              <w:spacing w:line="560" w:lineRule="exact"/>
              <w:jc w:val="center"/>
              <w:rPr>
                <w:rFonts w:ascii="Times New Roman" w:hAnsi="Times New Roman" w:eastAsia="方正仿宋简体" w:cs="Times New Roman"/>
                <w:sz w:val="30"/>
                <w:szCs w:val="30"/>
              </w:rPr>
            </w:pPr>
          </w:p>
        </w:tc>
        <w:tc>
          <w:tcPr>
            <w:tcW w:w="1993" w:type="dxa"/>
          </w:tcPr>
          <w:p>
            <w:pPr>
              <w:widowControl w:val="0"/>
              <w:spacing w:line="560" w:lineRule="exact"/>
              <w:jc w:val="center"/>
              <w:rPr>
                <w:rFonts w:ascii="Times New Roman" w:hAnsi="Times New Roman" w:eastAsia="方正仿宋简体" w:cs="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pPr>
              <w:widowControl w:val="0"/>
              <w:spacing w:line="560" w:lineRule="exact"/>
              <w:jc w:val="center"/>
              <w:rPr>
                <w:rFonts w:ascii="Times New Roman" w:hAnsi="Times New Roman" w:eastAsia="方正仿宋简体" w:cs="Times New Roman"/>
                <w:sz w:val="30"/>
                <w:szCs w:val="30"/>
              </w:rPr>
            </w:pPr>
          </w:p>
        </w:tc>
        <w:tc>
          <w:tcPr>
            <w:tcW w:w="1992" w:type="dxa"/>
          </w:tcPr>
          <w:p>
            <w:pPr>
              <w:widowControl w:val="0"/>
              <w:spacing w:line="560" w:lineRule="exact"/>
              <w:jc w:val="center"/>
              <w:rPr>
                <w:rFonts w:ascii="Times New Roman" w:hAnsi="Times New Roman" w:eastAsia="方正仿宋简体" w:cs="Times New Roman"/>
                <w:sz w:val="30"/>
                <w:szCs w:val="30"/>
              </w:rPr>
            </w:pPr>
          </w:p>
        </w:tc>
        <w:tc>
          <w:tcPr>
            <w:tcW w:w="1682" w:type="dxa"/>
          </w:tcPr>
          <w:p>
            <w:pPr>
              <w:widowControl w:val="0"/>
              <w:spacing w:line="560" w:lineRule="exact"/>
              <w:jc w:val="center"/>
              <w:rPr>
                <w:rFonts w:ascii="Times New Roman" w:hAnsi="Times New Roman" w:eastAsia="方正仿宋简体" w:cs="Times New Roman"/>
                <w:sz w:val="30"/>
                <w:szCs w:val="30"/>
              </w:rPr>
            </w:pPr>
          </w:p>
        </w:tc>
        <w:tc>
          <w:tcPr>
            <w:tcW w:w="2304" w:type="dxa"/>
          </w:tcPr>
          <w:p>
            <w:pPr>
              <w:widowControl w:val="0"/>
              <w:spacing w:line="560" w:lineRule="exact"/>
              <w:jc w:val="center"/>
              <w:rPr>
                <w:rFonts w:ascii="Times New Roman" w:hAnsi="Times New Roman" w:eastAsia="方正仿宋简体" w:cs="Times New Roman"/>
                <w:sz w:val="30"/>
                <w:szCs w:val="30"/>
              </w:rPr>
            </w:pPr>
          </w:p>
        </w:tc>
        <w:tc>
          <w:tcPr>
            <w:tcW w:w="1993" w:type="dxa"/>
          </w:tcPr>
          <w:p>
            <w:pPr>
              <w:widowControl w:val="0"/>
              <w:spacing w:line="560" w:lineRule="exact"/>
              <w:jc w:val="center"/>
              <w:rPr>
                <w:rFonts w:ascii="Times New Roman" w:hAnsi="Times New Roman" w:eastAsia="方正仿宋简体" w:cs="Times New Roman"/>
                <w:sz w:val="30"/>
                <w:szCs w:val="30"/>
              </w:rPr>
            </w:pPr>
          </w:p>
        </w:tc>
        <w:tc>
          <w:tcPr>
            <w:tcW w:w="1993" w:type="dxa"/>
          </w:tcPr>
          <w:p>
            <w:pPr>
              <w:widowControl w:val="0"/>
              <w:spacing w:line="560" w:lineRule="exact"/>
              <w:jc w:val="center"/>
              <w:rPr>
                <w:rFonts w:ascii="Times New Roman" w:hAnsi="Times New Roman" w:eastAsia="方正仿宋简体" w:cs="Times New Roman"/>
                <w:sz w:val="30"/>
                <w:szCs w:val="30"/>
              </w:rPr>
            </w:pPr>
          </w:p>
        </w:tc>
        <w:tc>
          <w:tcPr>
            <w:tcW w:w="1993" w:type="dxa"/>
          </w:tcPr>
          <w:p>
            <w:pPr>
              <w:widowControl w:val="0"/>
              <w:spacing w:line="560" w:lineRule="exact"/>
              <w:jc w:val="center"/>
              <w:rPr>
                <w:rFonts w:ascii="Times New Roman" w:hAnsi="Times New Roman" w:eastAsia="方正仿宋简体" w:cs="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pPr>
              <w:widowControl w:val="0"/>
              <w:spacing w:line="560" w:lineRule="exact"/>
              <w:jc w:val="center"/>
              <w:rPr>
                <w:rFonts w:ascii="Times New Roman" w:hAnsi="Times New Roman" w:eastAsia="方正仿宋简体" w:cs="Times New Roman"/>
                <w:sz w:val="30"/>
                <w:szCs w:val="30"/>
              </w:rPr>
            </w:pPr>
          </w:p>
        </w:tc>
        <w:tc>
          <w:tcPr>
            <w:tcW w:w="1992" w:type="dxa"/>
          </w:tcPr>
          <w:p>
            <w:pPr>
              <w:widowControl w:val="0"/>
              <w:spacing w:line="560" w:lineRule="exact"/>
              <w:jc w:val="center"/>
              <w:rPr>
                <w:rFonts w:ascii="Times New Roman" w:hAnsi="Times New Roman" w:eastAsia="方正仿宋简体" w:cs="Times New Roman"/>
                <w:sz w:val="30"/>
                <w:szCs w:val="30"/>
              </w:rPr>
            </w:pPr>
          </w:p>
        </w:tc>
        <w:tc>
          <w:tcPr>
            <w:tcW w:w="1682" w:type="dxa"/>
          </w:tcPr>
          <w:p>
            <w:pPr>
              <w:widowControl w:val="0"/>
              <w:spacing w:line="560" w:lineRule="exact"/>
              <w:jc w:val="center"/>
              <w:rPr>
                <w:rFonts w:ascii="Times New Roman" w:hAnsi="Times New Roman" w:eastAsia="方正仿宋简体" w:cs="Times New Roman"/>
                <w:sz w:val="30"/>
                <w:szCs w:val="30"/>
              </w:rPr>
            </w:pPr>
          </w:p>
        </w:tc>
        <w:tc>
          <w:tcPr>
            <w:tcW w:w="2304" w:type="dxa"/>
          </w:tcPr>
          <w:p>
            <w:pPr>
              <w:widowControl w:val="0"/>
              <w:spacing w:line="560" w:lineRule="exact"/>
              <w:jc w:val="center"/>
              <w:rPr>
                <w:rFonts w:ascii="Times New Roman" w:hAnsi="Times New Roman" w:eastAsia="方正仿宋简体" w:cs="Times New Roman"/>
                <w:sz w:val="30"/>
                <w:szCs w:val="30"/>
              </w:rPr>
            </w:pPr>
          </w:p>
        </w:tc>
        <w:tc>
          <w:tcPr>
            <w:tcW w:w="1993" w:type="dxa"/>
          </w:tcPr>
          <w:p>
            <w:pPr>
              <w:widowControl w:val="0"/>
              <w:spacing w:line="560" w:lineRule="exact"/>
              <w:jc w:val="center"/>
              <w:rPr>
                <w:rFonts w:ascii="Times New Roman" w:hAnsi="Times New Roman" w:eastAsia="方正仿宋简体" w:cs="Times New Roman"/>
                <w:sz w:val="30"/>
                <w:szCs w:val="30"/>
              </w:rPr>
            </w:pPr>
          </w:p>
        </w:tc>
        <w:tc>
          <w:tcPr>
            <w:tcW w:w="1993" w:type="dxa"/>
          </w:tcPr>
          <w:p>
            <w:pPr>
              <w:widowControl w:val="0"/>
              <w:spacing w:line="560" w:lineRule="exact"/>
              <w:jc w:val="center"/>
              <w:rPr>
                <w:rFonts w:ascii="Times New Roman" w:hAnsi="Times New Roman" w:eastAsia="方正仿宋简体" w:cs="Times New Roman"/>
                <w:sz w:val="30"/>
                <w:szCs w:val="30"/>
              </w:rPr>
            </w:pPr>
          </w:p>
        </w:tc>
        <w:tc>
          <w:tcPr>
            <w:tcW w:w="1993" w:type="dxa"/>
          </w:tcPr>
          <w:p>
            <w:pPr>
              <w:widowControl w:val="0"/>
              <w:spacing w:line="560" w:lineRule="exact"/>
              <w:jc w:val="center"/>
              <w:rPr>
                <w:rFonts w:ascii="Times New Roman" w:hAnsi="Times New Roman" w:eastAsia="方正仿宋简体" w:cs="Times New Roman"/>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pPr>
              <w:widowControl w:val="0"/>
              <w:spacing w:line="560" w:lineRule="exact"/>
              <w:jc w:val="center"/>
              <w:rPr>
                <w:rFonts w:ascii="Times New Roman" w:hAnsi="Times New Roman" w:eastAsia="方正仿宋简体" w:cs="Times New Roman"/>
                <w:sz w:val="30"/>
                <w:szCs w:val="30"/>
              </w:rPr>
            </w:pPr>
          </w:p>
        </w:tc>
        <w:tc>
          <w:tcPr>
            <w:tcW w:w="1992" w:type="dxa"/>
          </w:tcPr>
          <w:p>
            <w:pPr>
              <w:widowControl w:val="0"/>
              <w:spacing w:line="560" w:lineRule="exact"/>
              <w:jc w:val="center"/>
              <w:rPr>
                <w:rFonts w:ascii="Times New Roman" w:hAnsi="Times New Roman" w:eastAsia="方正仿宋简体" w:cs="Times New Roman"/>
                <w:sz w:val="30"/>
                <w:szCs w:val="30"/>
              </w:rPr>
            </w:pPr>
          </w:p>
        </w:tc>
        <w:tc>
          <w:tcPr>
            <w:tcW w:w="1682" w:type="dxa"/>
          </w:tcPr>
          <w:p>
            <w:pPr>
              <w:widowControl w:val="0"/>
              <w:spacing w:line="560" w:lineRule="exact"/>
              <w:jc w:val="center"/>
              <w:rPr>
                <w:rFonts w:ascii="Times New Roman" w:hAnsi="Times New Roman" w:eastAsia="方正仿宋简体" w:cs="Times New Roman"/>
                <w:sz w:val="30"/>
                <w:szCs w:val="30"/>
              </w:rPr>
            </w:pPr>
          </w:p>
        </w:tc>
        <w:tc>
          <w:tcPr>
            <w:tcW w:w="2304" w:type="dxa"/>
          </w:tcPr>
          <w:p>
            <w:pPr>
              <w:widowControl w:val="0"/>
              <w:spacing w:line="560" w:lineRule="exact"/>
              <w:jc w:val="center"/>
              <w:rPr>
                <w:rFonts w:ascii="Times New Roman" w:hAnsi="Times New Roman" w:eastAsia="方正仿宋简体" w:cs="Times New Roman"/>
                <w:sz w:val="30"/>
                <w:szCs w:val="30"/>
              </w:rPr>
            </w:pPr>
          </w:p>
        </w:tc>
        <w:tc>
          <w:tcPr>
            <w:tcW w:w="1993" w:type="dxa"/>
          </w:tcPr>
          <w:p>
            <w:pPr>
              <w:widowControl w:val="0"/>
              <w:spacing w:line="560" w:lineRule="exact"/>
              <w:jc w:val="center"/>
              <w:rPr>
                <w:rFonts w:ascii="Times New Roman" w:hAnsi="Times New Roman" w:eastAsia="方正仿宋简体" w:cs="Times New Roman"/>
                <w:sz w:val="30"/>
                <w:szCs w:val="30"/>
              </w:rPr>
            </w:pPr>
          </w:p>
        </w:tc>
        <w:tc>
          <w:tcPr>
            <w:tcW w:w="1993" w:type="dxa"/>
          </w:tcPr>
          <w:p>
            <w:pPr>
              <w:widowControl w:val="0"/>
              <w:spacing w:line="560" w:lineRule="exact"/>
              <w:jc w:val="center"/>
              <w:rPr>
                <w:rFonts w:ascii="Times New Roman" w:hAnsi="Times New Roman" w:eastAsia="方正仿宋简体" w:cs="Times New Roman"/>
                <w:sz w:val="30"/>
                <w:szCs w:val="30"/>
              </w:rPr>
            </w:pPr>
          </w:p>
        </w:tc>
        <w:tc>
          <w:tcPr>
            <w:tcW w:w="1993" w:type="dxa"/>
          </w:tcPr>
          <w:p>
            <w:pPr>
              <w:widowControl w:val="0"/>
              <w:spacing w:line="560" w:lineRule="exact"/>
              <w:jc w:val="center"/>
              <w:rPr>
                <w:rFonts w:ascii="Times New Roman" w:hAnsi="Times New Roman" w:eastAsia="方正仿宋简体" w:cs="Times New Roman"/>
                <w:sz w:val="30"/>
                <w:szCs w:val="30"/>
              </w:rPr>
            </w:pPr>
          </w:p>
        </w:tc>
      </w:tr>
    </w:tbl>
    <w:p>
      <w:pPr>
        <w:ind w:firstLine="480" w:firstLineChars="200"/>
        <w:rPr>
          <w:rFonts w:ascii="Times New Roman" w:hAnsi="Times New Roman" w:eastAsia="仿宋" w:cs="Times New Roman"/>
          <w:sz w:val="24"/>
        </w:rPr>
      </w:pPr>
    </w:p>
    <w:p>
      <w:pPr>
        <w:spacing w:line="560" w:lineRule="exact"/>
        <w:ind w:right="600"/>
        <w:rPr>
          <w:rFonts w:ascii="Times New Roman" w:hAnsi="Times New Roman" w:eastAsia="方正仿宋简体" w:cs="Times New Roman"/>
          <w:sz w:val="24"/>
          <w:szCs w:val="30"/>
        </w:rPr>
      </w:pPr>
      <w:r>
        <w:rPr>
          <w:rFonts w:hint="eastAsia" w:ascii="Times New Roman" w:hAnsi="Times New Roman" w:eastAsia="方正仿宋简体" w:cs="Times New Roman"/>
          <w:sz w:val="24"/>
          <w:szCs w:val="30"/>
        </w:rPr>
        <w:t>法定代表人签名：</w:t>
      </w:r>
      <w:r>
        <w:rPr>
          <w:rFonts w:ascii="Times New Roman" w:hAnsi="Times New Roman" w:eastAsia="方正仿宋简体" w:cs="Times New Roman"/>
          <w:sz w:val="24"/>
          <w:szCs w:val="30"/>
        </w:rPr>
        <w:t xml:space="preserve">                   </w:t>
      </w:r>
    </w:p>
    <w:p>
      <w:pPr>
        <w:ind w:right="1200"/>
        <w:rPr>
          <w:rFonts w:ascii="Times New Roman" w:hAnsi="Times New Roman" w:eastAsia="方正仿宋简体" w:cs="Times New Roman"/>
          <w:sz w:val="24"/>
          <w:szCs w:val="30"/>
        </w:rPr>
      </w:pPr>
      <w:r>
        <w:rPr>
          <w:rFonts w:hint="eastAsia" w:ascii="Times New Roman" w:hAnsi="Times New Roman" w:eastAsia="方正仿宋简体" w:cs="Times New Roman"/>
          <w:sz w:val="24"/>
          <w:szCs w:val="30"/>
        </w:rPr>
        <w:t>（加盖公章</w:t>
      </w:r>
      <w:r>
        <w:rPr>
          <w:rFonts w:ascii="Times New Roman" w:hAnsi="Times New Roman" w:eastAsia="方正仿宋简体" w:cs="Times New Roman"/>
          <w:sz w:val="24"/>
          <w:szCs w:val="30"/>
        </w:rPr>
        <w:t>或董事会章</w:t>
      </w:r>
      <w:r>
        <w:rPr>
          <w:rFonts w:hint="eastAsia" w:ascii="Times New Roman" w:hAnsi="Times New Roman" w:eastAsia="方正仿宋简体" w:cs="Times New Roman"/>
          <w:sz w:val="24"/>
          <w:szCs w:val="30"/>
        </w:rPr>
        <w:t>）</w:t>
      </w:r>
    </w:p>
    <w:p>
      <w:pPr>
        <w:ind w:right="1200"/>
        <w:rPr>
          <w:sz w:val="18"/>
        </w:rPr>
      </w:pPr>
    </w:p>
    <w:p>
      <w:pPr>
        <w:rPr>
          <w:rFonts w:ascii="Times New Roman" w:hAnsi="Times New Roman" w:eastAsia="仿宋" w:cs="Times New Roman"/>
          <w:sz w:val="24"/>
        </w:rPr>
      </w:pPr>
      <w:r>
        <w:rPr>
          <w:rFonts w:hint="eastAsia" w:ascii="Times New Roman" w:hAnsi="Times New Roman" w:eastAsia="仿宋" w:cs="Times New Roman"/>
          <w:sz w:val="24"/>
        </w:rPr>
        <w:t>注：</w:t>
      </w:r>
      <w:r>
        <w:rPr>
          <w:rFonts w:ascii="Times New Roman" w:hAnsi="Times New Roman" w:eastAsia="仿宋" w:cs="Times New Roman"/>
          <w:sz w:val="24"/>
        </w:rPr>
        <w:t>1</w:t>
      </w:r>
      <w:r>
        <w:rPr>
          <w:rFonts w:hint="eastAsia" w:ascii="Times New Roman" w:hAnsi="Times New Roman" w:eastAsia="仿宋" w:cs="Times New Roman"/>
          <w:sz w:val="24"/>
        </w:rPr>
        <w:t>、本表所列项目仅为必备项目，上市公司可根据自身内幕信息管理的需要增加内容。</w:t>
      </w:r>
    </w:p>
    <w:p>
      <w:pPr>
        <w:ind w:firstLine="480" w:firstLineChars="200"/>
        <w:rPr>
          <w:rFonts w:ascii="Times New Roman" w:hAnsi="Times New Roman" w:eastAsia="仿宋" w:cs="Times New Roman"/>
          <w:sz w:val="24"/>
        </w:rPr>
      </w:pPr>
      <w:r>
        <w:rPr>
          <w:rFonts w:ascii="Times New Roman" w:hAnsi="Times New Roman" w:eastAsia="仿宋" w:cs="Times New Roman"/>
          <w:sz w:val="24"/>
        </w:rPr>
        <w:t>2</w:t>
      </w:r>
      <w:r>
        <w:rPr>
          <w:rFonts w:hint="eastAsia" w:ascii="Times New Roman" w:hAnsi="Times New Roman" w:eastAsia="仿宋" w:cs="Times New Roman"/>
          <w:sz w:val="24"/>
        </w:rPr>
        <w:t>、重大事项进程备忘录涉及的相关人员应当在备忘录上签名确认。</w:t>
      </w:r>
    </w:p>
    <w:p>
      <w:pPr>
        <w:ind w:firstLine="480" w:firstLineChars="200"/>
        <w:rPr>
          <w:rFonts w:ascii="Times New Roman" w:hAnsi="Times New Roman" w:eastAsia="仿宋" w:cs="Times New Roman"/>
          <w:sz w:val="24"/>
        </w:rPr>
      </w:pPr>
    </w:p>
    <w:p>
      <w:pPr>
        <w:ind w:firstLine="480" w:firstLineChars="200"/>
        <w:rPr>
          <w:rFonts w:ascii="Times New Roman" w:hAnsi="Times New Roman" w:eastAsia="仿宋" w:cs="Times New Roman"/>
          <w:sz w:val="24"/>
        </w:rPr>
      </w:pPr>
    </w:p>
    <w:p>
      <w:pPr>
        <w:rPr>
          <w:rFonts w:ascii="Times New Roman" w:hAnsi="Times New Roman" w:eastAsia="仿宋" w:cs="Times New Roman"/>
          <w:bCs/>
          <w:kern w:val="2"/>
          <w:sz w:val="32"/>
          <w:szCs w:val="32"/>
        </w:rPr>
      </w:pPr>
    </w:p>
    <w:p>
      <w:pPr>
        <w:snapToGrid w:val="0"/>
        <w:spacing w:line="400" w:lineRule="exact"/>
        <w:rPr>
          <w:lang w:val="en-US" w:eastAsia="zh-CN"/>
        </w:rPr>
      </w:pPr>
    </w:p>
    <w:sectPr>
      <w:footerReference r:id="rId7" w:type="default"/>
      <w:pgSz w:w="16837" w:h="11905" w:orient="landscape"/>
      <w:pgMar w:top="1800" w:right="1440" w:bottom="1800" w:left="1440" w:header="720" w:footer="720" w:gutter="0"/>
      <w:pgNumType w:fmt="numberInDash"/>
      <w:cols w:space="0" w:num="1"/>
      <w:rtlGutter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Cambria">
    <w:altName w:val="Noto Sans Syriac Eastern"/>
    <w:panose1 w:val="02040503050406030204"/>
    <w:charset w:val="00"/>
    <w:family w:val="roman"/>
    <w:pitch w:val="default"/>
    <w:sig w:usb0="00000000" w:usb1="00000000" w:usb2="00000000" w:usb3="00000000" w:csb0="2000019F"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仿宋简体">
    <w:altName w:val="方正仿宋_GBK"/>
    <w:panose1 w:val="02010601030101010101"/>
    <w:charset w:val="86"/>
    <w:family w:val="auto"/>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Noto Sans Syriac Eastern">
    <w:panose1 w:val="02040503050306020203"/>
    <w:charset w:val="86"/>
    <w:family w:val="auto"/>
    <w:pitch w:val="default"/>
    <w:sig w:usb0="00000000" w:usb1="00000000" w:usb2="00000080" w:usb3="00000000" w:csb0="203E0161" w:csb1="D7FF0000"/>
  </w:font>
  <w:font w:name="方正宋体S-超大字符集">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03094472"/>
      <w:docPartObj>
        <w:docPartGallery w:val="autotext"/>
      </w:docPartObj>
    </w:sdtPr>
    <w:sdtEndPr>
      <w:rPr>
        <w:rFonts w:asciiTheme="minorEastAsia" w:hAnsiTheme="minorEastAsia"/>
        <w:sz w:val="28"/>
      </w:rPr>
    </w:sdtEndPr>
    <w:sdtContent>
      <w:p>
        <w:pPr>
          <w:pStyle w:val="6"/>
          <w:jc w:val="right"/>
          <w:rPr>
            <w:rFonts w:asciiTheme="minorEastAsia" w:hAnsiTheme="minorEastAsia"/>
            <w:sz w:val="28"/>
          </w:rPr>
        </w:pPr>
        <w:r>
          <w:rPr>
            <w:rFonts w:asciiTheme="minorEastAsia" w:hAnsiTheme="minorEastAsia"/>
            <w:sz w:val="28"/>
          </w:rPr>
          <w:fldChar w:fldCharType="begin"/>
        </w:r>
        <w:r>
          <w:rPr>
            <w:rFonts w:asciiTheme="minorEastAsia" w:hAnsiTheme="minorEastAsia"/>
            <w:sz w:val="28"/>
          </w:rPr>
          <w:instrText xml:space="preserve">PAGE   \* MERGEFORMAT</w:instrText>
        </w:r>
        <w:r>
          <w:rPr>
            <w:rFonts w:asciiTheme="minorEastAsia" w:hAnsiTheme="minorEastAsia"/>
            <w:sz w:val="28"/>
          </w:rPr>
          <w:fldChar w:fldCharType="separate"/>
        </w:r>
        <w:r>
          <w:rPr>
            <w:rFonts w:asciiTheme="minorEastAsia" w:hAnsiTheme="minorEastAsia"/>
            <w:sz w:val="28"/>
            <w:lang w:val="zh-CN"/>
          </w:rPr>
          <w:t>-</w:t>
        </w:r>
        <w:r>
          <w:rPr>
            <w:rFonts w:asciiTheme="minorEastAsia" w:hAnsiTheme="minorEastAsia"/>
            <w:sz w:val="28"/>
          </w:rPr>
          <w:t xml:space="preserve"> 1 -</w:t>
        </w:r>
        <w:r>
          <w:rPr>
            <w:rFonts w:asciiTheme="minorEastAsia" w:hAnsiTheme="minorEastAsia"/>
            <w:sz w:val="28"/>
          </w:rPr>
          <w:fldChar w:fldCharType="end"/>
        </w:r>
      </w:p>
    </w:sdtContent>
  </w:sdt>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6650019"/>
      <w:docPartObj>
        <w:docPartGallery w:val="autotext"/>
      </w:docPartObj>
    </w:sdtPr>
    <w:sdtEndPr>
      <w:rPr>
        <w:rFonts w:asciiTheme="minorEastAsia" w:hAnsiTheme="minorEastAsia"/>
        <w:sz w:val="28"/>
      </w:rPr>
    </w:sdtEndPr>
    <w:sdtContent>
      <w:p>
        <w:pPr>
          <w:pStyle w:val="6"/>
          <w:rPr>
            <w:rFonts w:asciiTheme="minorEastAsia" w:hAnsiTheme="minorEastAsia"/>
            <w:sz w:val="28"/>
          </w:rPr>
        </w:pPr>
        <w:r>
          <w:rPr>
            <w:rFonts w:asciiTheme="minorEastAsia" w:hAnsiTheme="minorEastAsia"/>
            <w:sz w:val="28"/>
          </w:rPr>
          <w:fldChar w:fldCharType="begin"/>
        </w:r>
        <w:r>
          <w:rPr>
            <w:rFonts w:asciiTheme="minorEastAsia" w:hAnsiTheme="minorEastAsia"/>
            <w:sz w:val="28"/>
          </w:rPr>
          <w:instrText xml:space="preserve">PAGE   \* MERGEFORMAT</w:instrText>
        </w:r>
        <w:r>
          <w:rPr>
            <w:rFonts w:asciiTheme="minorEastAsia" w:hAnsiTheme="minorEastAsia"/>
            <w:sz w:val="28"/>
          </w:rPr>
          <w:fldChar w:fldCharType="separate"/>
        </w:r>
        <w:r>
          <w:rPr>
            <w:rFonts w:asciiTheme="minorEastAsia" w:hAnsiTheme="minorEastAsia"/>
            <w:sz w:val="28"/>
            <w:lang w:val="zh-CN"/>
          </w:rPr>
          <w:t>-</w:t>
        </w:r>
        <w:r>
          <w:rPr>
            <w:rFonts w:asciiTheme="minorEastAsia" w:hAnsiTheme="minorEastAsia"/>
            <w:sz w:val="28"/>
          </w:rPr>
          <w:t xml:space="preserve"> 8 -</w:t>
        </w:r>
        <w:r>
          <w:rPr>
            <w:rFonts w:asciiTheme="minorEastAsia" w:hAnsiTheme="minorEastAsia"/>
            <w:sz w:val="28"/>
          </w:rPr>
          <w:fldChar w:fldCharType="end"/>
        </w:r>
      </w:p>
    </w:sdtContent>
  </w:sdt>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0726772"/>
      <w:docPartObj>
        <w:docPartGallery w:val="autotext"/>
      </w:docPartObj>
    </w:sdtPr>
    <w:sdtEndPr>
      <w:rPr>
        <w:rFonts w:asciiTheme="minorEastAsia" w:hAnsiTheme="minorEastAsia"/>
        <w:sz w:val="28"/>
        <w:szCs w:val="28"/>
      </w:rPr>
    </w:sdtEndPr>
    <w:sdtContent>
      <w:p>
        <w:pPr>
          <w:pStyle w:val="6"/>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9 -</w:t>
        </w:r>
        <w:r>
          <w:rPr>
            <w:rFonts w:asciiTheme="minorEastAsia" w:hAnsiTheme="minorEastAsia"/>
            <w:sz w:val="28"/>
            <w:szCs w:val="28"/>
          </w:rPr>
          <w:fldChar w:fldCharType="end"/>
        </w:r>
      </w:p>
    </w:sdtContent>
  </w:sdt>
  <w:p>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7497444"/>
      <w:docPartObj>
        <w:docPartGallery w:val="autotext"/>
      </w:docPartObj>
    </w:sdtPr>
    <w:sdtEndPr>
      <w:rPr>
        <w:rFonts w:asciiTheme="minorEastAsia" w:hAnsiTheme="minorEastAsia"/>
        <w:sz w:val="28"/>
        <w:szCs w:val="28"/>
      </w:rPr>
    </w:sdtEndPr>
    <w:sdtContent>
      <w:p>
        <w:pPr>
          <w:pStyle w:val="6"/>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10 -</w:t>
        </w:r>
        <w:r>
          <w:rPr>
            <w:rFonts w:asciiTheme="minorEastAsia" w:hAnsiTheme="minorEastAsia"/>
            <w:sz w:val="28"/>
            <w:szCs w:val="28"/>
          </w:rPr>
          <w:fldChar w:fldCharType="end"/>
        </w:r>
      </w:p>
    </w:sdtContent>
  </w:sdt>
  <w:p>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36247995"/>
      <w:docPartObj>
        <w:docPartGallery w:val="autotext"/>
      </w:docPartObj>
    </w:sdtPr>
    <w:sdtEndPr>
      <w:rPr>
        <w:rFonts w:asciiTheme="minorEastAsia" w:hAnsiTheme="minorEastAsia"/>
        <w:sz w:val="28"/>
        <w:szCs w:val="28"/>
      </w:rPr>
    </w:sdtEndPr>
    <w:sdtContent>
      <w:p>
        <w:pPr>
          <w:pStyle w:val="6"/>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11 -</w:t>
        </w:r>
        <w:r>
          <w:rPr>
            <w:rFonts w:asciiTheme="minorEastAsia" w:hAnsiTheme="minorEastAsia"/>
            <w:sz w:val="28"/>
            <w:szCs w:val="28"/>
          </w:rPr>
          <w:fldChar w:fldCharType="end"/>
        </w:r>
      </w:p>
    </w:sdtContent>
  </w:sdt>
  <w:p>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true"/>
  <w:bordersDoNotSurroundHeader w:val="true"/>
  <w:bordersDoNotSurroundFooter w:val="true"/>
  <w:documentProtection w:enforcement="0"/>
  <w:defaultTabStop w:val="708"/>
  <w:hyphenationZone w:val="425"/>
  <w:evenAndOddHeaders w:val="true"/>
  <w:drawingGridHorizontalSpacing w:val="100"/>
  <w:drawingGridVerticalSpacing w:val="156"/>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ZmN2I5MWE0MzUyZjk4MjY1NjBkNGNmYzFkNzIwYzQifQ=="/>
  </w:docVars>
  <w:rsids>
    <w:rsidRoot w:val="00AF7705"/>
    <w:rsid w:val="00012060"/>
    <w:rsid w:val="00017669"/>
    <w:rsid w:val="00024BD9"/>
    <w:rsid w:val="0002521A"/>
    <w:rsid w:val="0003365A"/>
    <w:rsid w:val="00047AE4"/>
    <w:rsid w:val="00067F9B"/>
    <w:rsid w:val="00071B51"/>
    <w:rsid w:val="000820F6"/>
    <w:rsid w:val="000A4994"/>
    <w:rsid w:val="000A5813"/>
    <w:rsid w:val="000B1384"/>
    <w:rsid w:val="000C05E1"/>
    <w:rsid w:val="000C52A2"/>
    <w:rsid w:val="000D2CBC"/>
    <w:rsid w:val="000D3D43"/>
    <w:rsid w:val="000F2538"/>
    <w:rsid w:val="001132EE"/>
    <w:rsid w:val="001165F4"/>
    <w:rsid w:val="0016756B"/>
    <w:rsid w:val="00182A88"/>
    <w:rsid w:val="001858E6"/>
    <w:rsid w:val="001A7C12"/>
    <w:rsid w:val="001C5C8F"/>
    <w:rsid w:val="001D26EE"/>
    <w:rsid w:val="001E34B4"/>
    <w:rsid w:val="00202135"/>
    <w:rsid w:val="00210920"/>
    <w:rsid w:val="002206A4"/>
    <w:rsid w:val="0024761B"/>
    <w:rsid w:val="0025140C"/>
    <w:rsid w:val="00265B2C"/>
    <w:rsid w:val="002C2399"/>
    <w:rsid w:val="002D1215"/>
    <w:rsid w:val="002D71E9"/>
    <w:rsid w:val="002E0C2E"/>
    <w:rsid w:val="002E3D47"/>
    <w:rsid w:val="002F4B7D"/>
    <w:rsid w:val="00301438"/>
    <w:rsid w:val="00386C44"/>
    <w:rsid w:val="00386F67"/>
    <w:rsid w:val="003A3E0D"/>
    <w:rsid w:val="003B25A3"/>
    <w:rsid w:val="003B4736"/>
    <w:rsid w:val="003B7E54"/>
    <w:rsid w:val="003C7509"/>
    <w:rsid w:val="003E7EB5"/>
    <w:rsid w:val="003F5703"/>
    <w:rsid w:val="003F7F23"/>
    <w:rsid w:val="0040054E"/>
    <w:rsid w:val="004074D7"/>
    <w:rsid w:val="00424284"/>
    <w:rsid w:val="00430489"/>
    <w:rsid w:val="0043278C"/>
    <w:rsid w:val="00440E9D"/>
    <w:rsid w:val="0045654F"/>
    <w:rsid w:val="0046561F"/>
    <w:rsid w:val="00466D63"/>
    <w:rsid w:val="0047551E"/>
    <w:rsid w:val="00480B0B"/>
    <w:rsid w:val="00491C4A"/>
    <w:rsid w:val="004A1112"/>
    <w:rsid w:val="004A3585"/>
    <w:rsid w:val="004A6502"/>
    <w:rsid w:val="004C2C30"/>
    <w:rsid w:val="004D0DA8"/>
    <w:rsid w:val="00515A01"/>
    <w:rsid w:val="005311D2"/>
    <w:rsid w:val="00552D12"/>
    <w:rsid w:val="00561AE7"/>
    <w:rsid w:val="00572A92"/>
    <w:rsid w:val="00575315"/>
    <w:rsid w:val="00597866"/>
    <w:rsid w:val="005A2E5B"/>
    <w:rsid w:val="005A6332"/>
    <w:rsid w:val="005F7901"/>
    <w:rsid w:val="006039D6"/>
    <w:rsid w:val="0064313E"/>
    <w:rsid w:val="00653691"/>
    <w:rsid w:val="00663674"/>
    <w:rsid w:val="0066537A"/>
    <w:rsid w:val="0067391F"/>
    <w:rsid w:val="006740C6"/>
    <w:rsid w:val="0068493C"/>
    <w:rsid w:val="006B098D"/>
    <w:rsid w:val="006C336D"/>
    <w:rsid w:val="006D3712"/>
    <w:rsid w:val="006D4DE0"/>
    <w:rsid w:val="006E543B"/>
    <w:rsid w:val="0071514F"/>
    <w:rsid w:val="0072764D"/>
    <w:rsid w:val="00735297"/>
    <w:rsid w:val="00735CF4"/>
    <w:rsid w:val="007841ED"/>
    <w:rsid w:val="00791A4A"/>
    <w:rsid w:val="00795BA5"/>
    <w:rsid w:val="007B4BC6"/>
    <w:rsid w:val="007D3DFF"/>
    <w:rsid w:val="007E5B04"/>
    <w:rsid w:val="007F354C"/>
    <w:rsid w:val="007F4124"/>
    <w:rsid w:val="007F6488"/>
    <w:rsid w:val="00805A98"/>
    <w:rsid w:val="00811BF5"/>
    <w:rsid w:val="00812D2A"/>
    <w:rsid w:val="00821850"/>
    <w:rsid w:val="008318DE"/>
    <w:rsid w:val="00845150"/>
    <w:rsid w:val="00846214"/>
    <w:rsid w:val="008619FA"/>
    <w:rsid w:val="008710BE"/>
    <w:rsid w:val="00873B3E"/>
    <w:rsid w:val="00891B23"/>
    <w:rsid w:val="00893E79"/>
    <w:rsid w:val="00896B06"/>
    <w:rsid w:val="008C3F2A"/>
    <w:rsid w:val="008D6A16"/>
    <w:rsid w:val="00900765"/>
    <w:rsid w:val="009128AC"/>
    <w:rsid w:val="00921DA8"/>
    <w:rsid w:val="0092595D"/>
    <w:rsid w:val="009334CC"/>
    <w:rsid w:val="00940C0F"/>
    <w:rsid w:val="00990F8A"/>
    <w:rsid w:val="009F1C31"/>
    <w:rsid w:val="00A053B3"/>
    <w:rsid w:val="00A32835"/>
    <w:rsid w:val="00A43A7D"/>
    <w:rsid w:val="00A540E3"/>
    <w:rsid w:val="00A565F5"/>
    <w:rsid w:val="00A60939"/>
    <w:rsid w:val="00AA3DCD"/>
    <w:rsid w:val="00AA7D8A"/>
    <w:rsid w:val="00AB05B6"/>
    <w:rsid w:val="00AC555A"/>
    <w:rsid w:val="00AF7705"/>
    <w:rsid w:val="00B2193C"/>
    <w:rsid w:val="00B264FD"/>
    <w:rsid w:val="00B57B5D"/>
    <w:rsid w:val="00B57DB4"/>
    <w:rsid w:val="00B627C0"/>
    <w:rsid w:val="00B7586A"/>
    <w:rsid w:val="00B77C46"/>
    <w:rsid w:val="00B85E1E"/>
    <w:rsid w:val="00B97B2D"/>
    <w:rsid w:val="00BC02A3"/>
    <w:rsid w:val="00BD0E0B"/>
    <w:rsid w:val="00BD2D84"/>
    <w:rsid w:val="00BD634E"/>
    <w:rsid w:val="00BF69F9"/>
    <w:rsid w:val="00C15D00"/>
    <w:rsid w:val="00C24DC9"/>
    <w:rsid w:val="00C26A5F"/>
    <w:rsid w:val="00C531F2"/>
    <w:rsid w:val="00C547C9"/>
    <w:rsid w:val="00C7266C"/>
    <w:rsid w:val="00C92A45"/>
    <w:rsid w:val="00CC50D0"/>
    <w:rsid w:val="00CD3978"/>
    <w:rsid w:val="00CE6368"/>
    <w:rsid w:val="00CF684E"/>
    <w:rsid w:val="00D00E89"/>
    <w:rsid w:val="00D538EE"/>
    <w:rsid w:val="00D5615E"/>
    <w:rsid w:val="00D56C05"/>
    <w:rsid w:val="00D578AC"/>
    <w:rsid w:val="00D87E10"/>
    <w:rsid w:val="00D9137F"/>
    <w:rsid w:val="00DA092E"/>
    <w:rsid w:val="00DE16E4"/>
    <w:rsid w:val="00E30BF4"/>
    <w:rsid w:val="00E379AB"/>
    <w:rsid w:val="00E46CA7"/>
    <w:rsid w:val="00E73772"/>
    <w:rsid w:val="00E77DFA"/>
    <w:rsid w:val="00E9335D"/>
    <w:rsid w:val="00ED4382"/>
    <w:rsid w:val="00F018F1"/>
    <w:rsid w:val="00F057C1"/>
    <w:rsid w:val="00F15F4D"/>
    <w:rsid w:val="00F15F97"/>
    <w:rsid w:val="00F17376"/>
    <w:rsid w:val="00F248A2"/>
    <w:rsid w:val="00F64ED2"/>
    <w:rsid w:val="00F7076D"/>
    <w:rsid w:val="00FA2C98"/>
    <w:rsid w:val="00FD4FB9"/>
    <w:rsid w:val="0A8E59EC"/>
    <w:rsid w:val="0B2E053A"/>
    <w:rsid w:val="1F2550BE"/>
    <w:rsid w:val="2AF32750"/>
    <w:rsid w:val="2BD73E1E"/>
    <w:rsid w:val="2BE2190C"/>
    <w:rsid w:val="34403A44"/>
    <w:rsid w:val="35C3724C"/>
    <w:rsid w:val="37AFAC5F"/>
    <w:rsid w:val="3AB7BE1B"/>
    <w:rsid w:val="3BD308A9"/>
    <w:rsid w:val="45F615BE"/>
    <w:rsid w:val="4A725749"/>
    <w:rsid w:val="56A5024E"/>
    <w:rsid w:val="5A2C0808"/>
    <w:rsid w:val="62F2E776"/>
    <w:rsid w:val="6CE76100"/>
    <w:rsid w:val="6F1D7EB9"/>
    <w:rsid w:val="77C71F81"/>
    <w:rsid w:val="7D5FFEA7"/>
    <w:rsid w:val="7E7C4C45"/>
    <w:rsid w:val="9FEFC131"/>
    <w:rsid w:val="B97E49AF"/>
    <w:rsid w:val="D6FBAF20"/>
    <w:rsid w:val="DDE50D1F"/>
    <w:rsid w:val="DF9D7BB4"/>
    <w:rsid w:val="EC173A9C"/>
    <w:rsid w:val="EF7BA105"/>
    <w:rsid w:val="F77D1969"/>
    <w:rsid w:val="FB9EE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Arial" w:eastAsiaTheme="minorEastAsia"/>
      <w:lang w:val="en-US" w:eastAsia="zh-CN" w:bidi="ar-SA"/>
    </w:rPr>
  </w:style>
  <w:style w:type="paragraph" w:styleId="2">
    <w:name w:val="heading 2"/>
    <w:basedOn w:val="1"/>
    <w:next w:val="1"/>
    <w:link w:val="14"/>
    <w:unhideWhenUsed/>
    <w:qFormat/>
    <w:uiPriority w:val="9"/>
    <w:pPr>
      <w:keepNext/>
      <w:keepLines/>
      <w:widowControl w:val="0"/>
      <w:spacing w:before="260" w:after="260" w:line="416" w:lineRule="auto"/>
      <w:jc w:val="both"/>
      <w:outlineLvl w:val="1"/>
    </w:pPr>
    <w:rPr>
      <w:rFonts w:asciiTheme="majorHAnsi" w:hAnsiTheme="majorHAnsi" w:eastAsiaTheme="majorEastAsia" w:cstheme="majorBidi"/>
      <w:b/>
      <w:bCs/>
      <w:kern w:val="2"/>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qFormat/>
    <w:uiPriority w:val="99"/>
    <w:pPr>
      <w:widowControl w:val="0"/>
    </w:pPr>
    <w:rPr>
      <w:rFonts w:asciiTheme="minorHAnsi" w:hAnsiTheme="minorHAnsi" w:cstheme="minorBidi"/>
      <w:kern w:val="2"/>
      <w:sz w:val="21"/>
      <w:szCs w:val="24"/>
    </w:rPr>
  </w:style>
  <w:style w:type="paragraph" w:styleId="4">
    <w:name w:val="Body Text"/>
    <w:basedOn w:val="1"/>
    <w:qFormat/>
    <w:uiPriority w:val="0"/>
    <w:pPr>
      <w:spacing w:after="283" w:line="360" w:lineRule="auto"/>
    </w:pPr>
  </w:style>
  <w:style w:type="paragraph" w:styleId="5">
    <w:name w:val="Balloon Text"/>
    <w:basedOn w:val="1"/>
    <w:link w:val="16"/>
    <w:semiHidden/>
    <w:unhideWhenUsed/>
    <w:qFormat/>
    <w:uiPriority w:val="99"/>
    <w:rPr>
      <w:sz w:val="18"/>
      <w:szCs w:val="18"/>
    </w:rPr>
  </w:style>
  <w:style w:type="paragraph" w:styleId="6">
    <w:name w:val="footer"/>
    <w:basedOn w:val="1"/>
    <w:link w:val="18"/>
    <w:unhideWhenUsed/>
    <w:qFormat/>
    <w:uiPriority w:val="99"/>
    <w:pPr>
      <w:tabs>
        <w:tab w:val="center" w:pos="4153"/>
        <w:tab w:val="right" w:pos="8306"/>
      </w:tabs>
      <w:snapToGrid w:val="0"/>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9"/>
    <w:semiHidden/>
    <w:unhideWhenUsed/>
    <w:qFormat/>
    <w:uiPriority w:val="99"/>
    <w:pPr>
      <w:widowControl/>
    </w:pPr>
    <w:rPr>
      <w:rFonts w:ascii="Arial" w:hAnsi="Arial" w:cs="Arial"/>
      <w:b/>
      <w:bCs/>
      <w:kern w:val="0"/>
      <w:sz w:val="20"/>
      <w:szCs w:val="20"/>
    </w:rPr>
  </w:style>
  <w:style w:type="table" w:styleId="10">
    <w:name w:val="Table Grid"/>
    <w:basedOn w:val="9"/>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qFormat/>
    <w:uiPriority w:val="99"/>
    <w:rPr>
      <w:sz w:val="21"/>
      <w:szCs w:val="21"/>
    </w:rPr>
  </w:style>
  <w:style w:type="character" w:styleId="13">
    <w:name w:val="footnote reference"/>
    <w:semiHidden/>
    <w:unhideWhenUsed/>
    <w:qFormat/>
    <w:uiPriority w:val="0"/>
    <w:rPr>
      <w:vertAlign w:val="superscript"/>
    </w:rPr>
  </w:style>
  <w:style w:type="character" w:customStyle="1" w:styleId="14">
    <w:name w:val="标题 2 Char"/>
    <w:basedOn w:val="11"/>
    <w:link w:val="2"/>
    <w:qFormat/>
    <w:uiPriority w:val="9"/>
    <w:rPr>
      <w:rFonts w:asciiTheme="majorHAnsi" w:hAnsiTheme="majorHAnsi" w:eastAsiaTheme="majorEastAsia" w:cstheme="majorBidi"/>
      <w:b/>
      <w:bCs/>
      <w:kern w:val="2"/>
      <w:sz w:val="32"/>
      <w:szCs w:val="32"/>
    </w:rPr>
  </w:style>
  <w:style w:type="character" w:customStyle="1" w:styleId="15">
    <w:name w:val="批注文字 Char"/>
    <w:basedOn w:val="11"/>
    <w:link w:val="3"/>
    <w:qFormat/>
    <w:uiPriority w:val="99"/>
    <w:rPr>
      <w:rFonts w:asciiTheme="minorHAnsi" w:hAnsiTheme="minorHAnsi" w:cstheme="minorBidi"/>
      <w:kern w:val="2"/>
      <w:sz w:val="21"/>
      <w:szCs w:val="24"/>
    </w:rPr>
  </w:style>
  <w:style w:type="character" w:customStyle="1" w:styleId="16">
    <w:name w:val="批注框文本 Char"/>
    <w:basedOn w:val="11"/>
    <w:link w:val="5"/>
    <w:semiHidden/>
    <w:qFormat/>
    <w:uiPriority w:val="99"/>
    <w:rPr>
      <w:sz w:val="18"/>
      <w:szCs w:val="18"/>
    </w:rPr>
  </w:style>
  <w:style w:type="character" w:customStyle="1" w:styleId="17">
    <w:name w:val="页眉 Char"/>
    <w:basedOn w:val="11"/>
    <w:link w:val="7"/>
    <w:qFormat/>
    <w:uiPriority w:val="99"/>
    <w:rPr>
      <w:sz w:val="18"/>
      <w:szCs w:val="18"/>
    </w:rPr>
  </w:style>
  <w:style w:type="character" w:customStyle="1" w:styleId="18">
    <w:name w:val="页脚 Char"/>
    <w:basedOn w:val="11"/>
    <w:link w:val="6"/>
    <w:qFormat/>
    <w:uiPriority w:val="99"/>
    <w:rPr>
      <w:sz w:val="18"/>
      <w:szCs w:val="18"/>
    </w:rPr>
  </w:style>
  <w:style w:type="character" w:customStyle="1" w:styleId="19">
    <w:name w:val="批注主题 Char"/>
    <w:basedOn w:val="15"/>
    <w:link w:val="8"/>
    <w:semiHidden/>
    <w:qFormat/>
    <w:uiPriority w:val="99"/>
    <w:rPr>
      <w:rFonts w:asciiTheme="minorHAnsi" w:hAnsiTheme="minorHAnsi" w:cstheme="minorBidi"/>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5087</Words>
  <Characters>5109</Characters>
  <Lines>39</Lines>
  <Paragraphs>11</Paragraphs>
  <TotalTime>4</TotalTime>
  <ScaleCrop>false</ScaleCrop>
  <LinksUpToDate>false</LinksUpToDate>
  <CharactersWithSpaces>5271</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2021-11-01T18:43:00Z</dcterms:created>
  <dc:creator>bse</dc:creator>
  <cp:lastModifiedBy>huting</cp:lastModifiedBy>
  <cp:lastPrinted>2024-06-24T15:28:00Z</cp:lastPrinted>
  <dcterms:modified xsi:type="dcterms:W3CDTF">2025-04-26T12:52:06Z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BF2F3DEDCDB340C9A0BD09D9587765E8</vt:lpwstr>
  </property>
</Properties>
</file>