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小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北京证券交易所</w:t>
      </w:r>
      <w:r>
        <w:rPr>
          <w:rFonts w:hint="eastAsia" w:ascii="Times New Roman" w:hAnsi="Times New Roman" w:eastAsia="方正大标宋简体" w:cs="Times New Roman"/>
          <w:sz w:val="44"/>
          <w:szCs w:val="44"/>
        </w:rPr>
        <w:t>公司债券发行承销业务指引</w:t>
      </w:r>
    </w:p>
    <w:p>
      <w:pPr>
        <w:adjustRightInd w:val="0"/>
        <w:snapToGrid w:val="0"/>
        <w:spacing w:line="600" w:lineRule="exact"/>
        <w:jc w:val="center"/>
        <w:rPr>
          <w:rFonts w:ascii="Times New Roman" w:hAnsi="Times New Roman" w:eastAsia="方正大标宋简体" w:cs="Times New Roman"/>
          <w:sz w:val="44"/>
          <w:szCs w:val="44"/>
        </w:rPr>
      </w:pPr>
      <w:r>
        <w:rPr>
          <w:rFonts w:hint="eastAsia" w:ascii="Times New Roman" w:hAnsi="Times New Roman" w:eastAsia="方正大标宋简体" w:cs="Times New Roman"/>
          <w:sz w:val="44"/>
          <w:szCs w:val="44"/>
        </w:rPr>
        <w:t>第1号——发行备案</w:t>
      </w:r>
    </w:p>
    <w:p>
      <w:pPr>
        <w:adjustRightInd w:val="0"/>
        <w:snapToGrid w:val="0"/>
        <w:spacing w:line="600" w:lineRule="exact"/>
        <w:jc w:val="center"/>
        <w:rPr>
          <w:rFonts w:ascii="Times New Roman" w:hAnsi="Times New Roman" w:eastAsia="方正大标宋简体" w:cs="Times New Roman"/>
          <w:sz w:val="44"/>
          <w:szCs w:val="44"/>
        </w:rPr>
      </w:pPr>
    </w:p>
    <w:p>
      <w:pPr>
        <w:spacing w:before="156" w:beforeLines="50" w:after="156" w:afterLines="50" w:line="600" w:lineRule="exact"/>
        <w:jc w:val="center"/>
        <w:outlineLvl w:val="0"/>
        <w:rPr>
          <w:rFonts w:ascii="Times New Roman" w:hAnsi="Times New Roman" w:eastAsia="黑体" w:cs="Times New Roman"/>
          <w:bCs/>
          <w:color w:val="000000"/>
          <w:kern w:val="0"/>
          <w:sz w:val="32"/>
          <w:szCs w:val="32"/>
        </w:rPr>
      </w:pPr>
      <w:r>
        <w:rPr>
          <w:rFonts w:hint="eastAsia" w:ascii="Times New Roman" w:hAnsi="Times New Roman" w:eastAsia="黑体" w:cs="Times New Roman"/>
          <w:bCs/>
          <w:color w:val="000000"/>
          <w:kern w:val="0"/>
          <w:sz w:val="32"/>
          <w:szCs w:val="32"/>
        </w:rPr>
        <w:t>第一章 总则</w:t>
      </w:r>
    </w:p>
    <w:p>
      <w:pPr>
        <w:pStyle w:val="26"/>
        <w:numPr>
          <w:ilvl w:val="0"/>
          <w:numId w:val="1"/>
        </w:numPr>
        <w:adjustRightInd w:val="0"/>
        <w:snapToGrid w:val="0"/>
        <w:spacing w:line="600" w:lineRule="exact"/>
        <w:ind w:left="0" w:firstLine="640"/>
        <w:rPr>
          <w:rFonts w:ascii="Times New Roman" w:hAnsi="Times New Roman" w:eastAsia="仿宋"/>
          <w:color w:val="000000"/>
          <w:sz w:val="32"/>
          <w:szCs w:val="32"/>
        </w:rPr>
      </w:pPr>
      <w:r>
        <w:rPr>
          <w:rFonts w:hint="eastAsia" w:ascii="Times New Roman" w:hAnsi="Times New Roman" w:eastAsia="仿宋" w:cs="宋体"/>
          <w:sz w:val="32"/>
          <w:szCs w:val="32"/>
        </w:rPr>
        <w:t>为了规范公司债券（含企业债券）的发行备案（以下简称备案）业务，</w:t>
      </w:r>
      <w:r>
        <w:rPr>
          <w:rFonts w:hint="eastAsia" w:ascii="Times New Roman" w:hAnsi="Times New Roman" w:eastAsia="仿宋"/>
          <w:color w:val="000000"/>
          <w:sz w:val="32"/>
          <w:szCs w:val="32"/>
        </w:rPr>
        <w:t>根据《公司债券发行与交易管理办法》《北京证券交易所公司债券发行承销规则》等有关规定，制定本指引。</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cs="宋体"/>
          <w:sz w:val="32"/>
          <w:szCs w:val="32"/>
        </w:rPr>
        <w:t>本规则适用于</w:t>
      </w:r>
      <w:r>
        <w:rPr>
          <w:rFonts w:hint="eastAsia" w:ascii="Times New Roman" w:hAnsi="Times New Roman" w:eastAsia="仿宋"/>
          <w:sz w:val="32"/>
          <w:szCs w:val="32"/>
        </w:rPr>
        <w:t>申请在北京证券交易所（以下简称本所）上市挂牌的公司债券备案相关事宜</w:t>
      </w:r>
      <w:r>
        <w:rPr>
          <w:rFonts w:hint="eastAsia" w:ascii="Times New Roman" w:hAnsi="Times New Roman" w:eastAsia="仿宋" w:cs="宋体"/>
          <w:sz w:val="32"/>
          <w:szCs w:val="32"/>
        </w:rPr>
        <w:t>。</w:t>
      </w:r>
    </w:p>
    <w:p>
      <w:pPr>
        <w:pStyle w:val="26"/>
        <w:numPr>
          <w:ilvl w:val="255"/>
          <w:numId w:val="0"/>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上市公司可转换公司债券的发行备案，不适用本指引。</w:t>
      </w:r>
    </w:p>
    <w:p>
      <w:pPr>
        <w:pStyle w:val="26"/>
        <w:numPr>
          <w:ilvl w:val="0"/>
          <w:numId w:val="1"/>
        </w:numPr>
        <w:spacing w:line="600" w:lineRule="exact"/>
        <w:ind w:left="0" w:firstLine="640"/>
        <w:rPr>
          <w:rFonts w:ascii="Times New Roman" w:hAnsi="Times New Roman" w:eastAsia="仿宋"/>
          <w:b/>
          <w:sz w:val="32"/>
          <w:szCs w:val="32"/>
        </w:rPr>
      </w:pPr>
      <w:r>
        <w:rPr>
          <w:rFonts w:hint="eastAsia" w:ascii="Times New Roman" w:hAnsi="Times New Roman" w:eastAsia="仿宋"/>
          <w:sz w:val="32"/>
          <w:szCs w:val="32"/>
        </w:rPr>
        <w:t>本所遵循公开、公平、公正原则开展备案文件核对、备案意见反馈工作。</w:t>
      </w:r>
    </w:p>
    <w:p>
      <w:pPr>
        <w:spacing w:line="600" w:lineRule="exact"/>
        <w:ind w:firstLine="640"/>
        <w:rPr>
          <w:rFonts w:ascii="Times New Roman" w:hAnsi="Times New Roman" w:eastAsia="仿宋"/>
          <w:b/>
          <w:sz w:val="32"/>
          <w:szCs w:val="32"/>
        </w:rPr>
      </w:pPr>
      <w:r>
        <w:rPr>
          <w:rFonts w:hint="eastAsia" w:ascii="Times New Roman" w:hAnsi="Times New Roman" w:eastAsia="仿宋"/>
          <w:sz w:val="32"/>
          <w:szCs w:val="32"/>
        </w:rPr>
        <w:t>本所在开展备案工作过程中，重点关注公司债券发行前是否符合发行条件、上市挂牌条件以及信息披露要求</w:t>
      </w:r>
      <w:r>
        <w:rPr>
          <w:rFonts w:hint="eastAsia" w:ascii="Times New Roman" w:hAnsi="Times New Roman" w:eastAsia="仿宋" w:cs="Times New Roman"/>
          <w:color w:val="000000"/>
          <w:sz w:val="32"/>
          <w:szCs w:val="32"/>
        </w:rPr>
        <w:t>。</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color w:val="000000"/>
          <w:sz w:val="32"/>
          <w:szCs w:val="32"/>
        </w:rPr>
        <w:t>发行人、承销机构等信息披露义务人应当及时答复本所的反馈意见，确保备案文件及所披露的信息真实、准确、完整，简明清晰，通俗易懂，不得有虚假记载、误导性陈述或者重大遗漏。</w:t>
      </w:r>
      <w:bookmarkStart w:id="0" w:name="OLE_LINK1"/>
      <w:bookmarkStart w:id="1" w:name="OLE_LINK2"/>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color w:val="000000"/>
          <w:sz w:val="32"/>
          <w:szCs w:val="32"/>
        </w:rPr>
        <w:t>承销机构、会计师事务所、律师事务所、资信评级机构、资产评估机构等机构及其人员应当依照法律、行政法规、部门规章、规范性文件（以下统称法律法规）和本所业务规则的规定，认真履行职责，关注备案进展，及时配合回复反馈意</w:t>
      </w:r>
      <w:bookmarkEnd w:id="0"/>
      <w:bookmarkEnd w:id="1"/>
      <w:r>
        <w:rPr>
          <w:rFonts w:hint="eastAsia" w:ascii="Times New Roman" w:hAnsi="Times New Roman" w:eastAsia="仿宋"/>
          <w:color w:val="000000"/>
          <w:sz w:val="32"/>
          <w:szCs w:val="32"/>
        </w:rPr>
        <w:t>见。</w:t>
      </w:r>
    </w:p>
    <w:p>
      <w:pPr>
        <w:spacing w:before="156" w:beforeLines="50" w:after="156" w:afterLines="50" w:line="600" w:lineRule="exact"/>
        <w:jc w:val="center"/>
        <w:outlineLvl w:val="0"/>
        <w:rPr>
          <w:rFonts w:ascii="Times New Roman" w:hAnsi="Times New Roman" w:eastAsia="黑体" w:cs="Times New Roman"/>
          <w:bCs/>
          <w:color w:val="000000"/>
          <w:kern w:val="0"/>
          <w:sz w:val="32"/>
          <w:szCs w:val="32"/>
        </w:rPr>
      </w:pPr>
      <w:r>
        <w:rPr>
          <w:rFonts w:hint="eastAsia" w:ascii="Times New Roman" w:hAnsi="Times New Roman" w:eastAsia="黑体" w:cs="Times New Roman"/>
          <w:bCs/>
          <w:color w:val="000000"/>
          <w:kern w:val="0"/>
          <w:sz w:val="32"/>
          <w:szCs w:val="32"/>
        </w:rPr>
        <w:t>第二章</w:t>
      </w:r>
      <w:r>
        <w:rPr>
          <w:rFonts w:ascii="Times New Roman" w:hAnsi="Times New Roman" w:eastAsia="黑体" w:cs="Times New Roman"/>
          <w:bCs/>
          <w:color w:val="000000"/>
          <w:kern w:val="0"/>
          <w:sz w:val="32"/>
          <w:szCs w:val="32"/>
        </w:rPr>
        <w:t xml:space="preserve"> </w:t>
      </w:r>
      <w:r>
        <w:rPr>
          <w:rFonts w:hint="eastAsia" w:ascii="Times New Roman" w:hAnsi="Times New Roman" w:eastAsia="黑体" w:cs="Times New Roman"/>
          <w:bCs/>
          <w:color w:val="000000"/>
          <w:kern w:val="0"/>
          <w:sz w:val="32"/>
          <w:szCs w:val="32"/>
        </w:rPr>
        <w:t>发行备案流程</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公司债券发行前，发行人和主承销商应当按照规定向本所提交备案文件。</w:t>
      </w:r>
    </w:p>
    <w:p>
      <w:pPr>
        <w:pStyle w:val="26"/>
        <w:spacing w:line="600" w:lineRule="exact"/>
        <w:ind w:firstLine="640"/>
        <w:rPr>
          <w:rFonts w:ascii="Times New Roman" w:hAnsi="Times New Roman" w:eastAsia="仿宋"/>
          <w:b/>
          <w:sz w:val="32"/>
          <w:szCs w:val="32"/>
        </w:rPr>
      </w:pPr>
      <w:r>
        <w:rPr>
          <w:rFonts w:hint="eastAsia" w:ascii="Times New Roman" w:hAnsi="Times New Roman" w:eastAsia="仿宋"/>
          <w:sz w:val="32"/>
          <w:szCs w:val="32"/>
        </w:rPr>
        <w:t>主承销商应当指定专人负责备案文件的制作、提交以及业务联络。</w:t>
      </w:r>
    </w:p>
    <w:p>
      <w:pPr>
        <w:pStyle w:val="26"/>
        <w:numPr>
          <w:ilvl w:val="0"/>
          <w:numId w:val="1"/>
        </w:numPr>
        <w:spacing w:line="600" w:lineRule="exact"/>
        <w:ind w:left="0" w:firstLine="640"/>
        <w:rPr>
          <w:rFonts w:ascii="Times New Roman" w:hAnsi="Times New Roman" w:eastAsia="仿宋"/>
          <w:b/>
          <w:sz w:val="32"/>
          <w:szCs w:val="32"/>
        </w:rPr>
      </w:pPr>
      <w:r>
        <w:rPr>
          <w:rFonts w:hint="eastAsia" w:ascii="Times New Roman" w:hAnsi="Times New Roman" w:eastAsia="仿宋"/>
          <w:sz w:val="32"/>
          <w:szCs w:val="32"/>
        </w:rPr>
        <w:t>每期公司债券发行前，发行人、主承销商应当不晚于发行文件公告日前两个交易日向本所提交发行备案文件；</w:t>
      </w:r>
      <w:r>
        <w:rPr>
          <w:rFonts w:hint="eastAsia" w:ascii="Times New Roman" w:hAnsi="Times New Roman" w:eastAsia="仿宋"/>
          <w:bCs/>
          <w:sz w:val="32"/>
          <w:szCs w:val="32"/>
        </w:rPr>
        <w:t>知名成熟发行人发行公司债券并将募集资金用于固定资产投资项目的</w:t>
      </w:r>
      <w:r>
        <w:rPr>
          <w:rFonts w:hint="eastAsia" w:ascii="Times New Roman" w:hAnsi="Times New Roman" w:eastAsia="仿宋"/>
          <w:sz w:val="32"/>
          <w:szCs w:val="32"/>
        </w:rPr>
        <w:t>，备案文件原则上不晚于发行文件公告日前十个交易日提交至本所。</w:t>
      </w:r>
    </w:p>
    <w:p>
      <w:pPr>
        <w:pStyle w:val="26"/>
        <w:numPr>
          <w:ilvl w:val="0"/>
          <w:numId w:val="1"/>
        </w:numPr>
        <w:spacing w:line="600" w:lineRule="exact"/>
        <w:ind w:left="0" w:firstLine="640"/>
        <w:rPr>
          <w:rFonts w:ascii="Times New Roman" w:hAnsi="Times New Roman" w:eastAsia="仿宋"/>
          <w:b/>
          <w:sz w:val="32"/>
          <w:szCs w:val="32"/>
        </w:rPr>
      </w:pPr>
      <w:r>
        <w:rPr>
          <w:rFonts w:hint="eastAsia" w:ascii="Times New Roman" w:hAnsi="Times New Roman" w:eastAsia="仿宋"/>
          <w:sz w:val="32"/>
          <w:szCs w:val="32"/>
        </w:rPr>
        <w:t>发行人和主承销商应当提交下列</w:t>
      </w:r>
      <w:r>
        <w:rPr>
          <w:rFonts w:hint="eastAsia" w:ascii="Times New Roman" w:hAnsi="Times New Roman" w:eastAsia="仿宋"/>
          <w:bCs/>
          <w:sz w:val="32"/>
          <w:szCs w:val="32"/>
        </w:rPr>
        <w:t>备案文件：</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（一）募集说明书；</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（二）期后重大事项说明；</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（三）相比封卷文件涉及修改的其他项目文件；</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（四）中国证券监督管理委员会（以下简称中国证监会）和本所要求的其他文件。</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主承销商应当按照法律法规、本所业务规则和执业规范履行职责，按照合理性、必要性和重要性原则，对本期公司债券是否符合发行条件、上市挂牌条件以及发行备案文件的真实性、准确性和完整性进行核查，保证其出具意见的真实、准确、完整。</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本所收到备案文件后两个交易日内对文件进行核对并反馈备案意见。</w:t>
      </w:r>
      <w:r>
        <w:rPr>
          <w:rFonts w:hint="eastAsia" w:ascii="Times New Roman" w:hAnsi="Times New Roman" w:eastAsia="仿宋"/>
          <w:bCs/>
          <w:sz w:val="32"/>
          <w:szCs w:val="32"/>
        </w:rPr>
        <w:t>知名成熟发行人发行公司债券并将募集资金用于固定资产投资项目的</w:t>
      </w:r>
      <w:r>
        <w:rPr>
          <w:rFonts w:hint="eastAsia" w:ascii="Times New Roman" w:hAnsi="Times New Roman" w:eastAsia="仿宋"/>
          <w:sz w:val="32"/>
          <w:szCs w:val="32"/>
        </w:rPr>
        <w:t>，本所收到备案文件十个交易日内对文件进行核对并反馈备案意见。</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备案文件齐备且本期公司债券符合发行条件、上市挂牌条件的，发行人、承销机构可以启动发行工作。</w:t>
      </w:r>
    </w:p>
    <w:p>
      <w:pPr>
        <w:spacing w:line="600" w:lineRule="exact"/>
        <w:ind w:firstLine="640"/>
        <w:rPr>
          <w:rFonts w:ascii="Times New Roman" w:hAnsi="Times New Roman" w:eastAsia="仿宋"/>
          <w:bCs/>
          <w:sz w:val="32"/>
          <w:szCs w:val="32"/>
        </w:rPr>
      </w:pPr>
      <w:r>
        <w:rPr>
          <w:rFonts w:hint="eastAsia" w:ascii="Times New Roman" w:hAnsi="Times New Roman" w:eastAsia="仿宋"/>
          <w:sz w:val="32"/>
          <w:szCs w:val="32"/>
        </w:rPr>
        <w:t>备案文件不齐备，或者所披露事项不符合信息披露要求的，发行人和主承销商应当按照本所反馈意见进行补正，</w:t>
      </w:r>
      <w:r>
        <w:rPr>
          <w:rFonts w:hint="eastAsia" w:ascii="Times New Roman" w:hAnsi="Times New Roman" w:eastAsia="仿宋"/>
          <w:bCs/>
          <w:sz w:val="32"/>
          <w:szCs w:val="32"/>
        </w:rPr>
        <w:t>补正时间不计入本条第一款规定的时间内。</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本所对备案材料无异议后，发行人和主承销商应当在二十个交易日内通过本所网站披露发行公告文件，且披露时间应当在相应的同意注册文件、本所出具的挂牌条件确认文件的有效期内。发生下列事项之一的，应当重新备案：</w:t>
      </w:r>
    </w:p>
    <w:p>
      <w:pPr>
        <w:pStyle w:val="26"/>
        <w:numPr>
          <w:ilvl w:val="0"/>
          <w:numId w:val="2"/>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逾期未披露；</w:t>
      </w:r>
    </w:p>
    <w:p>
      <w:pPr>
        <w:pStyle w:val="26"/>
        <w:numPr>
          <w:ilvl w:val="0"/>
          <w:numId w:val="2"/>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发行文件披露后取消发行；</w:t>
      </w:r>
    </w:p>
    <w:p>
      <w:pPr>
        <w:pStyle w:val="26"/>
        <w:numPr>
          <w:ilvl w:val="0"/>
          <w:numId w:val="2"/>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备案有效期内发生影响本期公司债券发行条件、上市挂牌条件的事项；</w:t>
      </w:r>
    </w:p>
    <w:p>
      <w:pPr>
        <w:pStyle w:val="26"/>
        <w:numPr>
          <w:ilvl w:val="0"/>
          <w:numId w:val="2"/>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发生对投资者作出价值判断和投资决策有重要影响的事项。</w:t>
      </w:r>
    </w:p>
    <w:p>
      <w:pPr>
        <w:spacing w:before="156" w:beforeLines="50" w:after="156" w:afterLines="50" w:line="600" w:lineRule="exact"/>
        <w:jc w:val="center"/>
        <w:outlineLvl w:val="0"/>
        <w:rPr>
          <w:rFonts w:ascii="Times New Roman" w:hAnsi="Times New Roman" w:eastAsia="黑体" w:cs="Times New Roman"/>
          <w:bCs/>
          <w:color w:val="000000"/>
          <w:kern w:val="0"/>
          <w:sz w:val="32"/>
          <w:szCs w:val="32"/>
        </w:rPr>
      </w:pPr>
      <w:r>
        <w:rPr>
          <w:rFonts w:hint="eastAsia" w:ascii="Times New Roman" w:hAnsi="Times New Roman" w:eastAsia="黑体" w:cs="Times New Roman"/>
          <w:bCs/>
          <w:color w:val="000000"/>
          <w:kern w:val="0"/>
          <w:sz w:val="32"/>
          <w:szCs w:val="32"/>
        </w:rPr>
        <w:t>第三章</w:t>
      </w:r>
      <w:r>
        <w:rPr>
          <w:rFonts w:ascii="Times New Roman" w:hAnsi="Times New Roman" w:eastAsia="黑体" w:cs="Times New Roman"/>
          <w:bCs/>
          <w:color w:val="000000"/>
          <w:kern w:val="0"/>
          <w:sz w:val="32"/>
          <w:szCs w:val="32"/>
        </w:rPr>
        <w:t xml:space="preserve"> </w:t>
      </w:r>
      <w:r>
        <w:rPr>
          <w:rFonts w:hint="eastAsia" w:ascii="Times New Roman" w:hAnsi="Times New Roman" w:eastAsia="黑体" w:cs="Times New Roman"/>
          <w:bCs/>
          <w:color w:val="000000"/>
          <w:kern w:val="0"/>
          <w:sz w:val="32"/>
          <w:szCs w:val="32"/>
        </w:rPr>
        <w:t>发行方案调整</w:t>
      </w:r>
    </w:p>
    <w:p>
      <w:pPr>
        <w:pStyle w:val="26"/>
        <w:numPr>
          <w:ilvl w:val="0"/>
          <w:numId w:val="1"/>
        </w:numPr>
        <w:spacing w:line="600" w:lineRule="exact"/>
        <w:ind w:left="0" w:firstLine="640"/>
        <w:rPr>
          <w:rFonts w:ascii="Times New Roman" w:hAnsi="Times New Roman" w:eastAsia="仿宋"/>
          <w:b/>
          <w:sz w:val="32"/>
          <w:szCs w:val="32"/>
        </w:rPr>
      </w:pPr>
      <w:r>
        <w:rPr>
          <w:rFonts w:hint="eastAsia" w:ascii="Times New Roman" w:hAnsi="Times New Roman" w:eastAsia="仿宋"/>
          <w:sz w:val="32"/>
          <w:szCs w:val="32"/>
        </w:rPr>
        <w:t>公司债券的参与方、增信措施、募集资金用途、持有人会议安排、违约责任与争议解决安排及对发行条件、上市挂牌条件产生实质影响的因素发生变化的，发行人和主承销商应当在期后事项说明中说明具体情况、原因及进展（如有）、相关中介机构补充核查意见（如有）等</w:t>
      </w:r>
      <w:r>
        <w:rPr>
          <w:rFonts w:hint="eastAsia" w:ascii="Times New Roman" w:hAnsi="Times New Roman" w:eastAsia="仿宋"/>
          <w:bCs/>
          <w:sz w:val="32"/>
          <w:szCs w:val="32"/>
        </w:rPr>
        <w:t>。</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bCs/>
          <w:sz w:val="32"/>
          <w:szCs w:val="32"/>
        </w:rPr>
        <w:t>备案阶段</w:t>
      </w:r>
      <w:r>
        <w:rPr>
          <w:rFonts w:hint="eastAsia" w:ascii="Times New Roman" w:hAnsi="Times New Roman" w:eastAsia="仿宋"/>
          <w:sz w:val="32"/>
          <w:szCs w:val="32"/>
        </w:rPr>
        <w:t>不得更改公司债券期限。发行人应结合自身经营情况、财务状况、偿债能力等审慎确定公司债券发行规模，科学设置各期公司债券的选择权、本息偿付等发行条款。</w:t>
      </w:r>
    </w:p>
    <w:p>
      <w:pPr>
        <w:pStyle w:val="26"/>
        <w:numPr>
          <w:ilvl w:val="0"/>
          <w:numId w:val="1"/>
        </w:numPr>
        <w:spacing w:line="600" w:lineRule="exact"/>
        <w:ind w:left="0" w:firstLine="640"/>
        <w:rPr>
          <w:rFonts w:ascii="Times New Roman" w:hAnsi="Times New Roman" w:eastAsia="仿宋"/>
          <w:b/>
          <w:sz w:val="32"/>
          <w:szCs w:val="32"/>
        </w:rPr>
      </w:pPr>
      <w:r>
        <w:rPr>
          <w:rFonts w:hint="eastAsia" w:ascii="Times New Roman" w:hAnsi="Times New Roman" w:eastAsia="仿宋"/>
          <w:sz w:val="32"/>
          <w:szCs w:val="32"/>
        </w:rPr>
        <w:t>发行人、增信机构等相关主体的财务报告、财务报表、审计报告等财务数据应当根据本所业务规则的规定进行更新。</w:t>
      </w:r>
    </w:p>
    <w:p>
      <w:pPr>
        <w:pStyle w:val="26"/>
        <w:numPr>
          <w:ilvl w:val="255"/>
          <w:numId w:val="0"/>
        </w:numPr>
        <w:spacing w:line="600" w:lineRule="exact"/>
        <w:ind w:firstLine="600"/>
        <w:rPr>
          <w:rFonts w:ascii="Times New Roman" w:hAnsi="Times New Roman" w:eastAsia="仿宋"/>
          <w:sz w:val="32"/>
          <w:szCs w:val="32"/>
        </w:rPr>
      </w:pPr>
      <w:r>
        <w:rPr>
          <w:rFonts w:hint="eastAsia" w:ascii="Times New Roman" w:hAnsi="Times New Roman" w:eastAsia="仿宋"/>
          <w:sz w:val="32"/>
          <w:szCs w:val="32"/>
        </w:rPr>
        <w:t>拟于财务报表有效期截止日后一个月内披露发行公告文件的，发行人和主承销商可以向本所申请延长财务报告有效期，延长时间不得超过一个月，中国证监会或者本所另有规定的除外。存在影响公司经营或者偿债能力的重大不利变化且预计影响发行条件的，不得延期。</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发行人在定期报告披露截止日之前披露发行公告文件，发行阶段未披露最近一年度财务报告和审计报告、最近一期财务报告或者财务报表的，发行人和主承销商应当在期后事项说明中承诺公司债券上市挂牌时仍符合发行条件，并在公司债券上市挂牌后及时补充披露最近一年度财务报告和审计报告、最近一期财务报告或者财务报表。</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因特殊情形确需在发行前调整公司债券募集资金用途的，发行人应当在期后重大事项说明中说明变更后的具体用途、是否仍符合相关规则要求、变更的原因、履行的内部程序等，补充提交相关决议文件，并修改相应备案文件。</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发行人可以在公司债券发行时增加担保等增信措施。</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新增增信措施的，发行人和主承销商应当提供担保函、担保协议、有关决议文件等担保文件作为备案文件，并更新募集说明书中关于增信机制的相关内容。</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发行人在发行前变更会计师事务所或者律师事务所的，发行人和主承销商应当书面说明变更原因、变更后是否对本次发行产生重大影响，并由变更后的会计师事务所、律师事务所出具当年审计报告、法律意见书。变更律师事务所的，变更后律师事务所出具的法律意见书应当就变更原因、核查意见相对于原法律意见书是否有重大变动等作出说明。</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发行人在发行前变更受托管理人的，发行人和主承销商应当在募集说明书中披露新聘任的受托管理人及其联系人、新签订的公司债券受托管理协议有关条款等情况。为本次发行提供担保的机构、自行销售的发行人以及发行人的实际控制人、控股股东、合并报表范围内子公司及其他关联方不得担任本期公司债券的受托管理人。</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发行人和主承销商应当将新签订的公司债券受托管理协议和公司债券持有人会议规则作为备案文件向本所提交。</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发行人可以在发行阶段新增承销机构，但不得在募集说明书封卷稿披露的范围之外新增主承销商。</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取得中国证监会同意注册的文件或者本所出具的挂牌条件确认文件后，</w:t>
      </w:r>
      <w:r>
        <w:rPr>
          <w:rFonts w:ascii="Times New Roman" w:hAnsi="Times New Roman" w:eastAsia="仿宋"/>
          <w:sz w:val="32"/>
          <w:szCs w:val="32"/>
        </w:rPr>
        <w:t>发行人</w:t>
      </w:r>
      <w:r>
        <w:rPr>
          <w:rFonts w:hint="eastAsia" w:ascii="Times New Roman" w:hAnsi="Times New Roman" w:eastAsia="仿宋"/>
          <w:sz w:val="32"/>
          <w:szCs w:val="32"/>
        </w:rPr>
        <w:t>、增信机构等相关主体公司名称发生变更的，发行人和主承销商应当在期后事项说明中说明相关主体更名原因、变更进度，明确相关文件继续有效，说明名称变更是否影响主承销商、律师事务所、会计师事务所等中介机构出具的各项核查意见、审计报告等文件的法律效力，并在募集说明书中作重大事项提示。律师应当对公司更名后相关文件的有效性发表明确意见。</w:t>
      </w:r>
    </w:p>
    <w:p>
      <w:pPr>
        <w:pStyle w:val="26"/>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发行人公司名称发生变更，导致公司债券全称发生变更的，发行人和主承销商应当更新备案文件、发行公告文件。</w:t>
      </w:r>
    </w:p>
    <w:p>
      <w:pPr>
        <w:pStyle w:val="26"/>
        <w:numPr>
          <w:ilvl w:val="0"/>
          <w:numId w:val="1"/>
        </w:numPr>
        <w:spacing w:line="600" w:lineRule="exact"/>
        <w:ind w:left="0" w:firstLine="640"/>
        <w:rPr>
          <w:rFonts w:ascii="Times New Roman" w:hAnsi="Times New Roman" w:eastAsia="仿宋"/>
          <w:b/>
          <w:sz w:val="32"/>
          <w:szCs w:val="32"/>
        </w:rPr>
      </w:pPr>
      <w:r>
        <w:rPr>
          <w:rFonts w:hint="eastAsia" w:ascii="Times New Roman" w:hAnsi="Times New Roman" w:eastAsia="仿宋"/>
          <w:sz w:val="32"/>
          <w:szCs w:val="32"/>
        </w:rPr>
        <w:t>公司债券在项目注册、封卷阶段存在承诺待履行事项的，发行人和主承销商应当在期后事项说明中披露承诺事项的履行情况，并在备案时将承诺文件提交至本所。</w:t>
      </w:r>
    </w:p>
    <w:p>
      <w:pPr>
        <w:spacing w:before="156" w:beforeLines="50" w:after="156" w:afterLines="50" w:line="600" w:lineRule="exact"/>
        <w:jc w:val="center"/>
        <w:outlineLvl w:val="0"/>
        <w:rPr>
          <w:rFonts w:ascii="Times New Roman" w:hAnsi="Times New Roman" w:eastAsia="黑体" w:cs="Times New Roman"/>
          <w:bCs/>
          <w:color w:val="000000"/>
          <w:kern w:val="0"/>
          <w:sz w:val="32"/>
          <w:szCs w:val="32"/>
        </w:rPr>
      </w:pPr>
      <w:r>
        <w:rPr>
          <w:rFonts w:hint="eastAsia" w:ascii="Times New Roman" w:hAnsi="Times New Roman" w:eastAsia="黑体" w:cs="Times New Roman"/>
          <w:bCs/>
          <w:color w:val="000000"/>
          <w:kern w:val="0"/>
          <w:sz w:val="32"/>
          <w:szCs w:val="32"/>
        </w:rPr>
        <w:t>第四章</w:t>
      </w:r>
      <w:r>
        <w:rPr>
          <w:rFonts w:ascii="Times New Roman" w:hAnsi="Times New Roman" w:eastAsia="黑体" w:cs="Times New Roman"/>
          <w:bCs/>
          <w:color w:val="000000"/>
          <w:kern w:val="0"/>
          <w:sz w:val="32"/>
          <w:szCs w:val="32"/>
        </w:rPr>
        <w:t xml:space="preserve"> </w:t>
      </w:r>
      <w:r>
        <w:rPr>
          <w:rFonts w:hint="eastAsia" w:ascii="Times New Roman" w:hAnsi="Times New Roman" w:eastAsia="黑体" w:cs="Times New Roman"/>
          <w:bCs/>
          <w:color w:val="000000"/>
          <w:kern w:val="0"/>
          <w:sz w:val="32"/>
          <w:szCs w:val="32"/>
        </w:rPr>
        <w:t>附则</w:t>
      </w:r>
    </w:p>
    <w:p>
      <w:pPr>
        <w:pStyle w:val="26"/>
        <w:numPr>
          <w:ilvl w:val="0"/>
          <w:numId w:val="1"/>
        </w:numPr>
        <w:spacing w:line="600" w:lineRule="exact"/>
        <w:ind w:left="0" w:firstLine="640"/>
        <w:rPr>
          <w:rFonts w:ascii="Times New Roman" w:hAnsi="Times New Roman" w:eastAsia="仿宋"/>
          <w:sz w:val="32"/>
          <w:szCs w:val="32"/>
        </w:rPr>
      </w:pPr>
      <w:r>
        <w:rPr>
          <w:rFonts w:hint="eastAsia" w:ascii="Times New Roman" w:hAnsi="Times New Roman" w:eastAsia="仿宋"/>
          <w:sz w:val="32"/>
          <w:szCs w:val="32"/>
        </w:rPr>
        <w:t>境外注册公司发行的债券在本所的备案，参照适用本指引。</w:t>
      </w:r>
    </w:p>
    <w:p>
      <w:pPr>
        <w:pStyle w:val="26"/>
        <w:numPr>
          <w:ilvl w:val="0"/>
          <w:numId w:val="1"/>
        </w:numPr>
        <w:spacing w:line="600" w:lineRule="exact"/>
        <w:ind w:left="0" w:firstLine="640"/>
        <w:rPr>
          <w:rFonts w:ascii="Times New Roman" w:hAnsi="Times New Roman" w:eastAsia="仿宋"/>
          <w:b/>
          <w:sz w:val="32"/>
          <w:szCs w:val="32"/>
        </w:rPr>
      </w:pPr>
      <w:r>
        <w:rPr>
          <w:rFonts w:hint="eastAsia" w:ascii="Times New Roman" w:hAnsi="Times New Roman" w:eastAsia="仿宋"/>
          <w:sz w:val="32"/>
          <w:szCs w:val="32"/>
        </w:rPr>
        <w:t>本指引由本所负责解释。</w:t>
      </w:r>
    </w:p>
    <w:p>
      <w:pPr>
        <w:pStyle w:val="26"/>
        <w:numPr>
          <w:ilvl w:val="0"/>
          <w:numId w:val="1"/>
        </w:numPr>
        <w:spacing w:line="600" w:lineRule="exact"/>
        <w:ind w:left="0" w:firstLine="640"/>
        <w:rPr>
          <w:rFonts w:ascii="Times New Roman" w:hAnsi="Times New Roman"/>
        </w:rPr>
      </w:pPr>
      <w:r>
        <w:rPr>
          <w:rFonts w:hint="eastAsia" w:ascii="Times New Roman" w:hAnsi="Times New Roman" w:eastAsia="仿宋"/>
          <w:sz w:val="32"/>
          <w:szCs w:val="32"/>
        </w:rPr>
        <w:t>本指引自发布之日起施行。</w:t>
      </w:r>
    </w:p>
    <w:p>
      <w:pPr>
        <w:spacing w:line="600" w:lineRule="exact"/>
        <w:rPr>
          <w:rFonts w:ascii="Times New Roman" w:hAnsi="Times New Roman"/>
        </w:rPr>
      </w:pPr>
    </w:p>
    <w:p>
      <w:pPr>
        <w:spacing w:line="600" w:lineRule="exact"/>
        <w:rPr>
          <w:rFonts w:ascii="Times New Roman" w:hAnsi="Times New Roman"/>
        </w:rPr>
      </w:pPr>
    </w:p>
    <w:p>
      <w:pPr>
        <w:spacing w:line="600" w:lineRule="exact"/>
        <w:rPr>
          <w:rFonts w:ascii="Times New Roman" w:hAnsi="Times New Roman"/>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ascii="Times New Roman" w:hAnsi="Times New Roman" w:eastAsia="方正仿宋简体"/>
          <w:sz w:val="30"/>
          <w:szCs w:val="30"/>
        </w:rPr>
      </w:pPr>
    </w:p>
    <w:p>
      <w:pPr>
        <w:spacing w:line="280" w:lineRule="exact"/>
        <w:rPr>
          <w:rFonts w:hint="eastAsia" w:ascii="Times New Roman" w:hAnsi="Times New Roman" w:eastAsia="方正仿宋简体"/>
          <w:sz w:val="30"/>
          <w:szCs w:val="30"/>
        </w:rPr>
      </w:pPr>
      <w:bookmarkStart w:id="2" w:name="_GoBack"/>
      <w:bookmarkEnd w:id="2"/>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仿宋简体">
    <w:altName w:val="方正仿宋_GBK"/>
    <w:panose1 w:val="02010601030101010101"/>
    <w:charset w:val="86"/>
    <w:family w:val="auto"/>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1847242"/>
    </w:sdtPr>
    <w:sdtEndPr>
      <w:rPr>
        <w:rFonts w:asciiTheme="minorEastAsia" w:hAnsiTheme="minorEastAsia"/>
        <w:sz w:val="28"/>
        <w:szCs w:val="28"/>
      </w:rPr>
    </w:sdtEndPr>
    <w:sdtContent>
      <w:p>
        <w:pPr>
          <w:pStyle w:val="7"/>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7 -</w:t>
        </w:r>
        <w:r>
          <w:rPr>
            <w:rFonts w:asciiTheme="minorEastAsia" w:hAnsiTheme="minorEastAsia"/>
            <w:sz w:val="28"/>
            <w:szCs w:val="28"/>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421027952"/>
    </w:sdtPr>
    <w:sdtEndPr>
      <w:rPr>
        <w:rFonts w:asciiTheme="minorEastAsia" w:hAnsiTheme="minorEastAsia"/>
        <w:sz w:val="28"/>
        <w:szCs w:val="28"/>
      </w:rPr>
    </w:sdtEndPr>
    <w:sdtContent>
      <w:p>
        <w:pPr>
          <w:pStyle w:val="7"/>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8 -</w:t>
        </w:r>
        <w:r>
          <w:rPr>
            <w:rFonts w:asciiTheme="minorEastAsia" w:hAnsiTheme="minorEastAsia"/>
            <w:sz w:val="28"/>
            <w:szCs w:val="28"/>
          </w:rPr>
          <w:fldChar w:fldCharType="end"/>
        </w:r>
      </w:p>
    </w:sdtContent>
  </w:sdt>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5E087D"/>
    <w:multiLevelType w:val="singleLevel"/>
    <w:tmpl w:val="4B5E087D"/>
    <w:lvl w:ilvl="0" w:tentative="0">
      <w:start w:val="1"/>
      <w:numFmt w:val="chineseCounting"/>
      <w:suff w:val="nothing"/>
      <w:lvlText w:val="（%1）"/>
      <w:lvlJc w:val="left"/>
      <w:rPr>
        <w:rFonts w:hint="eastAsia"/>
      </w:rPr>
    </w:lvl>
  </w:abstractNum>
  <w:abstractNum w:abstractNumId="1">
    <w:nsid w:val="7DB6052E"/>
    <w:multiLevelType w:val="multilevel"/>
    <w:tmpl w:val="7DB6052E"/>
    <w:lvl w:ilvl="0" w:tentative="0">
      <w:start w:val="1"/>
      <w:numFmt w:val="chineseCountingThousand"/>
      <w:lvlText w:val="第%1条"/>
      <w:lvlJc w:val="left"/>
      <w:pPr>
        <w:ind w:left="3964" w:hanging="420"/>
      </w:pPr>
      <w:rPr>
        <w:rFonts w:hint="eastAsia" w:eastAsia="仿宋_GB2312"/>
        <w:b/>
        <w:i w:val="0"/>
        <w:color w:val="auto"/>
        <w:sz w:val="30"/>
        <w:shd w:val="clear" w:color="auto" w:fill="auto"/>
        <w:lang w:val="en-US"/>
      </w:rPr>
    </w:lvl>
    <w:lvl w:ilvl="1" w:tentative="0">
      <w:start w:val="1"/>
      <w:numFmt w:val="lowerLetter"/>
      <w:lvlText w:val="%2)"/>
      <w:lvlJc w:val="left"/>
      <w:pPr>
        <w:ind w:left="1452" w:hanging="420"/>
      </w:pPr>
    </w:lvl>
    <w:lvl w:ilvl="2" w:tentative="0">
      <w:start w:val="1"/>
      <w:numFmt w:val="lowerRoman"/>
      <w:lvlText w:val="%3."/>
      <w:lvlJc w:val="right"/>
      <w:pPr>
        <w:ind w:left="1872" w:hanging="420"/>
      </w:pPr>
    </w:lvl>
    <w:lvl w:ilvl="3" w:tentative="0">
      <w:start w:val="1"/>
      <w:numFmt w:val="decimal"/>
      <w:lvlText w:val="%4."/>
      <w:lvlJc w:val="left"/>
      <w:pPr>
        <w:ind w:left="2292" w:hanging="420"/>
      </w:pPr>
    </w:lvl>
    <w:lvl w:ilvl="4" w:tentative="0">
      <w:start w:val="1"/>
      <w:numFmt w:val="lowerLetter"/>
      <w:lvlText w:val="%5)"/>
      <w:lvlJc w:val="left"/>
      <w:pPr>
        <w:ind w:left="2712" w:hanging="420"/>
      </w:pPr>
    </w:lvl>
    <w:lvl w:ilvl="5" w:tentative="0">
      <w:start w:val="1"/>
      <w:numFmt w:val="lowerRoman"/>
      <w:lvlText w:val="%6."/>
      <w:lvlJc w:val="right"/>
      <w:pPr>
        <w:ind w:left="3132" w:hanging="420"/>
      </w:pPr>
    </w:lvl>
    <w:lvl w:ilvl="6" w:tentative="0">
      <w:start w:val="1"/>
      <w:numFmt w:val="decimal"/>
      <w:lvlText w:val="%7."/>
      <w:lvlJc w:val="left"/>
      <w:pPr>
        <w:ind w:left="3552" w:hanging="420"/>
      </w:pPr>
    </w:lvl>
    <w:lvl w:ilvl="7" w:tentative="0">
      <w:start w:val="1"/>
      <w:numFmt w:val="lowerLetter"/>
      <w:lvlText w:val="%8)"/>
      <w:lvlJc w:val="left"/>
      <w:pPr>
        <w:ind w:left="3972" w:hanging="420"/>
      </w:pPr>
    </w:lvl>
    <w:lvl w:ilvl="8" w:tentative="0">
      <w:start w:val="1"/>
      <w:numFmt w:val="lowerRoman"/>
      <w:lvlText w:val="%9."/>
      <w:lvlJc w:val="right"/>
      <w:pPr>
        <w:ind w:left="4392"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418"/>
    <w:rsid w:val="00043B6B"/>
    <w:rsid w:val="00067A0C"/>
    <w:rsid w:val="000832D4"/>
    <w:rsid w:val="000C400C"/>
    <w:rsid w:val="000D056E"/>
    <w:rsid w:val="000D4064"/>
    <w:rsid w:val="000D6864"/>
    <w:rsid w:val="001005A5"/>
    <w:rsid w:val="00101F67"/>
    <w:rsid w:val="00113996"/>
    <w:rsid w:val="0012500F"/>
    <w:rsid w:val="00154456"/>
    <w:rsid w:val="00163757"/>
    <w:rsid w:val="0020392E"/>
    <w:rsid w:val="00217689"/>
    <w:rsid w:val="002254FE"/>
    <w:rsid w:val="00265791"/>
    <w:rsid w:val="002811A9"/>
    <w:rsid w:val="002A5C53"/>
    <w:rsid w:val="002E605E"/>
    <w:rsid w:val="002F193E"/>
    <w:rsid w:val="00304BCA"/>
    <w:rsid w:val="00312563"/>
    <w:rsid w:val="00335284"/>
    <w:rsid w:val="00347FFB"/>
    <w:rsid w:val="00384B11"/>
    <w:rsid w:val="003B1CB4"/>
    <w:rsid w:val="003C5511"/>
    <w:rsid w:val="00402FCB"/>
    <w:rsid w:val="0040783C"/>
    <w:rsid w:val="00430342"/>
    <w:rsid w:val="00472F63"/>
    <w:rsid w:val="00480C86"/>
    <w:rsid w:val="0048689B"/>
    <w:rsid w:val="00493687"/>
    <w:rsid w:val="004A7F67"/>
    <w:rsid w:val="004B6CEC"/>
    <w:rsid w:val="004E4DB0"/>
    <w:rsid w:val="00561850"/>
    <w:rsid w:val="00567A6A"/>
    <w:rsid w:val="005C5E3B"/>
    <w:rsid w:val="005D21B3"/>
    <w:rsid w:val="005E620C"/>
    <w:rsid w:val="00602FA8"/>
    <w:rsid w:val="00620CB5"/>
    <w:rsid w:val="00625207"/>
    <w:rsid w:val="00650F31"/>
    <w:rsid w:val="00651409"/>
    <w:rsid w:val="00674E3D"/>
    <w:rsid w:val="006A6F13"/>
    <w:rsid w:val="00705584"/>
    <w:rsid w:val="007211B0"/>
    <w:rsid w:val="00731EC1"/>
    <w:rsid w:val="00741CB5"/>
    <w:rsid w:val="007743F6"/>
    <w:rsid w:val="007916BD"/>
    <w:rsid w:val="007D16CE"/>
    <w:rsid w:val="0080772B"/>
    <w:rsid w:val="008164F6"/>
    <w:rsid w:val="00826324"/>
    <w:rsid w:val="00827418"/>
    <w:rsid w:val="0087335E"/>
    <w:rsid w:val="00884685"/>
    <w:rsid w:val="008C6FBC"/>
    <w:rsid w:val="008E1CBE"/>
    <w:rsid w:val="008F7C78"/>
    <w:rsid w:val="0091437E"/>
    <w:rsid w:val="0091589D"/>
    <w:rsid w:val="00933143"/>
    <w:rsid w:val="009733D4"/>
    <w:rsid w:val="009969F1"/>
    <w:rsid w:val="009974D3"/>
    <w:rsid w:val="009B2C15"/>
    <w:rsid w:val="009D2A2B"/>
    <w:rsid w:val="009D548A"/>
    <w:rsid w:val="009D7B51"/>
    <w:rsid w:val="009F1AD8"/>
    <w:rsid w:val="009F3E56"/>
    <w:rsid w:val="00A10B70"/>
    <w:rsid w:val="00A30868"/>
    <w:rsid w:val="00A4673B"/>
    <w:rsid w:val="00A97944"/>
    <w:rsid w:val="00AA3660"/>
    <w:rsid w:val="00AA7362"/>
    <w:rsid w:val="00AE3E0F"/>
    <w:rsid w:val="00B01F39"/>
    <w:rsid w:val="00B675E3"/>
    <w:rsid w:val="00B83238"/>
    <w:rsid w:val="00BE46A7"/>
    <w:rsid w:val="00C12738"/>
    <w:rsid w:val="00C12BE2"/>
    <w:rsid w:val="00C216F9"/>
    <w:rsid w:val="00C412D3"/>
    <w:rsid w:val="00C42BF4"/>
    <w:rsid w:val="00C57D8D"/>
    <w:rsid w:val="00C62AB5"/>
    <w:rsid w:val="00C83164"/>
    <w:rsid w:val="00CB6B06"/>
    <w:rsid w:val="00CC0DA4"/>
    <w:rsid w:val="00CC2AE0"/>
    <w:rsid w:val="00CD2744"/>
    <w:rsid w:val="00CE2D14"/>
    <w:rsid w:val="00CE4F51"/>
    <w:rsid w:val="00CF24AA"/>
    <w:rsid w:val="00CF3525"/>
    <w:rsid w:val="00CF6802"/>
    <w:rsid w:val="00D05E08"/>
    <w:rsid w:val="00D6528D"/>
    <w:rsid w:val="00D9624E"/>
    <w:rsid w:val="00DA4B96"/>
    <w:rsid w:val="00DB45AF"/>
    <w:rsid w:val="00DF15B3"/>
    <w:rsid w:val="00DF5E33"/>
    <w:rsid w:val="00E26901"/>
    <w:rsid w:val="00E40178"/>
    <w:rsid w:val="00EB7249"/>
    <w:rsid w:val="00EE0172"/>
    <w:rsid w:val="00EE27BE"/>
    <w:rsid w:val="00EE66C3"/>
    <w:rsid w:val="00EE68C5"/>
    <w:rsid w:val="00EE7C65"/>
    <w:rsid w:val="00F53C0D"/>
    <w:rsid w:val="00F56222"/>
    <w:rsid w:val="00F966B4"/>
    <w:rsid w:val="00FE7EF2"/>
    <w:rsid w:val="0BEEAF73"/>
    <w:rsid w:val="0FA79123"/>
    <w:rsid w:val="16FD6A3F"/>
    <w:rsid w:val="176721E2"/>
    <w:rsid w:val="17DDD7DC"/>
    <w:rsid w:val="1AFF4B82"/>
    <w:rsid w:val="1B7FF23C"/>
    <w:rsid w:val="1BEF5F1A"/>
    <w:rsid w:val="1BFCB036"/>
    <w:rsid w:val="1DDD7114"/>
    <w:rsid w:val="1F9FF484"/>
    <w:rsid w:val="1FBAD3D2"/>
    <w:rsid w:val="1FCE2E59"/>
    <w:rsid w:val="1FEA9C0B"/>
    <w:rsid w:val="1FFFC306"/>
    <w:rsid w:val="21E472EF"/>
    <w:rsid w:val="25393030"/>
    <w:rsid w:val="269FBF69"/>
    <w:rsid w:val="279FE5E6"/>
    <w:rsid w:val="27F737FA"/>
    <w:rsid w:val="2BDE60F8"/>
    <w:rsid w:val="2DB7C50C"/>
    <w:rsid w:val="2FA0DF5F"/>
    <w:rsid w:val="2FFF8735"/>
    <w:rsid w:val="31EB5031"/>
    <w:rsid w:val="33D804C3"/>
    <w:rsid w:val="3527286B"/>
    <w:rsid w:val="356A9A35"/>
    <w:rsid w:val="357D31B1"/>
    <w:rsid w:val="37AD50B6"/>
    <w:rsid w:val="37FA0CEA"/>
    <w:rsid w:val="37FFC2E4"/>
    <w:rsid w:val="38BCAC3E"/>
    <w:rsid w:val="39FD12C7"/>
    <w:rsid w:val="3ADFAFB0"/>
    <w:rsid w:val="3AFA4A8D"/>
    <w:rsid w:val="3B73803F"/>
    <w:rsid w:val="3B77381D"/>
    <w:rsid w:val="3B7B438C"/>
    <w:rsid w:val="3B7F3FBC"/>
    <w:rsid w:val="3BFDBDD8"/>
    <w:rsid w:val="3C9B4441"/>
    <w:rsid w:val="3DA74969"/>
    <w:rsid w:val="3DAFD9A6"/>
    <w:rsid w:val="3DE1F97A"/>
    <w:rsid w:val="3DEDC4C4"/>
    <w:rsid w:val="3DFF1F5D"/>
    <w:rsid w:val="3E7A3F7F"/>
    <w:rsid w:val="3EDF3D90"/>
    <w:rsid w:val="3F7489B4"/>
    <w:rsid w:val="3F7FB9BC"/>
    <w:rsid w:val="3F7FED8F"/>
    <w:rsid w:val="3FBE962B"/>
    <w:rsid w:val="3FDDFD2D"/>
    <w:rsid w:val="3FEF4DCC"/>
    <w:rsid w:val="3FFF0A61"/>
    <w:rsid w:val="3FFF97AC"/>
    <w:rsid w:val="46F73CFD"/>
    <w:rsid w:val="49FDE5D3"/>
    <w:rsid w:val="4EEFD199"/>
    <w:rsid w:val="4F5E34E4"/>
    <w:rsid w:val="4FEF92A4"/>
    <w:rsid w:val="4FFFDD0B"/>
    <w:rsid w:val="537F736F"/>
    <w:rsid w:val="54E5576A"/>
    <w:rsid w:val="55796B55"/>
    <w:rsid w:val="55F7F61A"/>
    <w:rsid w:val="57D18023"/>
    <w:rsid w:val="57E8959E"/>
    <w:rsid w:val="57EF1C6B"/>
    <w:rsid w:val="57FB49C2"/>
    <w:rsid w:val="57FF55AE"/>
    <w:rsid w:val="58FBA1EF"/>
    <w:rsid w:val="593FF178"/>
    <w:rsid w:val="5ABE306A"/>
    <w:rsid w:val="5D7B7C36"/>
    <w:rsid w:val="5D7D4E2F"/>
    <w:rsid w:val="5DFFCB42"/>
    <w:rsid w:val="5ED41313"/>
    <w:rsid w:val="5F496990"/>
    <w:rsid w:val="5F7E1ED1"/>
    <w:rsid w:val="5F9FC306"/>
    <w:rsid w:val="5FD91480"/>
    <w:rsid w:val="5FDD3408"/>
    <w:rsid w:val="5FEF0FB4"/>
    <w:rsid w:val="5FFE3745"/>
    <w:rsid w:val="5FFFB77C"/>
    <w:rsid w:val="63D7B9FF"/>
    <w:rsid w:val="676DB251"/>
    <w:rsid w:val="67BF11AD"/>
    <w:rsid w:val="67FB2889"/>
    <w:rsid w:val="67FBB57A"/>
    <w:rsid w:val="6B768CBC"/>
    <w:rsid w:val="6BC74887"/>
    <w:rsid w:val="6CED7547"/>
    <w:rsid w:val="6DF04A92"/>
    <w:rsid w:val="6E7D9151"/>
    <w:rsid w:val="6F378AEB"/>
    <w:rsid w:val="6F6F3D0A"/>
    <w:rsid w:val="6F7F0665"/>
    <w:rsid w:val="6FAAA97E"/>
    <w:rsid w:val="6FBFFE60"/>
    <w:rsid w:val="6FD68CD1"/>
    <w:rsid w:val="6FDF461A"/>
    <w:rsid w:val="6FDFD626"/>
    <w:rsid w:val="6FE47E65"/>
    <w:rsid w:val="6FECAA40"/>
    <w:rsid w:val="6FFA3167"/>
    <w:rsid w:val="6FFF5DDE"/>
    <w:rsid w:val="71D5F7AA"/>
    <w:rsid w:val="72AB16F2"/>
    <w:rsid w:val="736FB956"/>
    <w:rsid w:val="73772F40"/>
    <w:rsid w:val="73FA3E39"/>
    <w:rsid w:val="74F79558"/>
    <w:rsid w:val="7572558B"/>
    <w:rsid w:val="75DDA649"/>
    <w:rsid w:val="76D456E6"/>
    <w:rsid w:val="76FBDEA9"/>
    <w:rsid w:val="76FFB9B1"/>
    <w:rsid w:val="76FFF0D8"/>
    <w:rsid w:val="776DA8F0"/>
    <w:rsid w:val="777E6246"/>
    <w:rsid w:val="77BFDE96"/>
    <w:rsid w:val="77FB877C"/>
    <w:rsid w:val="77FBC472"/>
    <w:rsid w:val="77FBE7ED"/>
    <w:rsid w:val="77FF68F5"/>
    <w:rsid w:val="782F93B0"/>
    <w:rsid w:val="7867D524"/>
    <w:rsid w:val="78B74AB3"/>
    <w:rsid w:val="7A4D7425"/>
    <w:rsid w:val="7A9628DA"/>
    <w:rsid w:val="7AEF3497"/>
    <w:rsid w:val="7B6DF911"/>
    <w:rsid w:val="7B6F4C0F"/>
    <w:rsid w:val="7BBFD43A"/>
    <w:rsid w:val="7BE40A9A"/>
    <w:rsid w:val="7BFE4D6C"/>
    <w:rsid w:val="7BFE9936"/>
    <w:rsid w:val="7CCD13E5"/>
    <w:rsid w:val="7CEF0E68"/>
    <w:rsid w:val="7CF69E81"/>
    <w:rsid w:val="7CFEF1E9"/>
    <w:rsid w:val="7CFF806E"/>
    <w:rsid w:val="7D3B75D5"/>
    <w:rsid w:val="7D7FD797"/>
    <w:rsid w:val="7DB719D0"/>
    <w:rsid w:val="7DE3DE0D"/>
    <w:rsid w:val="7DEBC31A"/>
    <w:rsid w:val="7DEBD14B"/>
    <w:rsid w:val="7DEF74F0"/>
    <w:rsid w:val="7DEFE16F"/>
    <w:rsid w:val="7DFB13E4"/>
    <w:rsid w:val="7DFF097D"/>
    <w:rsid w:val="7E6D7811"/>
    <w:rsid w:val="7ED64D92"/>
    <w:rsid w:val="7EF79F73"/>
    <w:rsid w:val="7EFD1223"/>
    <w:rsid w:val="7EFE61DC"/>
    <w:rsid w:val="7EFF3701"/>
    <w:rsid w:val="7F179910"/>
    <w:rsid w:val="7F3705A4"/>
    <w:rsid w:val="7F3F36F7"/>
    <w:rsid w:val="7F5F1B8D"/>
    <w:rsid w:val="7F675C96"/>
    <w:rsid w:val="7F67A361"/>
    <w:rsid w:val="7F67BA50"/>
    <w:rsid w:val="7F6B2FD0"/>
    <w:rsid w:val="7F729D8D"/>
    <w:rsid w:val="7F77D6E1"/>
    <w:rsid w:val="7FB5D617"/>
    <w:rsid w:val="7FBB33EF"/>
    <w:rsid w:val="7FBD1195"/>
    <w:rsid w:val="7FCAC732"/>
    <w:rsid w:val="7FD6B62C"/>
    <w:rsid w:val="7FDF058D"/>
    <w:rsid w:val="7FEF4F62"/>
    <w:rsid w:val="7FEFBC6F"/>
    <w:rsid w:val="7FF63944"/>
    <w:rsid w:val="7FF96DF6"/>
    <w:rsid w:val="7FFB5739"/>
    <w:rsid w:val="7FFB5F62"/>
    <w:rsid w:val="7FFD0933"/>
    <w:rsid w:val="7FFD7029"/>
    <w:rsid w:val="7FFF3A88"/>
    <w:rsid w:val="81FF68CB"/>
    <w:rsid w:val="8BDF083C"/>
    <w:rsid w:val="93D86C3C"/>
    <w:rsid w:val="93EFFF09"/>
    <w:rsid w:val="956B3FE0"/>
    <w:rsid w:val="97D98E52"/>
    <w:rsid w:val="99E73673"/>
    <w:rsid w:val="9B6F5C2F"/>
    <w:rsid w:val="9BFEAFB6"/>
    <w:rsid w:val="9D0F623C"/>
    <w:rsid w:val="9F5B0CC8"/>
    <w:rsid w:val="9FAFD1DE"/>
    <w:rsid w:val="9FFFD8AB"/>
    <w:rsid w:val="A3FF7E69"/>
    <w:rsid w:val="A5FF029F"/>
    <w:rsid w:val="A79EC23D"/>
    <w:rsid w:val="AADFEDED"/>
    <w:rsid w:val="ABFF4597"/>
    <w:rsid w:val="AEE91082"/>
    <w:rsid w:val="AEFD25AE"/>
    <w:rsid w:val="AEFF5758"/>
    <w:rsid w:val="AEFFFE20"/>
    <w:rsid w:val="AFFF75B7"/>
    <w:rsid w:val="B47D4061"/>
    <w:rsid w:val="B6794BAD"/>
    <w:rsid w:val="B77C2384"/>
    <w:rsid w:val="B79780A9"/>
    <w:rsid w:val="B7FE688D"/>
    <w:rsid w:val="B7FF37F8"/>
    <w:rsid w:val="B8F7CF25"/>
    <w:rsid w:val="B93F955E"/>
    <w:rsid w:val="BADF8F1D"/>
    <w:rsid w:val="BBBF38ED"/>
    <w:rsid w:val="BBCDDB61"/>
    <w:rsid w:val="BBD9EEDE"/>
    <w:rsid w:val="BBFFEA6E"/>
    <w:rsid w:val="BC4FD99B"/>
    <w:rsid w:val="BCB5F961"/>
    <w:rsid w:val="BE3B609D"/>
    <w:rsid w:val="BE5F430D"/>
    <w:rsid w:val="BE9FCF4E"/>
    <w:rsid w:val="BEAB14D2"/>
    <w:rsid w:val="BEAF7416"/>
    <w:rsid w:val="BEB3E42C"/>
    <w:rsid w:val="BEB7305E"/>
    <w:rsid w:val="BEFDA074"/>
    <w:rsid w:val="BF5B736C"/>
    <w:rsid w:val="BF67B0EB"/>
    <w:rsid w:val="BF7B08B6"/>
    <w:rsid w:val="BF7FBBB6"/>
    <w:rsid w:val="BF9B5CD5"/>
    <w:rsid w:val="BFDB53A9"/>
    <w:rsid w:val="BFEFC65B"/>
    <w:rsid w:val="BFF65823"/>
    <w:rsid w:val="BFF7BDD1"/>
    <w:rsid w:val="BFF7D9FE"/>
    <w:rsid w:val="BFFD82FA"/>
    <w:rsid w:val="C1F3ACF6"/>
    <w:rsid w:val="C31D44A7"/>
    <w:rsid w:val="C3DB6160"/>
    <w:rsid w:val="C3FDA1CA"/>
    <w:rsid w:val="C6DFBE97"/>
    <w:rsid w:val="C73D357B"/>
    <w:rsid w:val="C7BD6C20"/>
    <w:rsid w:val="C7CD4142"/>
    <w:rsid w:val="C7DD0DD3"/>
    <w:rsid w:val="CA6D6291"/>
    <w:rsid w:val="CDFDB57B"/>
    <w:rsid w:val="CECFEBE5"/>
    <w:rsid w:val="CF3FAFCA"/>
    <w:rsid w:val="CFB3BD8E"/>
    <w:rsid w:val="CFC99486"/>
    <w:rsid w:val="CFCF80B9"/>
    <w:rsid w:val="CFEFE882"/>
    <w:rsid w:val="D057F027"/>
    <w:rsid w:val="D2BFAD4A"/>
    <w:rsid w:val="D3BB1CCC"/>
    <w:rsid w:val="D6B6ED35"/>
    <w:rsid w:val="D6EA6DE9"/>
    <w:rsid w:val="D7A36147"/>
    <w:rsid w:val="D7FC4883"/>
    <w:rsid w:val="D8BF003B"/>
    <w:rsid w:val="D9E5AC6A"/>
    <w:rsid w:val="D9EFD585"/>
    <w:rsid w:val="DB3E2E90"/>
    <w:rsid w:val="DBD6D906"/>
    <w:rsid w:val="DBD7F96F"/>
    <w:rsid w:val="DD59CC69"/>
    <w:rsid w:val="DD9F1424"/>
    <w:rsid w:val="DEBEBAA0"/>
    <w:rsid w:val="DEBF3A80"/>
    <w:rsid w:val="DED5C507"/>
    <w:rsid w:val="DF6D3237"/>
    <w:rsid w:val="DF7F1224"/>
    <w:rsid w:val="DF7F3908"/>
    <w:rsid w:val="DFEFF1D1"/>
    <w:rsid w:val="DFF36FF6"/>
    <w:rsid w:val="DFFDD9DF"/>
    <w:rsid w:val="E366FC91"/>
    <w:rsid w:val="E4BF268F"/>
    <w:rsid w:val="E5F863F4"/>
    <w:rsid w:val="E7BF0A07"/>
    <w:rsid w:val="E7D76099"/>
    <w:rsid w:val="EA78BB3B"/>
    <w:rsid w:val="EAFF0657"/>
    <w:rsid w:val="EBB68B4B"/>
    <w:rsid w:val="EBCFEBE9"/>
    <w:rsid w:val="EBE7C8BD"/>
    <w:rsid w:val="ECEB35F0"/>
    <w:rsid w:val="EDB752EE"/>
    <w:rsid w:val="EDFF4DC0"/>
    <w:rsid w:val="EE5FF73D"/>
    <w:rsid w:val="EEBD6D59"/>
    <w:rsid w:val="EEDF96D7"/>
    <w:rsid w:val="EF1F298C"/>
    <w:rsid w:val="EF6771E5"/>
    <w:rsid w:val="EF7D0667"/>
    <w:rsid w:val="EFBF84AB"/>
    <w:rsid w:val="EFF34501"/>
    <w:rsid w:val="EFF4C59D"/>
    <w:rsid w:val="EFF56E6F"/>
    <w:rsid w:val="F1F764F6"/>
    <w:rsid w:val="F2F714E8"/>
    <w:rsid w:val="F33BFD4F"/>
    <w:rsid w:val="F37709C6"/>
    <w:rsid w:val="F3BFA8C5"/>
    <w:rsid w:val="F3F736FA"/>
    <w:rsid w:val="F3FCE068"/>
    <w:rsid w:val="F4BBC871"/>
    <w:rsid w:val="F57FAB2C"/>
    <w:rsid w:val="F5BCB7EC"/>
    <w:rsid w:val="F5E7133D"/>
    <w:rsid w:val="F5FA0F6D"/>
    <w:rsid w:val="F6FBF674"/>
    <w:rsid w:val="F7379312"/>
    <w:rsid w:val="F73FB4A5"/>
    <w:rsid w:val="F77B5DAC"/>
    <w:rsid w:val="F77E4027"/>
    <w:rsid w:val="F7BBA887"/>
    <w:rsid w:val="F7CF4F41"/>
    <w:rsid w:val="F7E76FD5"/>
    <w:rsid w:val="F7FF1B72"/>
    <w:rsid w:val="F97723B7"/>
    <w:rsid w:val="F97F164B"/>
    <w:rsid w:val="F9A97EE2"/>
    <w:rsid w:val="F9BFFD01"/>
    <w:rsid w:val="F9CE58AC"/>
    <w:rsid w:val="F9F7A09E"/>
    <w:rsid w:val="FA6FC42E"/>
    <w:rsid w:val="FA7F77BA"/>
    <w:rsid w:val="FAFDEB62"/>
    <w:rsid w:val="FB6BBB39"/>
    <w:rsid w:val="FBB722E3"/>
    <w:rsid w:val="FBF74015"/>
    <w:rsid w:val="FBFB98A0"/>
    <w:rsid w:val="FBFF14B1"/>
    <w:rsid w:val="FBFF9FA7"/>
    <w:rsid w:val="FBFFAFCE"/>
    <w:rsid w:val="FC4F85DC"/>
    <w:rsid w:val="FC552470"/>
    <w:rsid w:val="FCE7C107"/>
    <w:rsid w:val="FCFFE061"/>
    <w:rsid w:val="FDD79B3E"/>
    <w:rsid w:val="FDED634D"/>
    <w:rsid w:val="FDF76FED"/>
    <w:rsid w:val="FDF7D7FC"/>
    <w:rsid w:val="FDFDC604"/>
    <w:rsid w:val="FDFF5C72"/>
    <w:rsid w:val="FE3E903F"/>
    <w:rsid w:val="FE7E9B87"/>
    <w:rsid w:val="FE7F1CEA"/>
    <w:rsid w:val="FEAF7AB9"/>
    <w:rsid w:val="FEBFC280"/>
    <w:rsid w:val="FECCE45C"/>
    <w:rsid w:val="FECFFEBC"/>
    <w:rsid w:val="FEE52F29"/>
    <w:rsid w:val="FEFEE35D"/>
    <w:rsid w:val="FF6F7443"/>
    <w:rsid w:val="FF77D817"/>
    <w:rsid w:val="FF796DCC"/>
    <w:rsid w:val="FF97D7D2"/>
    <w:rsid w:val="FF9AD75C"/>
    <w:rsid w:val="FFAF6722"/>
    <w:rsid w:val="FFCFEF9D"/>
    <w:rsid w:val="FFD53D23"/>
    <w:rsid w:val="FFD75D1A"/>
    <w:rsid w:val="FFDB0AE4"/>
    <w:rsid w:val="FFDBCC9A"/>
    <w:rsid w:val="FFDC3A30"/>
    <w:rsid w:val="FFDD0B53"/>
    <w:rsid w:val="FFDD81D1"/>
    <w:rsid w:val="FFEA200F"/>
    <w:rsid w:val="FFED6F5C"/>
    <w:rsid w:val="FFF5D610"/>
    <w:rsid w:val="FFF784B7"/>
    <w:rsid w:val="FFF7DC84"/>
    <w:rsid w:val="FFFDFE7E"/>
    <w:rsid w:val="FFFFF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1"/>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link w:val="23"/>
    <w:unhideWhenUsed/>
    <w:qFormat/>
    <w:uiPriority w:val="0"/>
    <w:pPr>
      <w:jc w:val="left"/>
    </w:pPr>
    <w:rPr>
      <w:rFonts w:ascii="Calibri" w:hAnsi="Calibri" w:eastAsia="宋体" w:cs="Times New Roman"/>
      <w:szCs w:val="22"/>
    </w:rPr>
  </w:style>
  <w:style w:type="paragraph" w:styleId="6">
    <w:name w:val="Balloon Text"/>
    <w:basedOn w:val="1"/>
    <w:link w:val="22"/>
    <w:semiHidden/>
    <w:unhideWhenUsed/>
    <w:qFormat/>
    <w:uiPriority w:val="99"/>
    <w:rPr>
      <w:rFonts w:ascii="Calibri" w:hAnsi="Calibri" w:eastAsia="宋体" w:cs="Times New Roman"/>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400" w:lineRule="exact"/>
      <w:jc w:val="left"/>
    </w:pPr>
    <w:rPr>
      <w:rFonts w:ascii="Times New Roman" w:hAnsi="Times New Roman" w:eastAsia="仿宋" w:cs="Times New Roman"/>
      <w:b/>
      <w:kern w:val="0"/>
      <w:sz w:val="32"/>
      <w:szCs w:val="32"/>
    </w:rPr>
  </w:style>
  <w:style w:type="paragraph" w:styleId="10">
    <w:name w:val="toc 2"/>
    <w:basedOn w:val="1"/>
    <w:next w:val="1"/>
    <w:unhideWhenUsed/>
    <w:qFormat/>
    <w:uiPriority w:val="39"/>
    <w:pPr>
      <w:widowControl/>
      <w:tabs>
        <w:tab w:val="right" w:leader="dot" w:pos="8296"/>
      </w:tabs>
      <w:spacing w:after="100" w:line="400" w:lineRule="exact"/>
      <w:ind w:left="220"/>
      <w:jc w:val="left"/>
    </w:pPr>
    <w:rPr>
      <w:rFonts w:ascii="Times New Roman" w:hAnsi="Times New Roman" w:eastAsia="仿宋" w:cs="Times New Roman"/>
      <w:kern w:val="0"/>
      <w:sz w:val="32"/>
      <w:szCs w:val="32"/>
    </w:rPr>
  </w:style>
  <w:style w:type="paragraph" w:styleId="11">
    <w:name w:val="annotation subject"/>
    <w:basedOn w:val="5"/>
    <w:next w:val="5"/>
    <w:link w:val="24"/>
    <w:semiHidden/>
    <w:unhideWhenUsed/>
    <w:qFormat/>
    <w:uiPriority w:val="99"/>
    <w:rPr>
      <w:b/>
      <w:bCs/>
    </w:rPr>
  </w:style>
  <w:style w:type="table" w:styleId="13">
    <w:name w:val="Table Grid"/>
    <w:basedOn w:val="12"/>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qFormat/>
    <w:uiPriority w:val="0"/>
  </w:style>
  <w:style w:type="character" w:styleId="16">
    <w:name w:val="Hyperlink"/>
    <w:basedOn w:val="14"/>
    <w:unhideWhenUsed/>
    <w:qFormat/>
    <w:uiPriority w:val="99"/>
    <w:rPr>
      <w:color w:val="0000FF" w:themeColor="hyperlink"/>
      <w:u w:val="single"/>
      <w14:textFill>
        <w14:solidFill>
          <w14:schemeClr w14:val="hlink"/>
        </w14:solidFill>
      </w14:textFill>
    </w:rPr>
  </w:style>
  <w:style w:type="character" w:styleId="17">
    <w:name w:val="annotation reference"/>
    <w:unhideWhenUsed/>
    <w:qFormat/>
    <w:uiPriority w:val="0"/>
    <w:rPr>
      <w:sz w:val="21"/>
      <w:szCs w:val="21"/>
    </w:rPr>
  </w:style>
  <w:style w:type="character" w:customStyle="1" w:styleId="18">
    <w:name w:val="页眉 Char"/>
    <w:basedOn w:val="14"/>
    <w:link w:val="8"/>
    <w:qFormat/>
    <w:uiPriority w:val="99"/>
    <w:rPr>
      <w:sz w:val="18"/>
      <w:szCs w:val="18"/>
    </w:rPr>
  </w:style>
  <w:style w:type="character" w:customStyle="1" w:styleId="19">
    <w:name w:val="页脚 Char"/>
    <w:basedOn w:val="14"/>
    <w:link w:val="7"/>
    <w:qFormat/>
    <w:uiPriority w:val="99"/>
    <w:rPr>
      <w:sz w:val="18"/>
      <w:szCs w:val="18"/>
    </w:rPr>
  </w:style>
  <w:style w:type="character" w:customStyle="1" w:styleId="20">
    <w:name w:val="标题 1 Char"/>
    <w:basedOn w:val="14"/>
    <w:link w:val="2"/>
    <w:qFormat/>
    <w:uiPriority w:val="9"/>
    <w:rPr>
      <w:b/>
      <w:bCs/>
      <w:kern w:val="44"/>
      <w:sz w:val="44"/>
      <w:szCs w:val="44"/>
    </w:rPr>
  </w:style>
  <w:style w:type="character" w:customStyle="1" w:styleId="21">
    <w:name w:val="标题 2 Char"/>
    <w:basedOn w:val="14"/>
    <w:link w:val="3"/>
    <w:qFormat/>
    <w:uiPriority w:val="0"/>
    <w:rPr>
      <w:rFonts w:ascii="Arial" w:hAnsi="Arial" w:eastAsia="黑体" w:cs="Times New Roman"/>
      <w:b/>
      <w:sz w:val="32"/>
      <w:szCs w:val="20"/>
    </w:rPr>
  </w:style>
  <w:style w:type="character" w:customStyle="1" w:styleId="22">
    <w:name w:val="批注框文本 Char"/>
    <w:basedOn w:val="14"/>
    <w:link w:val="6"/>
    <w:semiHidden/>
    <w:qFormat/>
    <w:uiPriority w:val="99"/>
    <w:rPr>
      <w:rFonts w:ascii="Calibri" w:hAnsi="Calibri" w:eastAsia="宋体" w:cs="Times New Roman"/>
      <w:sz w:val="18"/>
      <w:szCs w:val="18"/>
    </w:rPr>
  </w:style>
  <w:style w:type="character" w:customStyle="1" w:styleId="23">
    <w:name w:val="批注文字 Char"/>
    <w:basedOn w:val="14"/>
    <w:link w:val="5"/>
    <w:qFormat/>
    <w:uiPriority w:val="0"/>
    <w:rPr>
      <w:rFonts w:ascii="Calibri" w:hAnsi="Calibri" w:eastAsia="宋体" w:cs="Times New Roman"/>
    </w:rPr>
  </w:style>
  <w:style w:type="character" w:customStyle="1" w:styleId="24">
    <w:name w:val="批注主题 Char"/>
    <w:basedOn w:val="23"/>
    <w:link w:val="11"/>
    <w:semiHidden/>
    <w:qFormat/>
    <w:uiPriority w:val="99"/>
    <w:rPr>
      <w:rFonts w:ascii="Calibri" w:hAnsi="Calibri" w:eastAsia="宋体" w:cs="Times New Roman"/>
      <w:b/>
      <w:bCs/>
    </w:rPr>
  </w:style>
  <w:style w:type="paragraph" w:customStyle="1" w:styleId="25">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6">
    <w:name w:val="List Paragraph"/>
    <w:basedOn w:val="1"/>
    <w:qFormat/>
    <w:uiPriority w:val="34"/>
    <w:pPr>
      <w:ind w:firstLine="420" w:firstLineChars="200"/>
    </w:pPr>
    <w:rPr>
      <w:rFonts w:ascii="Calibri" w:hAnsi="Calibri" w:eastAsia="宋体" w:cs="Times New Roman"/>
      <w:szCs w:val="22"/>
    </w:rPr>
  </w:style>
  <w:style w:type="paragraph" w:customStyle="1" w:styleId="27">
    <w:name w:val="修订1"/>
    <w:hidden/>
    <w:semiHidden/>
    <w:qFormat/>
    <w:uiPriority w:val="99"/>
    <w:rPr>
      <w:rFonts w:ascii="Calibri" w:hAnsi="Calibri" w:eastAsia="宋体" w:cs="Times New Roman"/>
      <w:kern w:val="2"/>
      <w:sz w:val="21"/>
      <w:szCs w:val="22"/>
      <w:lang w:val="en-US" w:eastAsia="zh-CN" w:bidi="ar-SA"/>
    </w:rPr>
  </w:style>
  <w:style w:type="character" w:customStyle="1" w:styleId="28">
    <w:name w:val="批注文字 Char1"/>
    <w:qFormat/>
    <w:uiPriority w:val="0"/>
    <w:rPr>
      <w:rFonts w:ascii="Calibri" w:hAnsi="Calibri" w:eastAsia="宋体" w:cs="黑体"/>
      <w:szCs w:val="24"/>
    </w:rPr>
  </w:style>
  <w:style w:type="character" w:customStyle="1" w:styleId="29">
    <w:name w:val="style_kwd1"/>
    <w:basedOn w:val="14"/>
    <w:qFormat/>
    <w:uiPriority w:val="0"/>
    <w:rPr>
      <w:shd w:val="clear" w:color="auto" w:fill="FFFFA6"/>
    </w:rPr>
  </w:style>
  <w:style w:type="character" w:customStyle="1" w:styleId="30">
    <w:name w:val="font11"/>
    <w:basedOn w:val="14"/>
    <w:qFormat/>
    <w:uiPriority w:val="0"/>
    <w:rPr>
      <w:rFonts w:hint="default" w:ascii="Times New Roman" w:hAnsi="Times New Roman" w:cs="Times New Roman"/>
      <w:color w:val="000000"/>
      <w:sz w:val="24"/>
      <w:szCs w:val="24"/>
      <w:u w:val="none"/>
    </w:rPr>
  </w:style>
  <w:style w:type="character" w:customStyle="1" w:styleId="31">
    <w:name w:val="font01"/>
    <w:basedOn w:val="14"/>
    <w:qFormat/>
    <w:uiPriority w:val="0"/>
    <w:rPr>
      <w:rFonts w:hint="eastAsia" w:ascii="宋体" w:hAnsi="宋体" w:eastAsia="宋体" w:cs="宋体"/>
      <w:color w:val="000000"/>
      <w:sz w:val="24"/>
      <w:szCs w:val="24"/>
      <w:u w:val="none"/>
    </w:rPr>
  </w:style>
  <w:style w:type="character" w:customStyle="1" w:styleId="32">
    <w:name w:val="font111"/>
    <w:basedOn w:val="14"/>
    <w:qFormat/>
    <w:uiPriority w:val="0"/>
    <w:rPr>
      <w:rFonts w:hint="eastAsia" w:ascii="仿宋" w:hAnsi="仿宋" w:eastAsia="仿宋" w:cs="仿宋"/>
      <w:b/>
      <w:color w:val="FF0000"/>
      <w:sz w:val="36"/>
      <w:szCs w:val="36"/>
      <w:u w:val="none"/>
    </w:rPr>
  </w:style>
  <w:style w:type="character" w:customStyle="1" w:styleId="33">
    <w:name w:val="font201"/>
    <w:basedOn w:val="14"/>
    <w:qFormat/>
    <w:uiPriority w:val="0"/>
    <w:rPr>
      <w:rFonts w:hint="eastAsia" w:ascii="仿宋" w:hAnsi="仿宋" w:eastAsia="仿宋" w:cs="仿宋"/>
      <w:color w:val="FF0000"/>
      <w:sz w:val="36"/>
      <w:szCs w:val="36"/>
      <w:u w:val="none"/>
    </w:rPr>
  </w:style>
  <w:style w:type="character" w:customStyle="1" w:styleId="34">
    <w:name w:val="font181"/>
    <w:basedOn w:val="14"/>
    <w:qFormat/>
    <w:uiPriority w:val="0"/>
    <w:rPr>
      <w:rFonts w:hint="eastAsia" w:ascii="仿宋" w:hAnsi="仿宋" w:eastAsia="仿宋" w:cs="仿宋"/>
      <w:color w:val="000000"/>
      <w:sz w:val="36"/>
      <w:szCs w:val="3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472</Words>
  <Characters>2696</Characters>
  <Lines>22</Lines>
  <Paragraphs>6</Paragraphs>
  <TotalTime>0</TotalTime>
  <ScaleCrop>false</ScaleCrop>
  <LinksUpToDate>false</LinksUpToDate>
  <CharactersWithSpaces>3162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2023-10-20T23:11:00Z</dcterms:created>
  <cp:lastPrinted>2023-09-03T12:22:00Z</cp:lastPrinted>
  <dcterms:modified xsi:type="dcterms:W3CDTF">2023-11-10T12:27:51Z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