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Times New Roman" w:hAnsi="Times New Roman" w:eastAsia="方正小标宋简体" w:cs="Times New Roman"/>
          <w:sz w:val="44"/>
          <w:szCs w:val="44"/>
        </w:rPr>
      </w:pPr>
    </w:p>
    <w:p>
      <w:pPr>
        <w:adjustRightInd w:val="0"/>
        <w:snapToGrid w:val="0"/>
        <w:spacing w:line="600" w:lineRule="exact"/>
        <w:jc w:val="center"/>
        <w:rPr>
          <w:rFonts w:ascii="Times New Roman" w:hAnsi="Times New Roman" w:eastAsia="方正大标宋简体" w:cs="Times New Roman"/>
          <w:sz w:val="44"/>
          <w:szCs w:val="44"/>
        </w:rPr>
      </w:pPr>
      <w:r>
        <w:rPr>
          <w:rFonts w:ascii="Times New Roman" w:hAnsi="Times New Roman" w:eastAsia="方正大标宋简体" w:cs="Times New Roman"/>
          <w:sz w:val="44"/>
          <w:szCs w:val="44"/>
        </w:rPr>
        <w:t>北京证券交易所</w:t>
      </w:r>
      <w:r>
        <w:rPr>
          <w:rFonts w:hint="eastAsia" w:ascii="Times New Roman" w:hAnsi="Times New Roman" w:eastAsia="方正大标宋简体" w:cs="Times New Roman"/>
          <w:sz w:val="44"/>
          <w:szCs w:val="44"/>
        </w:rPr>
        <w:t>公司债券发行承销业务指引</w:t>
      </w:r>
    </w:p>
    <w:p>
      <w:pPr>
        <w:adjustRightInd w:val="0"/>
        <w:snapToGrid w:val="0"/>
        <w:spacing w:line="600" w:lineRule="exact"/>
        <w:jc w:val="center"/>
        <w:rPr>
          <w:rFonts w:ascii="Times New Roman" w:hAnsi="Times New Roman" w:eastAsia="方正大标宋简体" w:cs="Times New Roman"/>
          <w:sz w:val="44"/>
          <w:szCs w:val="44"/>
        </w:rPr>
      </w:pPr>
      <w:r>
        <w:rPr>
          <w:rFonts w:hint="eastAsia" w:ascii="Times New Roman" w:hAnsi="Times New Roman" w:eastAsia="方正大标宋简体" w:cs="Times New Roman"/>
          <w:sz w:val="44"/>
          <w:szCs w:val="44"/>
        </w:rPr>
        <w:t>第2号——簿记建档</w:t>
      </w:r>
    </w:p>
    <w:p>
      <w:pPr>
        <w:adjustRightInd w:val="0"/>
        <w:snapToGrid w:val="0"/>
        <w:spacing w:line="600" w:lineRule="exact"/>
        <w:jc w:val="center"/>
        <w:rPr>
          <w:rFonts w:ascii="Times New Roman" w:hAnsi="Times New Roman" w:eastAsia="方正大标宋简体" w:cs="Times New Roman"/>
          <w:sz w:val="32"/>
          <w:szCs w:val="32"/>
        </w:rPr>
      </w:pPr>
    </w:p>
    <w:p>
      <w:pPr>
        <w:spacing w:before="156" w:beforeLines="50" w:after="156" w:afterLines="50" w:line="600" w:lineRule="exact"/>
        <w:jc w:val="center"/>
        <w:outlineLvl w:val="0"/>
        <w:rPr>
          <w:rFonts w:ascii="黑体" w:hAnsi="黑体" w:eastAsia="黑体"/>
          <w:sz w:val="32"/>
          <w:szCs w:val="32"/>
        </w:rPr>
      </w:pPr>
      <w:r>
        <w:rPr>
          <w:rFonts w:hint="eastAsia" w:ascii="黑体" w:hAnsi="黑体" w:eastAsia="黑体"/>
          <w:sz w:val="32"/>
          <w:szCs w:val="32"/>
        </w:rPr>
        <w:t>第一章  总则</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为了规范公司债券（含企业债券）簿记建档发行业务，维护市场秩序，保护投资者合法权益，根据《公司债券发行与交易管理办法》《北京证券交易所公司债券发行承销规则》等规定，制定本指引。</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本指引适用于申请在北京证券交易所（以下简称本所）上市挂牌的公司债券的簿记建档发行。</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上市公司可转换公司债券的簿记建档发行，不适用本指引。</w:t>
      </w:r>
    </w:p>
    <w:p>
      <w:pPr>
        <w:spacing w:before="156" w:beforeLines="50" w:after="156" w:afterLines="50" w:line="600" w:lineRule="exact"/>
        <w:jc w:val="center"/>
        <w:outlineLvl w:val="0"/>
        <w:rPr>
          <w:rFonts w:ascii="黑体" w:hAnsi="黑体" w:eastAsia="黑体"/>
          <w:sz w:val="32"/>
          <w:szCs w:val="32"/>
        </w:rPr>
      </w:pPr>
      <w:r>
        <w:rPr>
          <w:rFonts w:hint="eastAsia" w:ascii="黑体" w:hAnsi="黑体" w:eastAsia="黑体"/>
          <w:sz w:val="32"/>
          <w:szCs w:val="32"/>
        </w:rPr>
        <w:t>第二章  簿记建档参与主体</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簿记管理人应当由主承销商担任，有多家主承销商的，发行人应当指定其中一家主承销商作为簿记管理人。</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非簿记管理人的承销机构应当按照簿记建档发行安排和相关协议约定，积极配合簿记管理人工作。</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簿记管理人应当履行下列职责：</w:t>
      </w:r>
    </w:p>
    <w:p>
      <w:pPr>
        <w:pStyle w:val="35"/>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（一）与发行人协商簿记建档时间安排和详细方案；</w:t>
      </w:r>
    </w:p>
    <w:p>
      <w:pPr>
        <w:pStyle w:val="35"/>
        <w:widowControl/>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（二）在充分询价的基础上，与发行人和其他承销机构（如有）协商确定簿记建档发行利率或者价格区间</w:t>
      </w:r>
      <w:r>
        <w:rPr>
          <w:rFonts w:hint="eastAsia" w:eastAsia="方正仿宋简体"/>
          <w:sz w:val="32"/>
          <w:szCs w:val="32"/>
        </w:rPr>
        <w:t>（以下简称簿记区间）</w:t>
      </w:r>
      <w:r>
        <w:rPr>
          <w:rFonts w:hint="eastAsia" w:ascii="Times New Roman" w:hAnsi="Times New Roman" w:eastAsia="方正仿宋简体"/>
          <w:sz w:val="32"/>
          <w:szCs w:val="32"/>
        </w:rPr>
        <w:t>；</w:t>
      </w:r>
    </w:p>
    <w:p>
      <w:pPr>
        <w:pStyle w:val="35"/>
        <w:widowControl/>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（三）记录投资者认购公司债券的利率、价格及数量意愿；</w:t>
      </w:r>
    </w:p>
    <w:p>
      <w:pPr>
        <w:pStyle w:val="35"/>
        <w:widowControl/>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（四）组织簿记建档工作，维护簿记建档现场秩序，确保簿记建档工作顺利进行；</w:t>
      </w:r>
    </w:p>
    <w:p>
      <w:pPr>
        <w:pStyle w:val="35"/>
        <w:widowControl/>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（五）按照本指引及相关约定进行公司债券的定价和配售；</w:t>
      </w:r>
    </w:p>
    <w:p>
      <w:pPr>
        <w:pStyle w:val="35"/>
        <w:widowControl/>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（六）对簿记建档过程中各项重要事项的决策过程进行书面记录和说明，并妥善保存簿记建档流程各个环节的相关文件和资料；</w:t>
      </w:r>
    </w:p>
    <w:p>
      <w:pPr>
        <w:pStyle w:val="35"/>
        <w:widowControl/>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（七）按照相关规定进行与簿记建档发行相关的信息披露工作；</w:t>
      </w:r>
    </w:p>
    <w:p>
      <w:pPr>
        <w:pStyle w:val="35"/>
        <w:widowControl/>
        <w:numPr>
          <w:ilvl w:val="0"/>
          <w:numId w:val="0"/>
        </w:numPr>
        <w:spacing w:line="600" w:lineRule="exact"/>
        <w:ind w:firstLine="640" w:firstLineChars="200"/>
        <w:rPr>
          <w:rFonts w:ascii="Times New Roman" w:hAnsi="Times New Roman" w:eastAsia="方正仿宋简体"/>
          <w:sz w:val="32"/>
          <w:szCs w:val="32"/>
        </w:rPr>
      </w:pPr>
      <w:r>
        <w:rPr>
          <w:rFonts w:hint="eastAsia" w:ascii="Times New Roman" w:hAnsi="Times New Roman" w:eastAsia="方正仿宋简体"/>
          <w:sz w:val="32"/>
          <w:szCs w:val="32"/>
        </w:rPr>
        <w:t>（八）发行人委托或者本所规定的其他簿记建档工作职责。</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公司债券发行由承销团承销的，组成承销团的承销机构应当签订承销团协议。承销团成员应当按照承销团协议及承销协议的约定，参与相关承销工作。</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参与认购的投资者应当符合本所业务规则以及发行公告文件中关于公司债券投资者适当性管理的相关要求，全面评估自身的经济实力、产品风险识别能力、风险控制与承受能力，进行独立的投资判断，知悉并自行承担投资风险。</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承销机构应当采取有效措施，确保投资者符合本所投资者适当性管理相关规定。</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簿记建档参与主体及其工作人员在簿记建档过程中不得有违反公平竞争、进行利益输送、直接或者间接谋取不正当利益以及其他破坏市场秩序的行为。</w:t>
      </w:r>
    </w:p>
    <w:p>
      <w:pPr>
        <w:spacing w:before="156" w:beforeLines="50" w:after="156" w:afterLines="50" w:line="600" w:lineRule="exact"/>
        <w:jc w:val="center"/>
        <w:outlineLvl w:val="0"/>
        <w:rPr>
          <w:rFonts w:ascii="黑体" w:hAnsi="黑体" w:eastAsia="黑体"/>
          <w:sz w:val="32"/>
          <w:szCs w:val="32"/>
        </w:rPr>
      </w:pPr>
      <w:bookmarkStart w:id="0" w:name="OLE_LINK30"/>
      <w:bookmarkStart w:id="1" w:name="OLE_LINK31"/>
      <w:bookmarkStart w:id="2" w:name="OLE_LINK29"/>
      <w:bookmarkStart w:id="3" w:name="OLE_LINK28"/>
      <w:r>
        <w:rPr>
          <w:rFonts w:hint="eastAsia" w:ascii="黑体" w:hAnsi="黑体" w:eastAsia="黑体"/>
          <w:sz w:val="32"/>
          <w:szCs w:val="32"/>
        </w:rPr>
        <w:t>第三章  簿记建档现场管理</w:t>
      </w:r>
    </w:p>
    <w:bookmarkEnd w:id="0"/>
    <w:bookmarkEnd w:id="1"/>
    <w:bookmarkEnd w:id="2"/>
    <w:bookmarkEnd w:id="3"/>
    <w:p>
      <w:pPr>
        <w:numPr>
          <w:ilvl w:val="0"/>
          <w:numId w:val="2"/>
        </w:numPr>
        <w:spacing w:line="600" w:lineRule="exact"/>
        <w:ind w:left="0" w:firstLine="640" w:firstLineChars="200"/>
        <w:rPr>
          <w:rFonts w:eastAsia="方正仿宋简体"/>
          <w:sz w:val="32"/>
          <w:szCs w:val="32"/>
        </w:rPr>
      </w:pPr>
      <w:r>
        <w:rPr>
          <w:rFonts w:hint="eastAsia" w:ascii="仿宋" w:hAnsi="仿宋" w:eastAsia="仿宋"/>
          <w:kern w:val="0"/>
          <w:sz w:val="32"/>
          <w:szCs w:val="32"/>
        </w:rPr>
        <w:t>簿记建档</w:t>
      </w:r>
      <w:r>
        <w:rPr>
          <w:rFonts w:hint="eastAsia" w:ascii="仿宋" w:hAnsi="仿宋" w:eastAsia="仿宋" w:cs="宋体"/>
          <w:sz w:val="32"/>
          <w:szCs w:val="32"/>
        </w:rPr>
        <w:t>应当使用簿记建档</w:t>
      </w:r>
      <w:r>
        <w:rPr>
          <w:rFonts w:hint="eastAsia" w:ascii="仿宋" w:hAnsi="仿宋" w:eastAsia="仿宋"/>
          <w:sz w:val="32"/>
          <w:szCs w:val="32"/>
        </w:rPr>
        <w:t>系统</w:t>
      </w:r>
      <w:r>
        <w:rPr>
          <w:rFonts w:hint="eastAsia" w:ascii="仿宋" w:hAnsi="仿宋" w:eastAsia="仿宋" w:cs="宋体"/>
          <w:sz w:val="32"/>
          <w:szCs w:val="32"/>
        </w:rPr>
        <w:t>，在簿记建档专门场所或者簿记管理人自有专门场所进行。</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簿记管理人以自有专门场所进行簿记建档的，该场所应当与其他业务区域保持相对独立，符合安全、保密要求。</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簿记管理人应当在簿记建档场所配置录音电话、电脑、传真机、打印机、摄像监控工具等专用设备，保证簿记建档过程中相关设备可用、通讯畅通，并全程进行有声摄像留痕。</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簿记建档现场的参与人员（以下简称现场人员）包括发行人相关工作人员、簿记管理人的发行工作人员和内部监督人员、律师及经簿记管理人同意的其他与发行相关的人员。</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簿记管理人应当做好现场人员变动及其与外界沟通的管理和书面记录等相关工作，确保现场人员不得泄露簿记建档信息。</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簿记建档期间，现场人员与外界沟通相关事项应当通过簿记建档场所配置的专用通讯工具或者经簿记管理人认可的通讯工具进行。</w:t>
      </w:r>
      <w:r>
        <w:rPr>
          <w:rFonts w:eastAsia="方正仿宋简体"/>
          <w:sz w:val="32"/>
          <w:szCs w:val="32"/>
        </w:rPr>
        <w:t>簿记建档现场监督人员应</w:t>
      </w:r>
      <w:r>
        <w:rPr>
          <w:rFonts w:hint="eastAsia" w:eastAsia="方正仿宋简体"/>
          <w:sz w:val="32"/>
          <w:szCs w:val="32"/>
        </w:rPr>
        <w:t>当</w:t>
      </w:r>
      <w:r>
        <w:rPr>
          <w:rFonts w:eastAsia="方正仿宋简体"/>
          <w:sz w:val="32"/>
          <w:szCs w:val="32"/>
        </w:rPr>
        <w:t>监督</w:t>
      </w:r>
      <w:r>
        <w:rPr>
          <w:rFonts w:hint="eastAsia" w:eastAsia="方正仿宋简体"/>
          <w:sz w:val="32"/>
          <w:szCs w:val="32"/>
        </w:rPr>
        <w:t>相关</w:t>
      </w:r>
      <w:r>
        <w:rPr>
          <w:rFonts w:eastAsia="方正仿宋简体"/>
          <w:sz w:val="32"/>
          <w:szCs w:val="32"/>
        </w:rPr>
        <w:t>通讯工具的使用。</w:t>
      </w:r>
      <w:r>
        <w:rPr>
          <w:rFonts w:hint="eastAsia" w:eastAsia="方正仿宋简体"/>
          <w:sz w:val="32"/>
          <w:szCs w:val="32"/>
        </w:rPr>
        <w:t>现场人员不得对外泄露报价信息，不得将簿记建档相关文档带出簿记建档现场或者以影印、复印等形式对外提供，相关法律法规和本所业务规则规定可以对外提供的除外。</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簿记管理人应当保障簿记建档各参与主体公平参与簿记建档，并主动准确、及时与本期公司债券发行人、其他承销机构（如有）共享簿记建档过程中的边际利率（价格）、边际倍数和总投标规模。</w:t>
      </w:r>
    </w:p>
    <w:p>
      <w:pPr>
        <w:numPr>
          <w:ilvl w:val="255"/>
          <w:numId w:val="0"/>
        </w:numPr>
        <w:spacing w:line="600" w:lineRule="exact"/>
        <w:ind w:firstLine="640" w:firstLineChars="200"/>
        <w:rPr>
          <w:sz w:val="32"/>
          <w:szCs w:val="32"/>
        </w:rPr>
      </w:pPr>
      <w:r>
        <w:rPr>
          <w:rFonts w:hint="eastAsia" w:eastAsia="方正仿宋简体"/>
          <w:sz w:val="32"/>
          <w:szCs w:val="32"/>
        </w:rPr>
        <w:t>承销机构应当准确、及时向投资者共享接收到的簿记建档过程信息，不得为谋取不正当利益向不同参与主体区别提供簿记建档过程信息，不得提供虚假信息等诱导、误导参与主体。</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簿记管理人应当指定专门部门负责公司债券簿记建档发行业务，并由独立于承销业务之外的合规或者风控部门对簿记建档过程进行全程监督。</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发行人和主承销商</w:t>
      </w:r>
      <w:r>
        <w:rPr>
          <w:rFonts w:eastAsia="方正仿宋简体"/>
          <w:sz w:val="32"/>
          <w:szCs w:val="32"/>
        </w:rPr>
        <w:t>应当聘请律师事务</w:t>
      </w:r>
      <w:r>
        <w:rPr>
          <w:rFonts w:hint="eastAsia" w:eastAsia="方正仿宋简体"/>
          <w:sz w:val="32"/>
          <w:szCs w:val="32"/>
        </w:rPr>
        <w:t>所</w:t>
      </w:r>
      <w:r>
        <w:rPr>
          <w:rFonts w:eastAsia="方正仿宋简体"/>
          <w:sz w:val="32"/>
          <w:szCs w:val="32"/>
        </w:rPr>
        <w:t>对</w:t>
      </w:r>
      <w:r>
        <w:rPr>
          <w:rFonts w:hint="eastAsia" w:eastAsia="方正仿宋简体"/>
          <w:sz w:val="32"/>
          <w:szCs w:val="32"/>
        </w:rPr>
        <w:t>簿记建档</w:t>
      </w:r>
      <w:r>
        <w:rPr>
          <w:rFonts w:eastAsia="方正仿宋简体"/>
          <w:sz w:val="32"/>
          <w:szCs w:val="32"/>
        </w:rPr>
        <w:t>发行过程、配售行为、参与认购的投资者资质条件</w:t>
      </w:r>
      <w:r>
        <w:rPr>
          <w:rFonts w:hint="eastAsia" w:eastAsia="方正仿宋简体"/>
          <w:sz w:val="32"/>
          <w:szCs w:val="32"/>
        </w:rPr>
        <w:t>、</w:t>
      </w:r>
      <w:r>
        <w:rPr>
          <w:rFonts w:eastAsia="方正仿宋简体"/>
          <w:sz w:val="32"/>
          <w:szCs w:val="32"/>
        </w:rPr>
        <w:t>资金划拨等事项进行见证，并出具法律意见书。</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公司</w:t>
      </w:r>
      <w:r>
        <w:rPr>
          <w:rFonts w:eastAsia="方正仿宋简体"/>
          <w:sz w:val="32"/>
          <w:szCs w:val="32"/>
        </w:rPr>
        <w:t>债券上市挂牌</w:t>
      </w:r>
      <w:r>
        <w:rPr>
          <w:rFonts w:hint="eastAsia" w:eastAsia="方正仿宋简体"/>
          <w:sz w:val="32"/>
          <w:szCs w:val="32"/>
        </w:rPr>
        <w:t>之日起</w:t>
      </w:r>
      <w:r>
        <w:rPr>
          <w:rFonts w:eastAsia="方正仿宋简体"/>
          <w:sz w:val="32"/>
          <w:szCs w:val="32"/>
        </w:rPr>
        <w:t>十个交易日内，</w:t>
      </w:r>
      <w:r>
        <w:rPr>
          <w:rFonts w:hint="eastAsia" w:eastAsia="方正仿宋简体"/>
          <w:sz w:val="32"/>
          <w:szCs w:val="32"/>
        </w:rPr>
        <w:t>主承销商</w:t>
      </w:r>
      <w:r>
        <w:rPr>
          <w:rFonts w:eastAsia="方正仿宋简体"/>
          <w:sz w:val="32"/>
          <w:szCs w:val="32"/>
        </w:rPr>
        <w:t>应当向本所</w:t>
      </w:r>
      <w:r>
        <w:rPr>
          <w:rFonts w:hint="eastAsia" w:eastAsia="方正仿宋简体"/>
          <w:sz w:val="32"/>
          <w:szCs w:val="32"/>
        </w:rPr>
        <w:t>提交</w:t>
      </w:r>
      <w:r>
        <w:rPr>
          <w:rFonts w:eastAsia="方正仿宋简体"/>
          <w:sz w:val="32"/>
          <w:szCs w:val="32"/>
        </w:rPr>
        <w:t>承销总结报告</w:t>
      </w:r>
      <w:r>
        <w:rPr>
          <w:rFonts w:hint="eastAsia" w:eastAsia="方正仿宋简体"/>
          <w:sz w:val="32"/>
          <w:szCs w:val="32"/>
        </w:rPr>
        <w:t>、律师事务所按照第十四条规定出具的法律意见书</w:t>
      </w:r>
      <w:r>
        <w:rPr>
          <w:rFonts w:eastAsia="方正仿宋简体"/>
          <w:sz w:val="32"/>
          <w:szCs w:val="32"/>
        </w:rPr>
        <w:t>等文件。承销总结报告应当包括发行安排及实际发行过程、询价情况及认购情况、簿记建档系统使用情况、资金到账情况、效果评价</w:t>
      </w:r>
      <w:r>
        <w:rPr>
          <w:rFonts w:hint="eastAsia" w:eastAsia="方正仿宋简体"/>
          <w:sz w:val="32"/>
          <w:szCs w:val="32"/>
        </w:rPr>
        <w:t>及</w:t>
      </w:r>
      <w:r>
        <w:rPr>
          <w:rFonts w:eastAsia="方正仿宋简体"/>
          <w:sz w:val="32"/>
          <w:szCs w:val="32"/>
        </w:rPr>
        <w:t>承销机构费用收取情况等内容。</w:t>
      </w:r>
    </w:p>
    <w:p>
      <w:pPr>
        <w:spacing w:before="156" w:beforeLines="50" w:after="156" w:afterLines="50" w:line="600" w:lineRule="exact"/>
        <w:jc w:val="center"/>
        <w:outlineLvl w:val="0"/>
        <w:rPr>
          <w:rFonts w:ascii="黑体" w:hAnsi="黑体" w:eastAsia="黑体"/>
          <w:sz w:val="32"/>
          <w:szCs w:val="32"/>
        </w:rPr>
      </w:pPr>
      <w:r>
        <w:rPr>
          <w:rFonts w:hint="eastAsia" w:ascii="黑体" w:hAnsi="黑体" w:eastAsia="黑体"/>
          <w:sz w:val="32"/>
          <w:szCs w:val="32"/>
        </w:rPr>
        <w:t>第四章  簿记建档流程</w:t>
      </w:r>
    </w:p>
    <w:p>
      <w:pPr>
        <w:numPr>
          <w:ilvl w:val="0"/>
          <w:numId w:val="2"/>
        </w:numPr>
        <w:spacing w:line="600" w:lineRule="exact"/>
        <w:ind w:left="0" w:firstLine="640" w:firstLineChars="200"/>
        <w:rPr>
          <w:rFonts w:eastAsia="方正仿宋简体"/>
          <w:sz w:val="32"/>
          <w:szCs w:val="32"/>
        </w:rPr>
      </w:pPr>
      <w:bookmarkStart w:id="4" w:name="OLE_LINK85"/>
      <w:bookmarkStart w:id="5" w:name="OLE_LINK84"/>
      <w:r>
        <w:rPr>
          <w:rFonts w:hint="eastAsia" w:eastAsia="方正仿宋简体"/>
          <w:sz w:val="32"/>
          <w:szCs w:val="32"/>
        </w:rPr>
        <w:t>簿记建档开始前，承销机构应当向意向投资者就发行利率或者价格、认购金额等要素询价，并对询价情况予以明确记录。询价对象应当覆盖主要意向投资者类型。</w:t>
      </w:r>
    </w:p>
    <w:p>
      <w:pPr>
        <w:numPr>
          <w:ilvl w:val="255"/>
          <w:numId w:val="0"/>
        </w:numPr>
        <w:tabs>
          <w:tab w:val="left" w:pos="2127"/>
        </w:tabs>
        <w:spacing w:line="600" w:lineRule="exact"/>
        <w:ind w:firstLine="640" w:firstLineChars="200"/>
        <w:rPr>
          <w:rFonts w:eastAsia="方正仿宋简体"/>
          <w:sz w:val="32"/>
          <w:szCs w:val="32"/>
        </w:rPr>
      </w:pPr>
      <w:r>
        <w:rPr>
          <w:rFonts w:hint="eastAsia" w:eastAsia="方正仿宋简体"/>
          <w:sz w:val="32"/>
          <w:szCs w:val="32"/>
        </w:rPr>
        <w:t>承销机构询价信息应当真实、准确、完整，不得误导投资者，不得向投资者提供差异化的信息。</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簿记建档开始前，簿记管理人应当根据询价情况，与发行人以及其他承销机构（如有）协商确定簿记区间，并在发行公告文件中披露。</w:t>
      </w:r>
    </w:p>
    <w:p>
      <w:pPr>
        <w:numPr>
          <w:ilvl w:val="255"/>
          <w:numId w:val="0"/>
        </w:numPr>
        <w:tabs>
          <w:tab w:val="left" w:pos="2127"/>
        </w:tabs>
        <w:spacing w:line="600" w:lineRule="exact"/>
        <w:ind w:firstLine="640" w:firstLineChars="200"/>
        <w:rPr>
          <w:rFonts w:eastAsia="方正仿宋简体"/>
          <w:sz w:val="32"/>
          <w:szCs w:val="32"/>
        </w:rPr>
      </w:pPr>
      <w:r>
        <w:rPr>
          <w:rFonts w:hint="eastAsia" w:eastAsia="方正仿宋简体"/>
          <w:sz w:val="32"/>
          <w:szCs w:val="32"/>
        </w:rPr>
        <w:t>簿记区间应当充分考虑发行人信用溢价、期限溢价、流动性溢价等因素，参考市场同期限可比企业可比债券的发行利率、发行人历史发行债券的利率及二级估值情况、发行人对融资成本的要求、发行时的债券市场整体情况等因素合理确定。</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主承销商应当督促和协助发行人于簿记建档前一至五个交易日通过本所网站披露募集说明书、发行公告、资信评级报告（如有）、更名公告（如有）等发行公告文件，对发行方式、发行对象、发行规模、簿记区间、发行利率或者价格确定原则、配售规则、簿记建档场所、应急认购、起息日、到期日等相关安排进行明确。</w:t>
      </w:r>
    </w:p>
    <w:p>
      <w:pPr>
        <w:numPr>
          <w:ilvl w:val="255"/>
          <w:numId w:val="0"/>
        </w:numPr>
        <w:tabs>
          <w:tab w:val="left" w:pos="2127"/>
        </w:tabs>
        <w:spacing w:line="600" w:lineRule="exact"/>
        <w:ind w:firstLine="640" w:firstLineChars="200"/>
        <w:rPr>
          <w:rFonts w:eastAsia="方正仿宋简体"/>
          <w:sz w:val="32"/>
          <w:szCs w:val="32"/>
        </w:rPr>
      </w:pPr>
      <w:r>
        <w:rPr>
          <w:rFonts w:hint="eastAsia" w:eastAsia="方正仿宋简体"/>
          <w:sz w:val="32"/>
          <w:szCs w:val="32"/>
        </w:rPr>
        <w:t>发行公告文件披露后至簿记建档前，出现政策调整或者市场大幅波动等突发事件，经发行人与主承销商协商一致拟调整簿记区间等相关安排的，应当在簿记建档前重新披露发行公告文件。发行人与主承销商不得以非市场化包销为目的调整簿记区间。</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投资者应当遵循独立、客观、诚信的原则进行合理报价，不得协商报价，不得故意压低或者抬高利率、价格。</w:t>
      </w:r>
    </w:p>
    <w:p>
      <w:pPr>
        <w:pStyle w:val="26"/>
        <w:spacing w:line="600" w:lineRule="exact"/>
        <w:ind w:firstLine="640"/>
        <w:rPr>
          <w:rFonts w:eastAsia="方正仿宋简体"/>
          <w:sz w:val="32"/>
          <w:szCs w:val="32"/>
        </w:rPr>
      </w:pPr>
      <w:r>
        <w:rPr>
          <w:rFonts w:hint="eastAsia" w:eastAsia="方正仿宋简体"/>
          <w:sz w:val="32"/>
          <w:szCs w:val="32"/>
        </w:rPr>
        <w:t>发行人、承销机构应当督促投资者合理报价，无正当理由不得拒绝接收投资者报价。</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本所债券交易参与人和承销机构认可的其他专业机构投资者原则上应当通过簿记建档系统直接向簿记管理人发送认购订单。其他投资者可以向簿记管理人发送认购订单，或者向承销机构发送认购订单并由承销机构向簿记管理人发送认购订单。投资者发送认购订单的时间、方式等应当遵守发行公告文件的相关约定。</w:t>
      </w:r>
    </w:p>
    <w:p>
      <w:pPr>
        <w:numPr>
          <w:ilvl w:val="255"/>
          <w:numId w:val="0"/>
        </w:numPr>
        <w:tabs>
          <w:tab w:val="left" w:pos="2127"/>
        </w:tabs>
        <w:spacing w:line="600" w:lineRule="exact"/>
        <w:ind w:firstLine="640" w:firstLineChars="200"/>
        <w:rPr>
          <w:rFonts w:eastAsia="方正仿宋简体"/>
          <w:sz w:val="32"/>
          <w:szCs w:val="32"/>
        </w:rPr>
      </w:pPr>
      <w:r>
        <w:rPr>
          <w:rFonts w:hint="eastAsia" w:eastAsia="方正仿宋简体"/>
          <w:sz w:val="32"/>
          <w:szCs w:val="32"/>
        </w:rPr>
        <w:t>参与簿记建档的投资者提交的认购订单均视为其自身的认购订单。</w:t>
      </w:r>
    </w:p>
    <w:p>
      <w:pPr>
        <w:numPr>
          <w:ilvl w:val="255"/>
          <w:numId w:val="0"/>
        </w:numPr>
        <w:tabs>
          <w:tab w:val="left" w:pos="2127"/>
        </w:tabs>
        <w:spacing w:line="600" w:lineRule="exact"/>
        <w:ind w:firstLine="640" w:firstLineChars="200"/>
        <w:rPr>
          <w:rFonts w:eastAsia="方正仿宋简体"/>
          <w:sz w:val="32"/>
          <w:szCs w:val="32"/>
        </w:rPr>
      </w:pPr>
      <w:r>
        <w:rPr>
          <w:rFonts w:hint="eastAsia" w:eastAsia="方正仿宋简体"/>
          <w:sz w:val="32"/>
          <w:szCs w:val="32"/>
        </w:rPr>
        <w:t>承销机构应当如实向簿记管理人发送认购订单，并保存全部接收、发出的书面认购订单记录。</w:t>
      </w:r>
    </w:p>
    <w:p>
      <w:pPr>
        <w:numPr>
          <w:ilvl w:val="0"/>
          <w:numId w:val="2"/>
        </w:numPr>
        <w:tabs>
          <w:tab w:val="left" w:pos="2127"/>
        </w:tabs>
        <w:spacing w:line="600" w:lineRule="exact"/>
        <w:ind w:left="0" w:firstLine="640" w:firstLineChars="200"/>
        <w:rPr>
          <w:rFonts w:eastAsia="方正仿宋简体"/>
          <w:sz w:val="32"/>
          <w:szCs w:val="32"/>
        </w:rPr>
      </w:pPr>
      <w:r>
        <w:rPr>
          <w:rFonts w:hint="eastAsia" w:eastAsia="方正仿宋简体"/>
          <w:sz w:val="32"/>
          <w:szCs w:val="32"/>
        </w:rPr>
        <w:t xml:space="preserve"> 簿记管理人按照发行公告文件约定的时间接收并在簿记建档系统中记录每笔认购订单，并以全部有效的认购订单信息作为定价和配售的依据。认购利率、价格及数量信息应当与认购订单保持一致。</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簿记管理人应当遵循公开、公平、公正原则，按照发行公告文件中披露的定价和配售方式确定最终发行利率或者价格进行配售，并做好书面记录和说明。</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任何机构或者个人不得干涉或者操纵发行利率、价格。</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簿记管理人应当按照利率或者价格优先原则配售公司债券。对边际获配投资者的边际投标量进行配售时，簿记管理人原则</w:t>
      </w:r>
      <w:r>
        <w:rPr>
          <w:rFonts w:eastAsia="方正仿宋简体"/>
          <w:sz w:val="32"/>
          <w:szCs w:val="32"/>
        </w:rPr>
        <w:t>上</w:t>
      </w:r>
      <w:r>
        <w:rPr>
          <w:rFonts w:hint="eastAsia" w:eastAsia="方正仿宋简体"/>
          <w:sz w:val="32"/>
          <w:szCs w:val="32"/>
        </w:rPr>
        <w:t>应当</w:t>
      </w:r>
      <w:r>
        <w:rPr>
          <w:rFonts w:eastAsia="方正仿宋简体"/>
          <w:sz w:val="32"/>
          <w:szCs w:val="32"/>
        </w:rPr>
        <w:t>按</w:t>
      </w:r>
      <w:r>
        <w:rPr>
          <w:rFonts w:hint="eastAsia" w:eastAsia="方正仿宋简体"/>
          <w:sz w:val="32"/>
          <w:szCs w:val="32"/>
        </w:rPr>
        <w:t>照比例配售，并可以进行合理调整，同时应当书面记录配售</w:t>
      </w:r>
      <w:r>
        <w:rPr>
          <w:rFonts w:eastAsia="方正仿宋简体"/>
          <w:sz w:val="32"/>
          <w:szCs w:val="32"/>
        </w:rPr>
        <w:t>依据及</w:t>
      </w:r>
      <w:r>
        <w:rPr>
          <w:rFonts w:hint="eastAsia" w:eastAsia="方正仿宋简体"/>
          <w:sz w:val="32"/>
          <w:szCs w:val="32"/>
        </w:rPr>
        <w:t>决策</w:t>
      </w:r>
      <w:r>
        <w:rPr>
          <w:rFonts w:eastAsia="方正仿宋简体"/>
          <w:sz w:val="32"/>
          <w:szCs w:val="32"/>
        </w:rPr>
        <w:t>过程</w:t>
      </w:r>
      <w:r>
        <w:rPr>
          <w:rFonts w:hint="eastAsia" w:eastAsia="方正仿宋简体"/>
          <w:sz w:val="32"/>
          <w:szCs w:val="32"/>
        </w:rPr>
        <w:t>。</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任何机构或者个人不得通过配售直接或者间接谋取不正当利益。</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簿记建档截止时间原则上不得晚于簿记建档当日</w:t>
      </w:r>
      <w:r>
        <w:rPr>
          <w:rFonts w:hint="eastAsia" w:ascii="仿宋" w:hAnsi="仿宋" w:eastAsia="仿宋" w:cs="宋体"/>
          <w:sz w:val="32"/>
          <w:szCs w:val="32"/>
        </w:rPr>
        <w:t>18:00。</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经发行人与簿记管理人协商一致，可以在原定的截止时间前延时一次并予以披露，延长后的簿记建档截止时间不得晚于簿记建档当</w:t>
      </w:r>
      <w:r>
        <w:rPr>
          <w:rFonts w:hint="eastAsia" w:ascii="仿宋" w:hAnsi="仿宋" w:eastAsia="仿宋" w:cs="宋体"/>
          <w:sz w:val="32"/>
          <w:szCs w:val="32"/>
        </w:rPr>
        <w:t>日19:00。</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发行文件披露后，本期公司债券无法按照披露的时间开始簿记建档，或者发行人和承销机构对取消发行达成一致的，应当公告取消本期公司债券的发行。</w:t>
      </w:r>
    </w:p>
    <w:p>
      <w:pPr>
        <w:numPr>
          <w:ilvl w:val="255"/>
          <w:numId w:val="0"/>
        </w:numPr>
        <w:spacing w:line="600" w:lineRule="exact"/>
        <w:ind w:firstLine="640" w:firstLineChars="200"/>
        <w:rPr>
          <w:rFonts w:ascii="仿宋_GB2312" w:eastAsia="仿宋_GB2312"/>
          <w:sz w:val="32"/>
          <w:szCs w:val="32"/>
        </w:rPr>
      </w:pPr>
      <w:r>
        <w:rPr>
          <w:rFonts w:hint="eastAsia" w:eastAsia="方正仿宋简体"/>
          <w:sz w:val="32"/>
          <w:szCs w:val="32"/>
        </w:rPr>
        <w:t>取消发行公告应当于簿记建档日结束前披露。簿记建档结束并披露票面利率公告后，本期公司债券不得取消发行。</w:t>
      </w:r>
    </w:p>
    <w:p>
      <w:pPr>
        <w:numPr>
          <w:ilvl w:val="255"/>
          <w:numId w:val="0"/>
        </w:numPr>
        <w:spacing w:line="600" w:lineRule="exact"/>
        <w:ind w:firstLine="640" w:firstLineChars="200"/>
        <w:rPr>
          <w:rFonts w:ascii="仿宋_GB2312" w:eastAsia="仿宋_GB2312"/>
          <w:sz w:val="32"/>
          <w:szCs w:val="32"/>
        </w:rPr>
      </w:pPr>
      <w:r>
        <w:rPr>
          <w:rFonts w:hint="eastAsia" w:eastAsia="方正仿宋简体"/>
          <w:sz w:val="32"/>
          <w:szCs w:val="32"/>
        </w:rPr>
        <w:t>发行人和承销机构可以在发行公告文件中约定取消发行的具体情形，但取消发行的公告时点应当符合本条第二款要求。</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配售结果确定后，簿记管理人应当向获得配售的</w:t>
      </w:r>
      <w:r>
        <w:rPr>
          <w:rFonts w:eastAsia="方正仿宋简体"/>
          <w:sz w:val="32"/>
          <w:szCs w:val="32"/>
        </w:rPr>
        <w:t>投资者</w:t>
      </w:r>
      <w:r>
        <w:rPr>
          <w:rFonts w:hint="eastAsia" w:eastAsia="方正仿宋简体"/>
          <w:sz w:val="32"/>
          <w:szCs w:val="32"/>
        </w:rPr>
        <w:t>发送配售确认及缴款通知的文件，并按照发行公告文件约定安排募集资金的收缴和划付工作。</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投资者应当配合簿记管理人在约定时间内完成缴款事项。出现未能按时缴款的情况，簿记管理人应当配合发行人按照发行公告文件或者相关约定进行应急处置。</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发行人和主承销商应当在簿记建档结束当日披露发行利率或者价格，并在发行截止日披露发行规模、认购倍数、发行利率或者价格等最终发行结果。</w:t>
      </w:r>
    </w:p>
    <w:p>
      <w:pPr>
        <w:numPr>
          <w:ilvl w:val="0"/>
          <w:numId w:val="2"/>
        </w:numPr>
        <w:spacing w:line="600" w:lineRule="exact"/>
        <w:ind w:left="0" w:firstLine="640" w:firstLineChars="200"/>
        <w:rPr>
          <w:rFonts w:eastAsia="方正仿宋简体"/>
          <w:sz w:val="32"/>
          <w:szCs w:val="32"/>
        </w:rPr>
      </w:pPr>
      <w:r>
        <w:rPr>
          <w:rFonts w:hint="eastAsia" w:eastAsia="方正仿宋简体"/>
          <w:sz w:val="32"/>
          <w:szCs w:val="32"/>
        </w:rPr>
        <w:t>发行人和簿记管理人应当制定发行应急处置预案，做好簿记建档发行应急处置相关工作。</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簿记建档过程中，出现人为操作失误、系统故障等情形导致簿记建档无法继续的，发行人和簿记管理人应当按照应急预案采取变更簿记建档场所、变更簿记建档时间、应急认购、取消发行等应急处置措施。发行人和簿记管理人应当及时披露应急处置的相关情况，并向本所报告。</w:t>
      </w:r>
    </w:p>
    <w:p>
      <w:pPr>
        <w:numPr>
          <w:ilvl w:val="255"/>
          <w:numId w:val="0"/>
        </w:numPr>
        <w:spacing w:line="600" w:lineRule="exact"/>
        <w:ind w:firstLine="640" w:firstLineChars="200"/>
        <w:rPr>
          <w:rFonts w:eastAsia="方正仿宋简体"/>
          <w:sz w:val="32"/>
          <w:szCs w:val="32"/>
        </w:rPr>
      </w:pPr>
      <w:r>
        <w:rPr>
          <w:rFonts w:hint="eastAsia" w:eastAsia="方正仿宋简体"/>
          <w:sz w:val="32"/>
          <w:szCs w:val="32"/>
        </w:rPr>
        <w:t>实施簿记建档发行应急处置的，相关机构应当建立完善的工作底稿存档制度，妥善保存相关文件和资料。</w:t>
      </w:r>
    </w:p>
    <w:bookmarkEnd w:id="4"/>
    <w:bookmarkEnd w:id="5"/>
    <w:p>
      <w:pPr>
        <w:spacing w:before="156" w:beforeLines="50" w:after="156" w:afterLines="50" w:line="600" w:lineRule="exact"/>
        <w:jc w:val="center"/>
        <w:outlineLvl w:val="0"/>
        <w:rPr>
          <w:rFonts w:ascii="黑体" w:hAnsi="黑体" w:eastAsia="黑体"/>
          <w:sz w:val="32"/>
          <w:szCs w:val="32"/>
        </w:rPr>
      </w:pPr>
      <w:r>
        <w:rPr>
          <w:rFonts w:hint="eastAsia" w:ascii="黑体" w:hAnsi="黑体" w:eastAsia="黑体"/>
          <w:sz w:val="32"/>
          <w:szCs w:val="32"/>
        </w:rPr>
        <w:t>第五章  附则</w:t>
      </w:r>
    </w:p>
    <w:p>
      <w:pPr>
        <w:numPr>
          <w:ilvl w:val="0"/>
          <w:numId w:val="2"/>
        </w:numPr>
        <w:tabs>
          <w:tab w:val="left" w:pos="420"/>
        </w:tabs>
        <w:spacing w:line="600" w:lineRule="exact"/>
        <w:ind w:left="0" w:firstLine="640" w:firstLineChars="200"/>
        <w:rPr>
          <w:rFonts w:eastAsia="方正仿宋简体"/>
          <w:sz w:val="32"/>
          <w:szCs w:val="32"/>
        </w:rPr>
      </w:pPr>
      <w:r>
        <w:rPr>
          <w:rFonts w:hint="eastAsia" w:eastAsia="方正仿宋简体"/>
          <w:sz w:val="32"/>
          <w:szCs w:val="32"/>
        </w:rPr>
        <w:t>申请在本所挂牌的资产支持证券的簿记建档发行，参照适用本指引。</w:t>
      </w:r>
    </w:p>
    <w:p>
      <w:pPr>
        <w:numPr>
          <w:ilvl w:val="0"/>
          <w:numId w:val="2"/>
        </w:numPr>
        <w:tabs>
          <w:tab w:val="left" w:pos="420"/>
        </w:tabs>
        <w:spacing w:line="600" w:lineRule="exact"/>
        <w:ind w:left="0" w:firstLine="640" w:firstLineChars="200"/>
        <w:rPr>
          <w:rFonts w:eastAsia="方正仿宋简体"/>
          <w:sz w:val="32"/>
          <w:szCs w:val="32"/>
        </w:rPr>
      </w:pPr>
      <w:r>
        <w:rPr>
          <w:rFonts w:hint="eastAsia" w:eastAsia="方正仿宋简体"/>
          <w:sz w:val="32"/>
          <w:szCs w:val="32"/>
        </w:rPr>
        <w:t>境外注册公司发行的债券在本所的簿记建档发行，参照适用本指引。</w:t>
      </w:r>
    </w:p>
    <w:p>
      <w:pPr>
        <w:numPr>
          <w:ilvl w:val="0"/>
          <w:numId w:val="2"/>
        </w:numPr>
        <w:tabs>
          <w:tab w:val="left" w:pos="420"/>
        </w:tabs>
        <w:spacing w:line="600" w:lineRule="exact"/>
        <w:ind w:left="0" w:firstLine="640" w:firstLineChars="200"/>
        <w:rPr>
          <w:rFonts w:eastAsia="方正仿宋简体"/>
          <w:sz w:val="32"/>
          <w:szCs w:val="32"/>
        </w:rPr>
      </w:pPr>
      <w:r>
        <w:rPr>
          <w:rFonts w:hint="eastAsia" w:eastAsia="方正仿宋简体"/>
          <w:sz w:val="32"/>
          <w:szCs w:val="32"/>
        </w:rPr>
        <w:t>本指引由本所负责解释。</w:t>
      </w:r>
    </w:p>
    <w:p>
      <w:pPr>
        <w:numPr>
          <w:ilvl w:val="0"/>
          <w:numId w:val="2"/>
        </w:numPr>
        <w:tabs>
          <w:tab w:val="left" w:pos="420"/>
        </w:tabs>
        <w:spacing w:line="600" w:lineRule="exact"/>
        <w:ind w:left="0" w:firstLine="640" w:firstLineChars="200"/>
        <w:rPr>
          <w:rFonts w:ascii="Times New Roman" w:hAnsi="Times New Roman" w:cs="Times New Roman"/>
          <w:sz w:val="32"/>
          <w:szCs w:val="32"/>
        </w:rPr>
      </w:pPr>
      <w:r>
        <w:rPr>
          <w:rFonts w:hint="eastAsia" w:eastAsia="方正仿宋简体"/>
          <w:sz w:val="32"/>
          <w:szCs w:val="32"/>
        </w:rPr>
        <w:t>指引自发布之日起施行。</w:t>
      </w:r>
    </w:p>
    <w:p>
      <w:pPr>
        <w:tabs>
          <w:tab w:val="left" w:pos="420"/>
        </w:tabs>
        <w:spacing w:line="600" w:lineRule="exact"/>
        <w:rPr>
          <w:rFonts w:eastAsia="方正仿宋简体"/>
          <w:sz w:val="32"/>
          <w:szCs w:val="32"/>
        </w:rPr>
      </w:pPr>
    </w:p>
    <w:p>
      <w:pPr>
        <w:spacing w:line="280" w:lineRule="exact"/>
        <w:rPr>
          <w:rFonts w:hint="eastAsia" w:ascii="Times New Roman" w:hAnsi="Times New Roman" w:eastAsia="方正仿宋简体"/>
          <w:sz w:val="30"/>
          <w:szCs w:val="30"/>
        </w:rPr>
      </w:pPr>
      <w:bookmarkStart w:id="6" w:name="_GoBack"/>
      <w:bookmarkEnd w:id="6"/>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Arial">
    <w:altName w:val="Times New Roman"/>
    <w:panose1 w:val="020B060402020202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 w:name="方正大标宋简体">
    <w:panose1 w:val="02010601030101010101"/>
    <w:charset w:val="86"/>
    <w:family w:val="auto"/>
    <w:pitch w:val="default"/>
    <w:sig w:usb0="00000001" w:usb1="080E0000" w:usb2="00000000" w:usb3="00000000" w:csb0="00040000" w:csb1="00000000"/>
  </w:font>
  <w:font w:name="方正仿宋简体">
    <w:altName w:val="方正仿宋_GBK"/>
    <w:panose1 w:val="02010601030101010101"/>
    <w:charset w:val="86"/>
    <w:family w:val="auto"/>
    <w:pitch w:val="default"/>
    <w:sig w:usb0="00000000" w:usb1="00000000" w:usb2="00000010" w:usb3="00000000" w:csb0="00040000"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1847242"/>
    </w:sdtPr>
    <w:sdtEndPr>
      <w:rPr>
        <w:rFonts w:asciiTheme="minorEastAsia" w:hAnsiTheme="minorEastAsia"/>
        <w:sz w:val="28"/>
        <w:szCs w:val="28"/>
      </w:rPr>
    </w:sdtEndPr>
    <w:sdtContent>
      <w:p>
        <w:pPr>
          <w:pStyle w:val="7"/>
          <w:jc w:val="right"/>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1 -</w:t>
        </w:r>
        <w:r>
          <w:rPr>
            <w:rFonts w:asciiTheme="minorEastAsia" w:hAnsiTheme="minorEastAsia"/>
            <w:sz w:val="28"/>
            <w:szCs w:val="28"/>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sz w:val="28"/>
        <w:szCs w:val="28"/>
      </w:rPr>
      <w:id w:val="-1421027952"/>
    </w:sdtPr>
    <w:sdtEndPr>
      <w:rPr>
        <w:rFonts w:asciiTheme="minorEastAsia" w:hAnsiTheme="minorEastAsia"/>
        <w:sz w:val="28"/>
        <w:szCs w:val="28"/>
      </w:rPr>
    </w:sdtEndPr>
    <w:sdtContent>
      <w:p>
        <w:pPr>
          <w:pStyle w:val="7"/>
          <w:rPr>
            <w:rFonts w:asciiTheme="minorEastAsia" w:hAnsiTheme="minorEastAsia"/>
            <w:sz w:val="28"/>
            <w:szCs w:val="28"/>
          </w:rPr>
        </w:pPr>
        <w:r>
          <w:rPr>
            <w:rFonts w:asciiTheme="minorEastAsia" w:hAnsiTheme="minorEastAsia"/>
            <w:sz w:val="28"/>
            <w:szCs w:val="28"/>
          </w:rPr>
          <w:fldChar w:fldCharType="begin"/>
        </w:r>
        <w:r>
          <w:rPr>
            <w:rFonts w:asciiTheme="minorEastAsia" w:hAnsiTheme="minorEastAsia"/>
            <w:sz w:val="28"/>
            <w:szCs w:val="28"/>
          </w:rPr>
          <w:instrText xml:space="preserve">PAGE   \* MERGEFORMAT</w:instrText>
        </w:r>
        <w:r>
          <w:rPr>
            <w:rFonts w:asciiTheme="minorEastAsia" w:hAnsiTheme="minorEastAsia"/>
            <w:sz w:val="28"/>
            <w:szCs w:val="28"/>
          </w:rPr>
          <w:fldChar w:fldCharType="separate"/>
        </w:r>
        <w:r>
          <w:rPr>
            <w:rFonts w:asciiTheme="minorEastAsia" w:hAnsiTheme="minorEastAsia"/>
            <w:sz w:val="28"/>
            <w:szCs w:val="28"/>
            <w:lang w:val="zh-CN"/>
          </w:rPr>
          <w:t>-</w:t>
        </w:r>
        <w:r>
          <w:rPr>
            <w:rFonts w:asciiTheme="minorEastAsia" w:hAnsiTheme="minorEastAsia"/>
            <w:sz w:val="28"/>
            <w:szCs w:val="28"/>
          </w:rPr>
          <w:t xml:space="preserve"> 2 -</w:t>
        </w:r>
        <w:r>
          <w:rPr>
            <w:rFonts w:asciiTheme="minorEastAsia" w:hAnsiTheme="minorEastAsia"/>
            <w:sz w:val="28"/>
            <w:szCs w:val="28"/>
          </w:rPr>
          <w:fldChar w:fldCharType="end"/>
        </w:r>
      </w:p>
    </w:sdtContent>
  </w:sdt>
  <w:p>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B"/>
    <w:multiLevelType w:val="multilevel"/>
    <w:tmpl w:val="0000000B"/>
    <w:lvl w:ilvl="0" w:tentative="0">
      <w:start w:val="1"/>
      <w:numFmt w:val="japaneseCounting"/>
      <w:lvlText w:val="第%1条"/>
      <w:lvlJc w:val="left"/>
      <w:pPr>
        <w:ind w:left="6800" w:hanging="420"/>
      </w:pPr>
      <w:rPr>
        <w:rFonts w:hint="eastAsia" w:ascii="方正仿宋简体" w:eastAsia="方正仿宋简体"/>
        <w:b/>
        <w:sz w:val="30"/>
        <w:lang w:val="en-US"/>
      </w:rPr>
    </w:lvl>
    <w:lvl w:ilvl="1" w:tentative="0">
      <w:start w:val="1"/>
      <w:numFmt w:val="chineseCountingThousand"/>
      <w:lvlText w:val="第%2条"/>
      <w:lvlJc w:val="left"/>
      <w:pPr>
        <w:tabs>
          <w:tab w:val="left" w:pos="-2381"/>
        </w:tabs>
        <w:ind w:left="-4309" w:firstLine="567"/>
      </w:pPr>
      <w:rPr>
        <w:rFonts w:hint="eastAsia" w:ascii="仿宋_GB2312" w:eastAsia="仿宋_GB2312"/>
        <w:b w:val="0"/>
        <w:i w:val="0"/>
        <w:strike w:val="0"/>
        <w:dstrike w:val="0"/>
        <w:spacing w:val="0"/>
        <w:w w:val="100"/>
        <w:kern w:val="0"/>
        <w:position w:val="0"/>
        <w:sz w:val="32"/>
        <w:u w:val="none"/>
        <w:lang w:val="en-US"/>
      </w:rPr>
    </w:lvl>
    <w:lvl w:ilvl="2" w:tentative="0">
      <w:start w:val="1"/>
      <w:numFmt w:val="decimal"/>
      <w:lvlText w:val="%3."/>
      <w:lvlJc w:val="left"/>
      <w:pPr>
        <w:tabs>
          <w:tab w:val="left" w:pos="-2642"/>
        </w:tabs>
        <w:ind w:left="-2642" w:hanging="360"/>
      </w:pPr>
    </w:lvl>
    <w:lvl w:ilvl="3" w:tentative="0">
      <w:start w:val="1"/>
      <w:numFmt w:val="decimal"/>
      <w:lvlText w:val="%4."/>
      <w:lvlJc w:val="left"/>
      <w:pPr>
        <w:tabs>
          <w:tab w:val="left" w:pos="-1922"/>
        </w:tabs>
        <w:ind w:left="-1922" w:hanging="360"/>
      </w:pPr>
    </w:lvl>
    <w:lvl w:ilvl="4" w:tentative="0">
      <w:start w:val="1"/>
      <w:numFmt w:val="decimal"/>
      <w:lvlText w:val="%5."/>
      <w:lvlJc w:val="left"/>
      <w:pPr>
        <w:tabs>
          <w:tab w:val="left" w:pos="-1202"/>
        </w:tabs>
        <w:ind w:left="-1202" w:hanging="360"/>
      </w:pPr>
    </w:lvl>
    <w:lvl w:ilvl="5" w:tentative="0">
      <w:start w:val="1"/>
      <w:numFmt w:val="decimal"/>
      <w:lvlText w:val="%6."/>
      <w:lvlJc w:val="left"/>
      <w:pPr>
        <w:tabs>
          <w:tab w:val="left" w:pos="-482"/>
        </w:tabs>
        <w:ind w:left="-482" w:hanging="360"/>
      </w:pPr>
    </w:lvl>
    <w:lvl w:ilvl="6" w:tentative="0">
      <w:start w:val="1"/>
      <w:numFmt w:val="decimal"/>
      <w:lvlText w:val="%7."/>
      <w:lvlJc w:val="left"/>
      <w:pPr>
        <w:tabs>
          <w:tab w:val="left" w:pos="238"/>
        </w:tabs>
        <w:ind w:left="238" w:hanging="360"/>
      </w:pPr>
    </w:lvl>
    <w:lvl w:ilvl="7" w:tentative="0">
      <w:start w:val="1"/>
      <w:numFmt w:val="decimal"/>
      <w:lvlText w:val="%8."/>
      <w:lvlJc w:val="left"/>
      <w:pPr>
        <w:tabs>
          <w:tab w:val="left" w:pos="958"/>
        </w:tabs>
        <w:ind w:left="958" w:hanging="360"/>
      </w:pPr>
    </w:lvl>
    <w:lvl w:ilvl="8" w:tentative="0">
      <w:start w:val="1"/>
      <w:numFmt w:val="decimal"/>
      <w:lvlText w:val="%9."/>
      <w:lvlJc w:val="left"/>
      <w:pPr>
        <w:tabs>
          <w:tab w:val="left" w:pos="1678"/>
        </w:tabs>
        <w:ind w:left="1678" w:hanging="360"/>
      </w:pPr>
    </w:lvl>
  </w:abstractNum>
  <w:abstractNum w:abstractNumId="1">
    <w:nsid w:val="5EA656DE"/>
    <w:multiLevelType w:val="multilevel"/>
    <w:tmpl w:val="5EA656DE"/>
    <w:lvl w:ilvl="0" w:tentative="0">
      <w:start w:val="1"/>
      <w:numFmt w:val="japaneseCounting"/>
      <w:pStyle w:val="35"/>
      <w:lvlText w:val="第%1条"/>
      <w:lvlJc w:val="left"/>
      <w:pPr>
        <w:ind w:left="3045" w:hanging="420"/>
      </w:pPr>
      <w:rPr>
        <w:rFonts w:hint="eastAsia" w:ascii="仿宋_GB2312" w:eastAsia="仿宋_GB2312"/>
        <w:b/>
        <w:sz w:val="30"/>
        <w:szCs w:val="30"/>
        <w:lang w:val="en-US"/>
      </w:rPr>
    </w:lvl>
    <w:lvl w:ilvl="1" w:tentative="0">
      <w:start w:val="1"/>
      <w:numFmt w:val="chineseCountingThousand"/>
      <w:lvlText w:val="第%2条"/>
      <w:lvlJc w:val="left"/>
      <w:pPr>
        <w:tabs>
          <w:tab w:val="left" w:pos="3856"/>
        </w:tabs>
        <w:snapToGrid w:val="0"/>
        <w:ind w:left="1928" w:firstLine="567"/>
      </w:pPr>
      <w:rPr>
        <w:rFonts w:hint="eastAsia" w:ascii="仿宋_GB2312" w:eastAsia="仿宋_GB2312"/>
        <w:b w:val="0"/>
        <w:i w:val="0"/>
        <w:strike w:val="0"/>
        <w:dstrike w:val="0"/>
        <w:spacing w:val="0"/>
        <w:w w:val="100"/>
        <w:kern w:val="0"/>
        <w:position w:val="0"/>
        <w:sz w:val="32"/>
        <w:szCs w:val="32"/>
        <w:u w:val="none"/>
        <w:lang w:val="en-US"/>
      </w:rPr>
    </w:lvl>
    <w:lvl w:ilvl="2" w:tentative="0">
      <w:start w:val="1"/>
      <w:numFmt w:val="decimal"/>
      <w:lvlText w:val="%3."/>
      <w:lvlJc w:val="left"/>
      <w:pPr>
        <w:tabs>
          <w:tab w:val="left" w:pos="3595"/>
        </w:tabs>
        <w:ind w:left="3595" w:hanging="360"/>
      </w:pPr>
    </w:lvl>
    <w:lvl w:ilvl="3" w:tentative="0">
      <w:start w:val="1"/>
      <w:numFmt w:val="decimal"/>
      <w:lvlText w:val="%4."/>
      <w:lvlJc w:val="left"/>
      <w:pPr>
        <w:tabs>
          <w:tab w:val="left" w:pos="4315"/>
        </w:tabs>
        <w:ind w:left="4315" w:hanging="360"/>
      </w:pPr>
    </w:lvl>
    <w:lvl w:ilvl="4" w:tentative="0">
      <w:start w:val="1"/>
      <w:numFmt w:val="decimal"/>
      <w:lvlText w:val="%5."/>
      <w:lvlJc w:val="left"/>
      <w:pPr>
        <w:tabs>
          <w:tab w:val="left" w:pos="5035"/>
        </w:tabs>
        <w:ind w:left="5035" w:hanging="360"/>
      </w:pPr>
    </w:lvl>
    <w:lvl w:ilvl="5" w:tentative="0">
      <w:start w:val="1"/>
      <w:numFmt w:val="decimal"/>
      <w:lvlText w:val="%6."/>
      <w:lvlJc w:val="left"/>
      <w:pPr>
        <w:tabs>
          <w:tab w:val="left" w:pos="5755"/>
        </w:tabs>
        <w:ind w:left="5755" w:hanging="360"/>
      </w:pPr>
    </w:lvl>
    <w:lvl w:ilvl="6" w:tentative="0">
      <w:start w:val="1"/>
      <w:numFmt w:val="decimal"/>
      <w:lvlText w:val="%7."/>
      <w:lvlJc w:val="left"/>
      <w:pPr>
        <w:tabs>
          <w:tab w:val="left" w:pos="6475"/>
        </w:tabs>
        <w:ind w:left="6475" w:hanging="360"/>
      </w:pPr>
    </w:lvl>
    <w:lvl w:ilvl="7" w:tentative="0">
      <w:start w:val="1"/>
      <w:numFmt w:val="decimal"/>
      <w:lvlText w:val="%8."/>
      <w:lvlJc w:val="left"/>
      <w:pPr>
        <w:tabs>
          <w:tab w:val="left" w:pos="7195"/>
        </w:tabs>
        <w:ind w:left="7195" w:hanging="360"/>
      </w:pPr>
    </w:lvl>
    <w:lvl w:ilvl="8" w:tentative="0">
      <w:start w:val="1"/>
      <w:numFmt w:val="decimal"/>
      <w:lvlText w:val="%9."/>
      <w:lvlJc w:val="left"/>
      <w:pPr>
        <w:tabs>
          <w:tab w:val="left" w:pos="7915"/>
        </w:tabs>
        <w:ind w:left="7915" w:hanging="36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true"/>
  <w:bordersDoNotSurroundFooter w:val="true"/>
  <w:documentProtection w:enforcement="0"/>
  <w:defaultTabStop w:val="3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418"/>
    <w:rsid w:val="00043B6B"/>
    <w:rsid w:val="00067A0C"/>
    <w:rsid w:val="000832D4"/>
    <w:rsid w:val="000C400C"/>
    <w:rsid w:val="000D056E"/>
    <w:rsid w:val="000D4064"/>
    <w:rsid w:val="000D6864"/>
    <w:rsid w:val="000E5196"/>
    <w:rsid w:val="001005A5"/>
    <w:rsid w:val="00101F67"/>
    <w:rsid w:val="00113996"/>
    <w:rsid w:val="00154456"/>
    <w:rsid w:val="00163757"/>
    <w:rsid w:val="0020392E"/>
    <w:rsid w:val="00217689"/>
    <w:rsid w:val="002254FE"/>
    <w:rsid w:val="00265791"/>
    <w:rsid w:val="002811A9"/>
    <w:rsid w:val="002A5C53"/>
    <w:rsid w:val="002E605E"/>
    <w:rsid w:val="002F193E"/>
    <w:rsid w:val="00304BCA"/>
    <w:rsid w:val="00312563"/>
    <w:rsid w:val="00335284"/>
    <w:rsid w:val="00347FFB"/>
    <w:rsid w:val="00384B11"/>
    <w:rsid w:val="003B1CB4"/>
    <w:rsid w:val="003C5511"/>
    <w:rsid w:val="00402FCB"/>
    <w:rsid w:val="0040783C"/>
    <w:rsid w:val="00430342"/>
    <w:rsid w:val="00472F63"/>
    <w:rsid w:val="00480C86"/>
    <w:rsid w:val="0048689B"/>
    <w:rsid w:val="00493687"/>
    <w:rsid w:val="004A7F67"/>
    <w:rsid w:val="004B6CEC"/>
    <w:rsid w:val="004E4DB0"/>
    <w:rsid w:val="00561850"/>
    <w:rsid w:val="00567A6A"/>
    <w:rsid w:val="005C5E3B"/>
    <w:rsid w:val="005E620C"/>
    <w:rsid w:val="00602FA8"/>
    <w:rsid w:val="00620CB5"/>
    <w:rsid w:val="00625207"/>
    <w:rsid w:val="00650F31"/>
    <w:rsid w:val="00651409"/>
    <w:rsid w:val="00674E3D"/>
    <w:rsid w:val="006A6F13"/>
    <w:rsid w:val="00705584"/>
    <w:rsid w:val="007211B0"/>
    <w:rsid w:val="00731EC1"/>
    <w:rsid w:val="00741CB5"/>
    <w:rsid w:val="007743F6"/>
    <w:rsid w:val="007916BD"/>
    <w:rsid w:val="007D16CE"/>
    <w:rsid w:val="0080772B"/>
    <w:rsid w:val="008164F6"/>
    <w:rsid w:val="00826324"/>
    <w:rsid w:val="00827418"/>
    <w:rsid w:val="0087335E"/>
    <w:rsid w:val="00884685"/>
    <w:rsid w:val="008C6FBC"/>
    <w:rsid w:val="008E1CBE"/>
    <w:rsid w:val="008F7C78"/>
    <w:rsid w:val="0091437E"/>
    <w:rsid w:val="0091589D"/>
    <w:rsid w:val="00933143"/>
    <w:rsid w:val="009733D4"/>
    <w:rsid w:val="009969F1"/>
    <w:rsid w:val="009974D3"/>
    <w:rsid w:val="009B2C15"/>
    <w:rsid w:val="009D2A2B"/>
    <w:rsid w:val="009D548A"/>
    <w:rsid w:val="009D7B51"/>
    <w:rsid w:val="009F1AD8"/>
    <w:rsid w:val="009F3E56"/>
    <w:rsid w:val="00A10B70"/>
    <w:rsid w:val="00A30868"/>
    <w:rsid w:val="00A4673B"/>
    <w:rsid w:val="00A74E51"/>
    <w:rsid w:val="00A97944"/>
    <w:rsid w:val="00AA3660"/>
    <w:rsid w:val="00AA7362"/>
    <w:rsid w:val="00AE3E0F"/>
    <w:rsid w:val="00B01F39"/>
    <w:rsid w:val="00B675E3"/>
    <w:rsid w:val="00B83238"/>
    <w:rsid w:val="00BE46A7"/>
    <w:rsid w:val="00C12738"/>
    <w:rsid w:val="00C12BE2"/>
    <w:rsid w:val="00C216F9"/>
    <w:rsid w:val="00C412D3"/>
    <w:rsid w:val="00C42BF4"/>
    <w:rsid w:val="00C57D8D"/>
    <w:rsid w:val="00CB6B06"/>
    <w:rsid w:val="00CC0DA4"/>
    <w:rsid w:val="00CC2AE0"/>
    <w:rsid w:val="00CD2744"/>
    <w:rsid w:val="00CE2D14"/>
    <w:rsid w:val="00CE4F51"/>
    <w:rsid w:val="00CF24AA"/>
    <w:rsid w:val="00CF3525"/>
    <w:rsid w:val="00CF6802"/>
    <w:rsid w:val="00D05E08"/>
    <w:rsid w:val="00D6528D"/>
    <w:rsid w:val="00D9624E"/>
    <w:rsid w:val="00DA4B96"/>
    <w:rsid w:val="00DB45AF"/>
    <w:rsid w:val="00DF15B3"/>
    <w:rsid w:val="00DF5E33"/>
    <w:rsid w:val="00E26901"/>
    <w:rsid w:val="00E40178"/>
    <w:rsid w:val="00EB7249"/>
    <w:rsid w:val="00EE0172"/>
    <w:rsid w:val="00EE27BE"/>
    <w:rsid w:val="00EE66C3"/>
    <w:rsid w:val="00EE68C5"/>
    <w:rsid w:val="00EE7C65"/>
    <w:rsid w:val="00F53C0D"/>
    <w:rsid w:val="00F5519C"/>
    <w:rsid w:val="00F56222"/>
    <w:rsid w:val="00F966B4"/>
    <w:rsid w:val="00FE7EF2"/>
    <w:rsid w:val="0BEEAF73"/>
    <w:rsid w:val="0FA79123"/>
    <w:rsid w:val="16FD6A3F"/>
    <w:rsid w:val="176721E2"/>
    <w:rsid w:val="17DDD7DC"/>
    <w:rsid w:val="1AFF4B82"/>
    <w:rsid w:val="1BEF5F1A"/>
    <w:rsid w:val="1BFCB036"/>
    <w:rsid w:val="1DDD7114"/>
    <w:rsid w:val="1F9FF484"/>
    <w:rsid w:val="1FBAD3D2"/>
    <w:rsid w:val="1FCE2E59"/>
    <w:rsid w:val="1FEA9C0B"/>
    <w:rsid w:val="1FFFC306"/>
    <w:rsid w:val="21E472EF"/>
    <w:rsid w:val="25393030"/>
    <w:rsid w:val="269FBF69"/>
    <w:rsid w:val="279FE5E6"/>
    <w:rsid w:val="27F737FA"/>
    <w:rsid w:val="2BDE60F8"/>
    <w:rsid w:val="2DB7C50C"/>
    <w:rsid w:val="2FA0DF5F"/>
    <w:rsid w:val="2FFF8735"/>
    <w:rsid w:val="2FFFD722"/>
    <w:rsid w:val="31EB5031"/>
    <w:rsid w:val="33D804C3"/>
    <w:rsid w:val="3527286B"/>
    <w:rsid w:val="356A9A35"/>
    <w:rsid w:val="357D31B1"/>
    <w:rsid w:val="37AD50B6"/>
    <w:rsid w:val="37FA0CEA"/>
    <w:rsid w:val="37FFC2E4"/>
    <w:rsid w:val="38BCAC3E"/>
    <w:rsid w:val="39FD12C7"/>
    <w:rsid w:val="3ADFAFB0"/>
    <w:rsid w:val="3AFA4A8D"/>
    <w:rsid w:val="3B73803F"/>
    <w:rsid w:val="3B77381D"/>
    <w:rsid w:val="3B7B438C"/>
    <w:rsid w:val="3B7F3FBC"/>
    <w:rsid w:val="3BFDBDD8"/>
    <w:rsid w:val="3C9B4441"/>
    <w:rsid w:val="3DA74969"/>
    <w:rsid w:val="3DAFD9A6"/>
    <w:rsid w:val="3DE1F97A"/>
    <w:rsid w:val="3DEDC4C4"/>
    <w:rsid w:val="3DFF1F5D"/>
    <w:rsid w:val="3E7A3F7F"/>
    <w:rsid w:val="3EDF3D90"/>
    <w:rsid w:val="3F7489B4"/>
    <w:rsid w:val="3F7FB9BC"/>
    <w:rsid w:val="3F7FED8F"/>
    <w:rsid w:val="3FBE962B"/>
    <w:rsid w:val="3FDDFD2D"/>
    <w:rsid w:val="3FEF4DCC"/>
    <w:rsid w:val="3FFF0A61"/>
    <w:rsid w:val="3FFF97AC"/>
    <w:rsid w:val="46F73CFD"/>
    <w:rsid w:val="49FDE5D3"/>
    <w:rsid w:val="4EEFD199"/>
    <w:rsid w:val="4F5E34E4"/>
    <w:rsid w:val="4FEF92A4"/>
    <w:rsid w:val="4FFFDD0B"/>
    <w:rsid w:val="537F736F"/>
    <w:rsid w:val="54E5576A"/>
    <w:rsid w:val="55796B55"/>
    <w:rsid w:val="55F7F61A"/>
    <w:rsid w:val="57D18023"/>
    <w:rsid w:val="57E8959E"/>
    <w:rsid w:val="57EF1C6B"/>
    <w:rsid w:val="57FB49C2"/>
    <w:rsid w:val="57FF55AE"/>
    <w:rsid w:val="58FBA1EF"/>
    <w:rsid w:val="593FF178"/>
    <w:rsid w:val="5ABE306A"/>
    <w:rsid w:val="5D7B7C36"/>
    <w:rsid w:val="5D7D4E2F"/>
    <w:rsid w:val="5DFFCB42"/>
    <w:rsid w:val="5F496990"/>
    <w:rsid w:val="5F7E1ED1"/>
    <w:rsid w:val="5F9FC306"/>
    <w:rsid w:val="5FD91480"/>
    <w:rsid w:val="5FDD3408"/>
    <w:rsid w:val="5FEF0FB4"/>
    <w:rsid w:val="5FFE3745"/>
    <w:rsid w:val="5FFFB77C"/>
    <w:rsid w:val="63D7B9FF"/>
    <w:rsid w:val="676DB251"/>
    <w:rsid w:val="67BF11AD"/>
    <w:rsid w:val="67FB2889"/>
    <w:rsid w:val="67FBB57A"/>
    <w:rsid w:val="6B768CBC"/>
    <w:rsid w:val="6BC74887"/>
    <w:rsid w:val="6CED7547"/>
    <w:rsid w:val="6DF04A92"/>
    <w:rsid w:val="6E7D9151"/>
    <w:rsid w:val="6F378AEB"/>
    <w:rsid w:val="6F6F3D0A"/>
    <w:rsid w:val="6F7F0665"/>
    <w:rsid w:val="6FAAA97E"/>
    <w:rsid w:val="6FBFFE60"/>
    <w:rsid w:val="6FD68CD1"/>
    <w:rsid w:val="6FDF461A"/>
    <w:rsid w:val="6FDFD626"/>
    <w:rsid w:val="6FE47E65"/>
    <w:rsid w:val="6FECAA40"/>
    <w:rsid w:val="6FFA3167"/>
    <w:rsid w:val="6FFF5DDE"/>
    <w:rsid w:val="71D5F7AA"/>
    <w:rsid w:val="72AB16F2"/>
    <w:rsid w:val="736FB956"/>
    <w:rsid w:val="73772F40"/>
    <w:rsid w:val="73FA3E39"/>
    <w:rsid w:val="74F79558"/>
    <w:rsid w:val="7572558B"/>
    <w:rsid w:val="75DDA649"/>
    <w:rsid w:val="76D456E6"/>
    <w:rsid w:val="76FBDEA9"/>
    <w:rsid w:val="76FFB9B1"/>
    <w:rsid w:val="76FFF0D8"/>
    <w:rsid w:val="776DA8F0"/>
    <w:rsid w:val="777E6246"/>
    <w:rsid w:val="77BFDE96"/>
    <w:rsid w:val="77FB877C"/>
    <w:rsid w:val="77FBC472"/>
    <w:rsid w:val="77FBE7ED"/>
    <w:rsid w:val="77FF68F5"/>
    <w:rsid w:val="782F93B0"/>
    <w:rsid w:val="7867D524"/>
    <w:rsid w:val="78B74AB3"/>
    <w:rsid w:val="7A4D7425"/>
    <w:rsid w:val="7A9628DA"/>
    <w:rsid w:val="7AEF3497"/>
    <w:rsid w:val="7B6DF911"/>
    <w:rsid w:val="7B6F4C0F"/>
    <w:rsid w:val="7BBFD43A"/>
    <w:rsid w:val="7BE40A9A"/>
    <w:rsid w:val="7BFE4D6C"/>
    <w:rsid w:val="7BFE9936"/>
    <w:rsid w:val="7CCD13E5"/>
    <w:rsid w:val="7CEF0E68"/>
    <w:rsid w:val="7CF69E81"/>
    <w:rsid w:val="7CFEF1E9"/>
    <w:rsid w:val="7CFF806E"/>
    <w:rsid w:val="7D3B75D5"/>
    <w:rsid w:val="7D7BBE87"/>
    <w:rsid w:val="7D7FD797"/>
    <w:rsid w:val="7DB719D0"/>
    <w:rsid w:val="7DE3DE0D"/>
    <w:rsid w:val="7DEBC31A"/>
    <w:rsid w:val="7DEBD14B"/>
    <w:rsid w:val="7DEF74F0"/>
    <w:rsid w:val="7DEFE16F"/>
    <w:rsid w:val="7DFB13E4"/>
    <w:rsid w:val="7DFF097D"/>
    <w:rsid w:val="7E6D7811"/>
    <w:rsid w:val="7ED64D92"/>
    <w:rsid w:val="7EE9FFD5"/>
    <w:rsid w:val="7EF79F73"/>
    <w:rsid w:val="7EFD1223"/>
    <w:rsid w:val="7EFE61DC"/>
    <w:rsid w:val="7EFF3701"/>
    <w:rsid w:val="7F179910"/>
    <w:rsid w:val="7F3705A4"/>
    <w:rsid w:val="7F3F36F7"/>
    <w:rsid w:val="7F5F1B8D"/>
    <w:rsid w:val="7F675C96"/>
    <w:rsid w:val="7F67A361"/>
    <w:rsid w:val="7F67BA50"/>
    <w:rsid w:val="7F6B2FD0"/>
    <w:rsid w:val="7F729D8D"/>
    <w:rsid w:val="7F77D6E1"/>
    <w:rsid w:val="7FB5D617"/>
    <w:rsid w:val="7FBB33EF"/>
    <w:rsid w:val="7FBD1195"/>
    <w:rsid w:val="7FCAC732"/>
    <w:rsid w:val="7FD6B62C"/>
    <w:rsid w:val="7FDF058D"/>
    <w:rsid w:val="7FDFEB2B"/>
    <w:rsid w:val="7FEF4F62"/>
    <w:rsid w:val="7FEFBC6F"/>
    <w:rsid w:val="7FF63944"/>
    <w:rsid w:val="7FF96DF6"/>
    <w:rsid w:val="7FFB5739"/>
    <w:rsid w:val="7FFB5F62"/>
    <w:rsid w:val="7FFD0933"/>
    <w:rsid w:val="7FFD7029"/>
    <w:rsid w:val="7FFF3A88"/>
    <w:rsid w:val="81FF68CB"/>
    <w:rsid w:val="8BDF083C"/>
    <w:rsid w:val="93D86C3C"/>
    <w:rsid w:val="93EFFF09"/>
    <w:rsid w:val="956B3FE0"/>
    <w:rsid w:val="97D98E52"/>
    <w:rsid w:val="99E73673"/>
    <w:rsid w:val="9B6F5C2F"/>
    <w:rsid w:val="9BFEAFB6"/>
    <w:rsid w:val="9D0F623C"/>
    <w:rsid w:val="9F5B0CC8"/>
    <w:rsid w:val="9FAFD1DE"/>
    <w:rsid w:val="9FFFD8AB"/>
    <w:rsid w:val="A3FF7E69"/>
    <w:rsid w:val="A5FF029F"/>
    <w:rsid w:val="A79EC23D"/>
    <w:rsid w:val="AADFEDED"/>
    <w:rsid w:val="ABFF4597"/>
    <w:rsid w:val="AEE91082"/>
    <w:rsid w:val="AEFD25AE"/>
    <w:rsid w:val="AEFF5758"/>
    <w:rsid w:val="AEFFFE20"/>
    <w:rsid w:val="AFFF75B7"/>
    <w:rsid w:val="B47D4061"/>
    <w:rsid w:val="B6794BAD"/>
    <w:rsid w:val="B77C2384"/>
    <w:rsid w:val="B79780A9"/>
    <w:rsid w:val="B7FE688D"/>
    <w:rsid w:val="B7FF37F8"/>
    <w:rsid w:val="B8F7CF25"/>
    <w:rsid w:val="BADF8F1D"/>
    <w:rsid w:val="BBBF38ED"/>
    <w:rsid w:val="BBCDDB61"/>
    <w:rsid w:val="BBD9EEDE"/>
    <w:rsid w:val="BBFFEA6E"/>
    <w:rsid w:val="BC4FD99B"/>
    <w:rsid w:val="BCB5F961"/>
    <w:rsid w:val="BE3B609D"/>
    <w:rsid w:val="BE5F430D"/>
    <w:rsid w:val="BE9FCF4E"/>
    <w:rsid w:val="BEAB14D2"/>
    <w:rsid w:val="BEAF7416"/>
    <w:rsid w:val="BEB3E42C"/>
    <w:rsid w:val="BEB7305E"/>
    <w:rsid w:val="BEFDA074"/>
    <w:rsid w:val="BF5B736C"/>
    <w:rsid w:val="BF67B0EB"/>
    <w:rsid w:val="BF7B08B6"/>
    <w:rsid w:val="BF7FBBB6"/>
    <w:rsid w:val="BF9B5CD5"/>
    <w:rsid w:val="BFEFC65B"/>
    <w:rsid w:val="BFF65823"/>
    <w:rsid w:val="BFF71D6B"/>
    <w:rsid w:val="BFF7BDD1"/>
    <w:rsid w:val="BFF7D9FE"/>
    <w:rsid w:val="BFFD82FA"/>
    <w:rsid w:val="C1F3ACF6"/>
    <w:rsid w:val="C31D44A7"/>
    <w:rsid w:val="C3DB6160"/>
    <w:rsid w:val="C3FDA1CA"/>
    <w:rsid w:val="C6DFBE97"/>
    <w:rsid w:val="C73D357B"/>
    <w:rsid w:val="C7BD6C20"/>
    <w:rsid w:val="C7CD4142"/>
    <w:rsid w:val="C7DD0DD3"/>
    <w:rsid w:val="CA6D6291"/>
    <w:rsid w:val="CDFDB57B"/>
    <w:rsid w:val="CECFEBE5"/>
    <w:rsid w:val="CF3FAFCA"/>
    <w:rsid w:val="CFB3BD8E"/>
    <w:rsid w:val="CFC99486"/>
    <w:rsid w:val="CFCF80B9"/>
    <w:rsid w:val="CFEFE882"/>
    <w:rsid w:val="D057F027"/>
    <w:rsid w:val="D2BFAD4A"/>
    <w:rsid w:val="D3BB1CCC"/>
    <w:rsid w:val="D6B6ED35"/>
    <w:rsid w:val="D6EA6DE9"/>
    <w:rsid w:val="D7A36147"/>
    <w:rsid w:val="D7FC4883"/>
    <w:rsid w:val="D8BF003B"/>
    <w:rsid w:val="D9E5AC6A"/>
    <w:rsid w:val="D9EFD585"/>
    <w:rsid w:val="DB3E2E90"/>
    <w:rsid w:val="DBD6D906"/>
    <w:rsid w:val="DBD7F96F"/>
    <w:rsid w:val="DD59CC69"/>
    <w:rsid w:val="DD9F1424"/>
    <w:rsid w:val="DEBEBAA0"/>
    <w:rsid w:val="DEBF3A80"/>
    <w:rsid w:val="DED5C507"/>
    <w:rsid w:val="DF6D3237"/>
    <w:rsid w:val="DF7F1224"/>
    <w:rsid w:val="DF7F3908"/>
    <w:rsid w:val="DFEFF1D1"/>
    <w:rsid w:val="DFF36FF6"/>
    <w:rsid w:val="DFFDD9DF"/>
    <w:rsid w:val="E366FC91"/>
    <w:rsid w:val="E4BF268F"/>
    <w:rsid w:val="E5F863F4"/>
    <w:rsid w:val="E7BF0A07"/>
    <w:rsid w:val="E7D76099"/>
    <w:rsid w:val="EA78BB3B"/>
    <w:rsid w:val="EAFF0657"/>
    <w:rsid w:val="EBB68B4B"/>
    <w:rsid w:val="EBCFEBE9"/>
    <w:rsid w:val="EBE7C8BD"/>
    <w:rsid w:val="ECEB35F0"/>
    <w:rsid w:val="EDB752EE"/>
    <w:rsid w:val="EDFF4DC0"/>
    <w:rsid w:val="EE5FF73D"/>
    <w:rsid w:val="EEBD6D59"/>
    <w:rsid w:val="EEDF96D7"/>
    <w:rsid w:val="EF1F298C"/>
    <w:rsid w:val="EF6771E5"/>
    <w:rsid w:val="EF7D0667"/>
    <w:rsid w:val="EFBF84AB"/>
    <w:rsid w:val="EFF34501"/>
    <w:rsid w:val="EFF4C59D"/>
    <w:rsid w:val="EFF56E6F"/>
    <w:rsid w:val="F1F764F6"/>
    <w:rsid w:val="F2F714E8"/>
    <w:rsid w:val="F33BFD4F"/>
    <w:rsid w:val="F37709C6"/>
    <w:rsid w:val="F3BFA8C5"/>
    <w:rsid w:val="F3F736FA"/>
    <w:rsid w:val="F3FCE068"/>
    <w:rsid w:val="F4BBC871"/>
    <w:rsid w:val="F57FAB2C"/>
    <w:rsid w:val="F5E7133D"/>
    <w:rsid w:val="F5FA0F6D"/>
    <w:rsid w:val="F637E461"/>
    <w:rsid w:val="F6FBF674"/>
    <w:rsid w:val="F7379312"/>
    <w:rsid w:val="F73FB4A5"/>
    <w:rsid w:val="F77B5DAC"/>
    <w:rsid w:val="F77E4027"/>
    <w:rsid w:val="F7BBA887"/>
    <w:rsid w:val="F7CF4F41"/>
    <w:rsid w:val="F7E76FD5"/>
    <w:rsid w:val="F7FF1B72"/>
    <w:rsid w:val="F97723B7"/>
    <w:rsid w:val="F97F164B"/>
    <w:rsid w:val="F9A97EE2"/>
    <w:rsid w:val="F9BFFD01"/>
    <w:rsid w:val="F9CE58AC"/>
    <w:rsid w:val="F9F7A09E"/>
    <w:rsid w:val="FA6FC42E"/>
    <w:rsid w:val="FA7F77BA"/>
    <w:rsid w:val="FAFDEB62"/>
    <w:rsid w:val="FB6BBB39"/>
    <w:rsid w:val="FBB722E3"/>
    <w:rsid w:val="FBF74015"/>
    <w:rsid w:val="FBFB98A0"/>
    <w:rsid w:val="FBFF14B1"/>
    <w:rsid w:val="FBFF9FA7"/>
    <w:rsid w:val="FBFFAFCE"/>
    <w:rsid w:val="FC4F85DC"/>
    <w:rsid w:val="FC552470"/>
    <w:rsid w:val="FCE7C107"/>
    <w:rsid w:val="FCFF3925"/>
    <w:rsid w:val="FCFFE061"/>
    <w:rsid w:val="FDD79B3E"/>
    <w:rsid w:val="FDED634D"/>
    <w:rsid w:val="FDF76FED"/>
    <w:rsid w:val="FDF7D7FC"/>
    <w:rsid w:val="FDFDC604"/>
    <w:rsid w:val="FDFE65EA"/>
    <w:rsid w:val="FDFF5C72"/>
    <w:rsid w:val="FE3E903F"/>
    <w:rsid w:val="FE7E9B87"/>
    <w:rsid w:val="FE7F1CEA"/>
    <w:rsid w:val="FEAF7AB9"/>
    <w:rsid w:val="FEBFC280"/>
    <w:rsid w:val="FECCE45C"/>
    <w:rsid w:val="FECFFEBC"/>
    <w:rsid w:val="FEE52F29"/>
    <w:rsid w:val="FEFEE35D"/>
    <w:rsid w:val="FF6F7443"/>
    <w:rsid w:val="FF77D817"/>
    <w:rsid w:val="FF796DCC"/>
    <w:rsid w:val="FF97D7D2"/>
    <w:rsid w:val="FF9AD75C"/>
    <w:rsid w:val="FFAF6722"/>
    <w:rsid w:val="FFCFEF9D"/>
    <w:rsid w:val="FFD53D23"/>
    <w:rsid w:val="FFD75D1A"/>
    <w:rsid w:val="FFDB0AE4"/>
    <w:rsid w:val="FFDBCC9A"/>
    <w:rsid w:val="FFDC3A30"/>
    <w:rsid w:val="FFDD0B53"/>
    <w:rsid w:val="FFDD81D1"/>
    <w:rsid w:val="FFEA200F"/>
    <w:rsid w:val="FFED6F5C"/>
    <w:rsid w:val="FFF5D610"/>
    <w:rsid w:val="FFF784B7"/>
    <w:rsid w:val="FFFDFE7E"/>
    <w:rsid w:val="FFFFF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kern w:val="44"/>
      <w:sz w:val="44"/>
      <w:szCs w:val="44"/>
    </w:rPr>
  </w:style>
  <w:style w:type="paragraph" w:styleId="3">
    <w:name w:val="heading 2"/>
    <w:basedOn w:val="1"/>
    <w:next w:val="4"/>
    <w:link w:val="21"/>
    <w:qFormat/>
    <w:uiPriority w:val="0"/>
    <w:pPr>
      <w:keepNext/>
      <w:keepLines/>
      <w:spacing w:before="260" w:after="260" w:line="416" w:lineRule="auto"/>
      <w:outlineLvl w:val="1"/>
    </w:pPr>
    <w:rPr>
      <w:rFonts w:ascii="Arial" w:hAnsi="Arial" w:eastAsia="黑体" w:cs="Times New Roman"/>
      <w:b/>
      <w:sz w:val="32"/>
      <w:szCs w:val="20"/>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99"/>
    <w:pPr>
      <w:ind w:firstLine="420" w:firstLineChars="200"/>
    </w:pPr>
  </w:style>
  <w:style w:type="paragraph" w:styleId="5">
    <w:name w:val="annotation text"/>
    <w:basedOn w:val="1"/>
    <w:link w:val="23"/>
    <w:unhideWhenUsed/>
    <w:qFormat/>
    <w:uiPriority w:val="0"/>
    <w:pPr>
      <w:jc w:val="left"/>
    </w:pPr>
    <w:rPr>
      <w:rFonts w:ascii="Calibri" w:hAnsi="Calibri" w:eastAsia="宋体" w:cs="Times New Roman"/>
      <w:szCs w:val="22"/>
    </w:rPr>
  </w:style>
  <w:style w:type="paragraph" w:styleId="6">
    <w:name w:val="Balloon Text"/>
    <w:basedOn w:val="1"/>
    <w:link w:val="22"/>
    <w:semiHidden/>
    <w:unhideWhenUsed/>
    <w:qFormat/>
    <w:uiPriority w:val="99"/>
    <w:rPr>
      <w:rFonts w:ascii="Calibri" w:hAnsi="Calibri" w:eastAsia="宋体" w:cs="Times New Roman"/>
      <w:sz w:val="18"/>
      <w:szCs w:val="18"/>
    </w:rPr>
  </w:style>
  <w:style w:type="paragraph" w:styleId="7">
    <w:name w:val="footer"/>
    <w:basedOn w:val="1"/>
    <w:link w:val="19"/>
    <w:unhideWhenUsed/>
    <w:qFormat/>
    <w:uiPriority w:val="99"/>
    <w:pPr>
      <w:tabs>
        <w:tab w:val="center" w:pos="4153"/>
        <w:tab w:val="right" w:pos="8306"/>
      </w:tabs>
      <w:snapToGrid w:val="0"/>
      <w:jc w:val="left"/>
    </w:pPr>
    <w:rPr>
      <w:sz w:val="18"/>
      <w:szCs w:val="18"/>
    </w:rPr>
  </w:style>
  <w:style w:type="paragraph" w:styleId="8">
    <w:name w:val="header"/>
    <w:basedOn w:val="1"/>
    <w:link w:val="18"/>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unhideWhenUsed/>
    <w:qFormat/>
    <w:uiPriority w:val="39"/>
    <w:pPr>
      <w:widowControl/>
      <w:tabs>
        <w:tab w:val="right" w:leader="dot" w:pos="8296"/>
      </w:tabs>
      <w:spacing w:after="100" w:line="400" w:lineRule="exact"/>
      <w:jc w:val="left"/>
    </w:pPr>
    <w:rPr>
      <w:rFonts w:ascii="Times New Roman" w:hAnsi="Times New Roman" w:eastAsia="仿宋" w:cs="Times New Roman"/>
      <w:b/>
      <w:kern w:val="0"/>
      <w:sz w:val="32"/>
      <w:szCs w:val="32"/>
    </w:rPr>
  </w:style>
  <w:style w:type="paragraph" w:styleId="10">
    <w:name w:val="toc 2"/>
    <w:basedOn w:val="1"/>
    <w:next w:val="1"/>
    <w:unhideWhenUsed/>
    <w:qFormat/>
    <w:uiPriority w:val="39"/>
    <w:pPr>
      <w:widowControl/>
      <w:tabs>
        <w:tab w:val="right" w:leader="dot" w:pos="8296"/>
      </w:tabs>
      <w:spacing w:after="100" w:line="400" w:lineRule="exact"/>
      <w:ind w:left="220"/>
      <w:jc w:val="left"/>
    </w:pPr>
    <w:rPr>
      <w:rFonts w:ascii="Times New Roman" w:hAnsi="Times New Roman" w:eastAsia="仿宋" w:cs="Times New Roman"/>
      <w:kern w:val="0"/>
      <w:sz w:val="32"/>
      <w:szCs w:val="32"/>
    </w:rPr>
  </w:style>
  <w:style w:type="paragraph" w:styleId="11">
    <w:name w:val="annotation subject"/>
    <w:basedOn w:val="5"/>
    <w:next w:val="5"/>
    <w:link w:val="24"/>
    <w:semiHidden/>
    <w:unhideWhenUsed/>
    <w:qFormat/>
    <w:uiPriority w:val="99"/>
    <w:rPr>
      <w:b/>
      <w:bCs/>
    </w:rPr>
  </w:style>
  <w:style w:type="table" w:styleId="13">
    <w:name w:val="Table Grid"/>
    <w:basedOn w:val="12"/>
    <w:qFormat/>
    <w:uiPriority w:val="59"/>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page number"/>
    <w:qFormat/>
    <w:uiPriority w:val="0"/>
  </w:style>
  <w:style w:type="character" w:styleId="16">
    <w:name w:val="Hyperlink"/>
    <w:basedOn w:val="14"/>
    <w:unhideWhenUsed/>
    <w:qFormat/>
    <w:uiPriority w:val="99"/>
    <w:rPr>
      <w:color w:val="0000FF" w:themeColor="hyperlink"/>
      <w:u w:val="single"/>
      <w14:textFill>
        <w14:solidFill>
          <w14:schemeClr w14:val="hlink"/>
        </w14:solidFill>
      </w14:textFill>
    </w:rPr>
  </w:style>
  <w:style w:type="character" w:styleId="17">
    <w:name w:val="annotation reference"/>
    <w:unhideWhenUsed/>
    <w:qFormat/>
    <w:uiPriority w:val="0"/>
    <w:rPr>
      <w:sz w:val="21"/>
      <w:szCs w:val="21"/>
    </w:rPr>
  </w:style>
  <w:style w:type="character" w:customStyle="1" w:styleId="18">
    <w:name w:val="页眉 Char"/>
    <w:basedOn w:val="14"/>
    <w:link w:val="8"/>
    <w:qFormat/>
    <w:uiPriority w:val="99"/>
    <w:rPr>
      <w:sz w:val="18"/>
      <w:szCs w:val="18"/>
    </w:rPr>
  </w:style>
  <w:style w:type="character" w:customStyle="1" w:styleId="19">
    <w:name w:val="页脚 Char"/>
    <w:basedOn w:val="14"/>
    <w:link w:val="7"/>
    <w:qFormat/>
    <w:uiPriority w:val="99"/>
    <w:rPr>
      <w:sz w:val="18"/>
      <w:szCs w:val="18"/>
    </w:rPr>
  </w:style>
  <w:style w:type="character" w:customStyle="1" w:styleId="20">
    <w:name w:val="标题 1 Char"/>
    <w:basedOn w:val="14"/>
    <w:link w:val="2"/>
    <w:qFormat/>
    <w:uiPriority w:val="9"/>
    <w:rPr>
      <w:b/>
      <w:bCs/>
      <w:kern w:val="44"/>
      <w:sz w:val="44"/>
      <w:szCs w:val="44"/>
    </w:rPr>
  </w:style>
  <w:style w:type="character" w:customStyle="1" w:styleId="21">
    <w:name w:val="标题 2 Char"/>
    <w:basedOn w:val="14"/>
    <w:link w:val="3"/>
    <w:qFormat/>
    <w:uiPriority w:val="0"/>
    <w:rPr>
      <w:rFonts w:ascii="Arial" w:hAnsi="Arial" w:eastAsia="黑体" w:cs="Times New Roman"/>
      <w:b/>
      <w:sz w:val="32"/>
      <w:szCs w:val="20"/>
    </w:rPr>
  </w:style>
  <w:style w:type="character" w:customStyle="1" w:styleId="22">
    <w:name w:val="批注框文本 Char"/>
    <w:basedOn w:val="14"/>
    <w:link w:val="6"/>
    <w:semiHidden/>
    <w:qFormat/>
    <w:uiPriority w:val="99"/>
    <w:rPr>
      <w:rFonts w:ascii="Calibri" w:hAnsi="Calibri" w:eastAsia="宋体" w:cs="Times New Roman"/>
      <w:sz w:val="18"/>
      <w:szCs w:val="18"/>
    </w:rPr>
  </w:style>
  <w:style w:type="character" w:customStyle="1" w:styleId="23">
    <w:name w:val="批注文字 Char"/>
    <w:basedOn w:val="14"/>
    <w:link w:val="5"/>
    <w:qFormat/>
    <w:uiPriority w:val="0"/>
    <w:rPr>
      <w:rFonts w:ascii="Calibri" w:hAnsi="Calibri" w:eastAsia="宋体" w:cs="Times New Roman"/>
    </w:rPr>
  </w:style>
  <w:style w:type="character" w:customStyle="1" w:styleId="24">
    <w:name w:val="批注主题 Char"/>
    <w:basedOn w:val="23"/>
    <w:link w:val="11"/>
    <w:semiHidden/>
    <w:qFormat/>
    <w:uiPriority w:val="99"/>
    <w:rPr>
      <w:rFonts w:ascii="Calibri" w:hAnsi="Calibri" w:eastAsia="宋体" w:cs="Times New Roman"/>
      <w:b/>
      <w:bCs/>
    </w:rPr>
  </w:style>
  <w:style w:type="paragraph" w:customStyle="1" w:styleId="25">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paragraph" w:styleId="26">
    <w:name w:val="List Paragraph"/>
    <w:basedOn w:val="1"/>
    <w:qFormat/>
    <w:uiPriority w:val="34"/>
    <w:pPr>
      <w:ind w:firstLine="420" w:firstLineChars="200"/>
    </w:pPr>
    <w:rPr>
      <w:rFonts w:ascii="Calibri" w:hAnsi="Calibri" w:eastAsia="宋体" w:cs="Times New Roman"/>
      <w:szCs w:val="22"/>
    </w:rPr>
  </w:style>
  <w:style w:type="paragraph" w:customStyle="1" w:styleId="27">
    <w:name w:val="修订1"/>
    <w:hidden/>
    <w:semiHidden/>
    <w:qFormat/>
    <w:uiPriority w:val="99"/>
    <w:rPr>
      <w:rFonts w:ascii="Calibri" w:hAnsi="Calibri" w:eastAsia="宋体" w:cs="Times New Roman"/>
      <w:kern w:val="2"/>
      <w:sz w:val="21"/>
      <w:szCs w:val="22"/>
      <w:lang w:val="en-US" w:eastAsia="zh-CN" w:bidi="ar-SA"/>
    </w:rPr>
  </w:style>
  <w:style w:type="character" w:customStyle="1" w:styleId="28">
    <w:name w:val="批注文字 Char1"/>
    <w:qFormat/>
    <w:uiPriority w:val="0"/>
    <w:rPr>
      <w:rFonts w:ascii="Calibri" w:hAnsi="Calibri" w:eastAsia="宋体" w:cs="黑体"/>
      <w:szCs w:val="24"/>
    </w:rPr>
  </w:style>
  <w:style w:type="character" w:customStyle="1" w:styleId="29">
    <w:name w:val="style_kwd1"/>
    <w:basedOn w:val="14"/>
    <w:qFormat/>
    <w:uiPriority w:val="0"/>
    <w:rPr>
      <w:shd w:val="clear" w:color="auto" w:fill="FFFFA6"/>
    </w:rPr>
  </w:style>
  <w:style w:type="character" w:customStyle="1" w:styleId="30">
    <w:name w:val="font11"/>
    <w:basedOn w:val="14"/>
    <w:qFormat/>
    <w:uiPriority w:val="0"/>
    <w:rPr>
      <w:rFonts w:hint="default" w:ascii="Times New Roman" w:hAnsi="Times New Roman" w:cs="Times New Roman"/>
      <w:color w:val="000000"/>
      <w:sz w:val="24"/>
      <w:szCs w:val="24"/>
      <w:u w:val="none"/>
    </w:rPr>
  </w:style>
  <w:style w:type="character" w:customStyle="1" w:styleId="31">
    <w:name w:val="font01"/>
    <w:basedOn w:val="14"/>
    <w:qFormat/>
    <w:uiPriority w:val="0"/>
    <w:rPr>
      <w:rFonts w:hint="eastAsia" w:ascii="宋体" w:hAnsi="宋体" w:eastAsia="宋体" w:cs="宋体"/>
      <w:color w:val="000000"/>
      <w:sz w:val="24"/>
      <w:szCs w:val="24"/>
      <w:u w:val="none"/>
    </w:rPr>
  </w:style>
  <w:style w:type="character" w:customStyle="1" w:styleId="32">
    <w:name w:val="font111"/>
    <w:basedOn w:val="14"/>
    <w:qFormat/>
    <w:uiPriority w:val="0"/>
    <w:rPr>
      <w:rFonts w:hint="eastAsia" w:ascii="仿宋" w:hAnsi="仿宋" w:eastAsia="仿宋" w:cs="仿宋"/>
      <w:b/>
      <w:color w:val="FF0000"/>
      <w:sz w:val="36"/>
      <w:szCs w:val="36"/>
      <w:u w:val="none"/>
    </w:rPr>
  </w:style>
  <w:style w:type="character" w:customStyle="1" w:styleId="33">
    <w:name w:val="font201"/>
    <w:basedOn w:val="14"/>
    <w:qFormat/>
    <w:uiPriority w:val="0"/>
    <w:rPr>
      <w:rFonts w:hint="eastAsia" w:ascii="仿宋" w:hAnsi="仿宋" w:eastAsia="仿宋" w:cs="仿宋"/>
      <w:color w:val="FF0000"/>
      <w:sz w:val="36"/>
      <w:szCs w:val="36"/>
      <w:u w:val="none"/>
    </w:rPr>
  </w:style>
  <w:style w:type="character" w:customStyle="1" w:styleId="34">
    <w:name w:val="font181"/>
    <w:basedOn w:val="14"/>
    <w:qFormat/>
    <w:uiPriority w:val="0"/>
    <w:rPr>
      <w:rFonts w:hint="eastAsia" w:ascii="仿宋" w:hAnsi="仿宋" w:eastAsia="仿宋" w:cs="仿宋"/>
      <w:color w:val="000000"/>
      <w:sz w:val="36"/>
      <w:szCs w:val="36"/>
      <w:u w:val="none"/>
    </w:rPr>
  </w:style>
  <w:style w:type="paragraph" w:customStyle="1" w:styleId="35">
    <w:name w:val="样式1"/>
    <w:basedOn w:val="1"/>
    <w:qFormat/>
    <w:uiPriority w:val="0"/>
    <w:pPr>
      <w:numPr>
        <w:ilvl w:val="0"/>
        <w:numId w:val="1"/>
      </w:numPr>
      <w:tabs>
        <w:tab w:val="left" w:pos="2127"/>
      </w:tabs>
      <w:adjustRightInd w:val="0"/>
      <w:snapToGrid w:val="0"/>
      <w:spacing w:line="540" w:lineRule="exact"/>
      <w:ind w:left="988"/>
    </w:pPr>
    <w:rPr>
      <w:rFonts w:ascii="仿宋_GB2312" w:hAnsi="宋体" w:eastAsia="仿宋_GB2312" w:cs="Times New Roman"/>
      <w:sz w:val="30"/>
      <w:szCs w:val="3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623</Words>
  <Characters>3555</Characters>
  <Lines>29</Lines>
  <Paragraphs>8</Paragraphs>
  <TotalTime>0</TotalTime>
  <ScaleCrop>false</ScaleCrop>
  <LinksUpToDate>false</LinksUpToDate>
  <CharactersWithSpaces>4170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2023-10-20T15:14:00Z</dcterms:created>
  <cp:lastPrinted>2023-09-04T04:22:00Z</cp:lastPrinted>
  <dcterms:modified xsi:type="dcterms:W3CDTF">2023-11-10T12:28:34Z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