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620" w:lineRule="exact"/>
        <w:outlineLvl w:val="0"/>
        <w:rPr>
          <w:rStyle w:val="16"/>
        </w:rPr>
      </w:pPr>
      <w:bookmarkStart w:id="2" w:name="_GoBack"/>
      <w:bookmarkEnd w:id="2"/>
    </w:p>
    <w:p>
      <w:pPr>
        <w:adjustRightInd w:val="0"/>
        <w:snapToGrid w:val="0"/>
        <w:spacing w:line="620" w:lineRule="exact"/>
        <w:jc w:val="center"/>
        <w:outlineLvl w:val="0"/>
        <w:rPr>
          <w:rStyle w:val="16"/>
        </w:rPr>
      </w:pPr>
      <w:r>
        <w:rPr>
          <w:rStyle w:val="16"/>
          <w:rFonts w:hint="eastAsia"/>
        </w:rPr>
        <w:t>北京证券交易所向不特定合格投资者公开</w:t>
      </w:r>
    </w:p>
    <w:p>
      <w:pPr>
        <w:adjustRightInd w:val="0"/>
        <w:snapToGrid w:val="0"/>
        <w:spacing w:line="620" w:lineRule="exact"/>
        <w:jc w:val="center"/>
        <w:outlineLvl w:val="0"/>
        <w:rPr>
          <w:rStyle w:val="16"/>
        </w:rPr>
      </w:pPr>
      <w:r>
        <w:rPr>
          <w:rStyle w:val="16"/>
          <w:rFonts w:hint="eastAsia"/>
        </w:rPr>
        <w:t>发行股票并上市业务办理指南第</w:t>
      </w:r>
      <w:r>
        <w:rPr>
          <w:rStyle w:val="16"/>
        </w:rPr>
        <w:t>3</w:t>
      </w:r>
      <w:r>
        <w:rPr>
          <w:rStyle w:val="16"/>
          <w:rFonts w:hint="eastAsia"/>
        </w:rPr>
        <w:t>号</w:t>
      </w:r>
    </w:p>
    <w:p>
      <w:pPr>
        <w:adjustRightInd w:val="0"/>
        <w:snapToGrid w:val="0"/>
        <w:spacing w:line="620" w:lineRule="exact"/>
        <w:jc w:val="center"/>
        <w:outlineLvl w:val="0"/>
        <w:rPr>
          <w:rStyle w:val="16"/>
        </w:rPr>
      </w:pPr>
      <w:r>
        <w:rPr>
          <w:rStyle w:val="16"/>
          <w:rFonts w:hint="eastAsia"/>
        </w:rPr>
        <w:t>——申报前咨询沟通</w:t>
      </w:r>
    </w:p>
    <w:p>
      <w:pPr>
        <w:pStyle w:val="2"/>
        <w:keepNext w:val="0"/>
        <w:keepLines w:val="0"/>
        <w:suppressAutoHyphens w:val="0"/>
        <w:spacing w:before="240" w:after="240" w:line="620" w:lineRule="exact"/>
        <w:ind w:left="0" w:firstLine="0"/>
        <w:jc w:val="center"/>
        <w:rPr>
          <w:rStyle w:val="16"/>
        </w:rPr>
      </w:pPr>
      <w:bookmarkStart w:id="0" w:name="_Toc87032685"/>
      <w:bookmarkStart w:id="1" w:name="_Toc84451797"/>
      <w:r>
        <w:rPr>
          <w:rFonts w:hint="eastAsia" w:ascii="Times New Roman" w:hAnsi="Times New Roman" w:eastAsia="黑体"/>
          <w:b w:val="0"/>
          <w:sz w:val="32"/>
          <w:szCs w:val="32"/>
        </w:rPr>
        <w:t>总</w:t>
      </w:r>
      <w:r>
        <w:rPr>
          <w:rFonts w:ascii="Times New Roman" w:hAnsi="Times New Roman" w:eastAsia="黑体"/>
          <w:b w:val="0"/>
          <w:sz w:val="32"/>
          <w:szCs w:val="32"/>
        </w:rPr>
        <w:t xml:space="preserve">  </w:t>
      </w:r>
      <w:r>
        <w:rPr>
          <w:rFonts w:hint="eastAsia" w:ascii="Times New Roman" w:hAnsi="Times New Roman" w:eastAsia="黑体"/>
          <w:b w:val="0"/>
          <w:sz w:val="32"/>
          <w:szCs w:val="32"/>
        </w:rPr>
        <w:t>则</w:t>
      </w:r>
      <w:bookmarkEnd w:id="0"/>
      <w:bookmarkEnd w:id="1"/>
    </w:p>
    <w:p>
      <w:pPr>
        <w:pStyle w:val="18"/>
        <w:numPr>
          <w:ilvl w:val="0"/>
          <w:numId w:val="2"/>
        </w:numPr>
        <w:suppressAutoHyphens w:val="0"/>
        <w:adjustRightInd w:val="0"/>
        <w:snapToGrid w:val="0"/>
        <w:spacing w:line="620" w:lineRule="exact"/>
        <w:ind w:left="0" w:firstLine="640"/>
        <w:outlineLvl w:val="1"/>
        <w:rPr>
          <w:rFonts w:ascii="Times New Roman" w:hAnsi="Times New Roman" w:eastAsia="仿宋"/>
          <w:sz w:val="32"/>
          <w:szCs w:val="32"/>
        </w:rPr>
      </w:pPr>
      <w:r>
        <w:rPr>
          <w:rFonts w:hint="eastAsia" w:ascii="Times New Roman" w:hAnsi="Times New Roman" w:eastAsia="仿宋"/>
          <w:sz w:val="32"/>
          <w:szCs w:val="32"/>
        </w:rPr>
        <w:t xml:space="preserve"> 为了规范北京证券交易所（以下简称北交所或本所）向不特定合格投资者公开发行股票并上市（以下简称发行上市）项目申报前咨询沟通工作，进一步提高申报与审核质效，根据《北京证券交易所向不特定合格投资者公开发行股票并上市审核规则》等有关规定，制定本指南。</w:t>
      </w:r>
    </w:p>
    <w:p>
      <w:pPr>
        <w:pStyle w:val="18"/>
        <w:numPr>
          <w:ilvl w:val="0"/>
          <w:numId w:val="2"/>
        </w:numPr>
        <w:suppressAutoHyphens w:val="0"/>
        <w:adjustRightInd w:val="0"/>
        <w:snapToGrid w:val="0"/>
        <w:spacing w:line="620" w:lineRule="exact"/>
        <w:ind w:left="0" w:firstLine="640"/>
        <w:outlineLvl w:val="1"/>
        <w:rPr>
          <w:rFonts w:ascii="Times New Roman" w:hAnsi="Times New Roman" w:eastAsia="仿宋"/>
          <w:bCs/>
          <w:sz w:val="32"/>
          <w:szCs w:val="32"/>
        </w:rPr>
      </w:pPr>
      <w:r>
        <w:rPr>
          <w:rFonts w:hint="eastAsia" w:ascii="Times New Roman" w:hAnsi="Times New Roman" w:eastAsia="仿宋"/>
          <w:bCs/>
          <w:sz w:val="32"/>
          <w:szCs w:val="32"/>
        </w:rPr>
        <w:t xml:space="preserve"> 本指南适用于发行人及其保荐机构、证券服务机构（以下简称中介机构）在提交发行上市申请文件前与本所进行的业务咨询沟通（以下简称咨询沟通）。</w:t>
      </w:r>
    </w:p>
    <w:p>
      <w:pPr>
        <w:pStyle w:val="18"/>
        <w:numPr>
          <w:ilvl w:val="0"/>
          <w:numId w:val="2"/>
        </w:numPr>
        <w:suppressAutoHyphens w:val="0"/>
        <w:adjustRightInd w:val="0"/>
        <w:snapToGrid w:val="0"/>
        <w:spacing w:line="620" w:lineRule="exact"/>
        <w:ind w:left="0" w:firstLine="640"/>
        <w:outlineLvl w:val="1"/>
        <w:rPr>
          <w:rFonts w:ascii="Times New Roman" w:hAnsi="Times New Roman" w:eastAsia="仿宋"/>
          <w:bCs/>
          <w:sz w:val="32"/>
          <w:szCs w:val="32"/>
        </w:rPr>
      </w:pPr>
      <w:r>
        <w:rPr>
          <w:rFonts w:hint="eastAsia" w:ascii="Times New Roman" w:hAnsi="Times New Roman" w:eastAsia="仿宋"/>
          <w:bCs/>
          <w:sz w:val="32"/>
          <w:szCs w:val="32"/>
        </w:rPr>
        <w:t xml:space="preserve"> 咨询沟通方式包括书面沟通、电话沟通以及视频、现场等当面沟通方式。</w:t>
      </w:r>
    </w:p>
    <w:p>
      <w:pPr>
        <w:pStyle w:val="18"/>
        <w:suppressAutoHyphens w:val="0"/>
        <w:adjustRightInd w:val="0"/>
        <w:snapToGrid w:val="0"/>
        <w:spacing w:line="620" w:lineRule="exact"/>
        <w:ind w:firstLine="640"/>
        <w:rPr>
          <w:rFonts w:ascii="Times New Roman" w:hAnsi="Times New Roman" w:eastAsia="仿宋"/>
          <w:bCs/>
          <w:sz w:val="32"/>
          <w:szCs w:val="32"/>
        </w:rPr>
      </w:pPr>
      <w:r>
        <w:rPr>
          <w:rFonts w:hint="eastAsia" w:ascii="Times New Roman" w:hAnsi="Times New Roman" w:eastAsia="仿宋"/>
          <w:bCs/>
          <w:sz w:val="32"/>
          <w:szCs w:val="32"/>
        </w:rPr>
        <w:t>书面沟通应当通过本所线上沟通系统（以下简称沟通系统）进行，全程留痕。电话沟通应当通过沟通系统预留联系方式进行，全程录音。当面沟通应当在本所指定的平台或区域进行，全程录音录像。</w:t>
      </w:r>
    </w:p>
    <w:p>
      <w:pPr>
        <w:pStyle w:val="18"/>
        <w:suppressAutoHyphens w:val="0"/>
        <w:adjustRightInd w:val="0"/>
        <w:snapToGrid w:val="0"/>
        <w:spacing w:line="620" w:lineRule="exact"/>
        <w:ind w:firstLine="640" w:firstLineChars="0"/>
        <w:rPr>
          <w:rFonts w:ascii="Times New Roman" w:hAnsi="Times New Roman" w:eastAsia="仿宋"/>
          <w:bCs/>
          <w:kern w:val="0"/>
          <w:sz w:val="32"/>
          <w:szCs w:val="32"/>
        </w:rPr>
      </w:pPr>
      <w:r>
        <w:rPr>
          <w:rFonts w:hint="eastAsia" w:ascii="Times New Roman" w:hAnsi="Times New Roman" w:eastAsia="仿宋"/>
          <w:bCs/>
          <w:kern w:val="0"/>
          <w:sz w:val="32"/>
          <w:szCs w:val="32"/>
        </w:rPr>
        <w:t>采取当面沟通方式的，本所安排至少两名工作人员参加，发行人及中介机构应当安排熟悉项目情况、具有相关决策权限的人员参加。</w:t>
      </w:r>
    </w:p>
    <w:p>
      <w:pPr>
        <w:pStyle w:val="18"/>
        <w:numPr>
          <w:ilvl w:val="0"/>
          <w:numId w:val="2"/>
        </w:numPr>
        <w:suppressAutoHyphens w:val="0"/>
        <w:adjustRightInd w:val="0"/>
        <w:snapToGrid w:val="0"/>
        <w:spacing w:line="620" w:lineRule="exact"/>
        <w:ind w:left="0" w:firstLine="640"/>
        <w:outlineLvl w:val="1"/>
        <w:rPr>
          <w:rFonts w:ascii="Times New Roman" w:hAnsi="Times New Roman" w:eastAsia="仿宋"/>
          <w:b/>
          <w:sz w:val="32"/>
          <w:szCs w:val="32"/>
        </w:rPr>
      </w:pPr>
      <w:r>
        <w:rPr>
          <w:rFonts w:hint="eastAsia" w:ascii="Times New Roman" w:hAnsi="Times New Roman" w:eastAsia="仿宋"/>
          <w:sz w:val="32"/>
          <w:szCs w:val="32"/>
        </w:rPr>
        <w:t xml:space="preserve"> 中介机构应当对咨询沟通的事项进行深入核查、分析。保荐机构应当对咨询沟通的内容、材料质量予以把关。咨询沟通申请材料应当加盖保荐机构公章。</w:t>
      </w:r>
    </w:p>
    <w:p>
      <w:pPr>
        <w:pStyle w:val="18"/>
        <w:numPr>
          <w:ilvl w:val="0"/>
          <w:numId w:val="2"/>
        </w:numPr>
        <w:suppressAutoHyphens w:val="0"/>
        <w:adjustRightInd w:val="0"/>
        <w:snapToGrid w:val="0"/>
        <w:spacing w:line="620" w:lineRule="exact"/>
        <w:ind w:left="0" w:firstLine="640"/>
        <w:outlineLvl w:val="1"/>
        <w:rPr>
          <w:rFonts w:ascii="Times New Roman" w:hAnsi="Times New Roman" w:eastAsia="仿宋"/>
          <w:sz w:val="32"/>
          <w:szCs w:val="32"/>
        </w:rPr>
      </w:pPr>
      <w:r>
        <w:rPr>
          <w:rFonts w:hint="eastAsia" w:ascii="Times New Roman" w:hAnsi="Times New Roman" w:eastAsia="仿宋"/>
          <w:sz w:val="32"/>
          <w:szCs w:val="32"/>
        </w:rPr>
        <w:t xml:space="preserve"> 咨询沟通事项涉及向有关单位征求意见或请示报告的，本所按规定履行相应程序。</w:t>
      </w:r>
    </w:p>
    <w:p>
      <w:pPr>
        <w:pStyle w:val="18"/>
        <w:numPr>
          <w:ilvl w:val="0"/>
          <w:numId w:val="2"/>
        </w:numPr>
        <w:suppressAutoHyphens w:val="0"/>
        <w:adjustRightInd w:val="0"/>
        <w:snapToGrid w:val="0"/>
        <w:spacing w:line="620" w:lineRule="exact"/>
        <w:ind w:left="0" w:firstLine="640"/>
        <w:outlineLvl w:val="1"/>
        <w:rPr>
          <w:rFonts w:ascii="Times New Roman" w:hAnsi="Times New Roman" w:eastAsia="仿宋"/>
          <w:bCs/>
          <w:sz w:val="32"/>
          <w:szCs w:val="32"/>
        </w:rPr>
      </w:pPr>
      <w:r>
        <w:rPr>
          <w:rFonts w:hint="eastAsia" w:ascii="Times New Roman" w:hAnsi="Times New Roman" w:eastAsia="仿宋"/>
          <w:bCs/>
          <w:sz w:val="32"/>
          <w:szCs w:val="32"/>
        </w:rPr>
        <w:t xml:space="preserve"> 本所咨询沟通的相关内容不表明本所对发行人是否符合发行条件、上市条件和信息披露要求做出实质性判断或者保证，发行人及中介机构不得将咨询沟通内容作为判断能否通过审核的依据。</w:t>
      </w:r>
    </w:p>
    <w:p>
      <w:pPr>
        <w:pStyle w:val="2"/>
        <w:keepNext w:val="0"/>
        <w:keepLines w:val="0"/>
        <w:suppressAutoHyphens w:val="0"/>
        <w:spacing w:before="240" w:after="240" w:line="620" w:lineRule="exact"/>
        <w:ind w:left="0" w:firstLine="0"/>
        <w:jc w:val="center"/>
        <w:rPr>
          <w:rFonts w:ascii="Times New Roman" w:hAnsi="Times New Roman" w:eastAsia="黑体"/>
          <w:b w:val="0"/>
          <w:sz w:val="32"/>
          <w:szCs w:val="32"/>
        </w:rPr>
      </w:pPr>
      <w:r>
        <w:rPr>
          <w:rFonts w:hint="eastAsia" w:ascii="Times New Roman" w:hAnsi="Times New Roman" w:eastAsia="黑体"/>
          <w:b w:val="0"/>
          <w:sz w:val="32"/>
          <w:szCs w:val="32"/>
        </w:rPr>
        <w:t>咨询沟通情形及办理要求</w:t>
      </w:r>
    </w:p>
    <w:p>
      <w:pPr>
        <w:pStyle w:val="18"/>
        <w:numPr>
          <w:ilvl w:val="0"/>
          <w:numId w:val="2"/>
        </w:numPr>
        <w:suppressAutoHyphens w:val="0"/>
        <w:adjustRightInd w:val="0"/>
        <w:snapToGrid w:val="0"/>
        <w:spacing w:line="620" w:lineRule="exact"/>
        <w:ind w:left="0" w:firstLine="640"/>
        <w:outlineLvl w:val="1"/>
        <w:rPr>
          <w:rFonts w:ascii="Times New Roman" w:hAnsi="Times New Roman" w:eastAsia="仿宋"/>
          <w:bCs/>
          <w:kern w:val="0"/>
          <w:sz w:val="32"/>
          <w:szCs w:val="32"/>
        </w:rPr>
      </w:pPr>
      <w:r>
        <w:rPr>
          <w:rFonts w:hint="eastAsia" w:ascii="Times New Roman" w:hAnsi="Times New Roman" w:eastAsia="仿宋"/>
          <w:bCs/>
          <w:kern w:val="0"/>
          <w:sz w:val="32"/>
          <w:szCs w:val="32"/>
        </w:rPr>
        <w:t xml:space="preserve"> 发行人及中介机构可以</w:t>
      </w:r>
      <w:r>
        <w:rPr>
          <w:rFonts w:hint="eastAsia" w:ascii="Times New Roman" w:hAnsi="Times New Roman" w:eastAsia="仿宋"/>
          <w:bCs/>
          <w:sz w:val="32"/>
          <w:szCs w:val="32"/>
        </w:rPr>
        <w:t>在提交发行上市申请文件前</w:t>
      </w:r>
      <w:r>
        <w:rPr>
          <w:rFonts w:hint="eastAsia" w:ascii="Times New Roman" w:hAnsi="Times New Roman" w:eastAsia="仿宋"/>
          <w:bCs/>
          <w:kern w:val="0"/>
          <w:sz w:val="32"/>
          <w:szCs w:val="32"/>
        </w:rPr>
        <w:t>，就下列事项向本所申请咨询沟通，主要包括：</w:t>
      </w:r>
    </w:p>
    <w:p>
      <w:pPr>
        <w:pStyle w:val="18"/>
        <w:suppressAutoHyphens w:val="0"/>
        <w:adjustRightInd w:val="0"/>
        <w:snapToGrid w:val="0"/>
        <w:spacing w:line="620" w:lineRule="exact"/>
        <w:ind w:firstLine="640"/>
        <w:rPr>
          <w:rFonts w:ascii="Times New Roman" w:hAnsi="Times New Roman" w:eastAsia="仿宋"/>
          <w:bCs/>
          <w:kern w:val="0"/>
          <w:sz w:val="32"/>
          <w:szCs w:val="32"/>
        </w:rPr>
      </w:pPr>
      <w:r>
        <w:rPr>
          <w:rFonts w:hint="eastAsia" w:ascii="Times New Roman" w:hAnsi="Times New Roman" w:eastAsia="仿宋"/>
          <w:bCs/>
          <w:kern w:val="0"/>
          <w:sz w:val="32"/>
          <w:szCs w:val="32"/>
        </w:rPr>
        <w:t>（一）涉及发行条件、上市条件和信息披露等要求，按照现有规则难以做出判断的重大问题；</w:t>
      </w:r>
    </w:p>
    <w:p>
      <w:pPr>
        <w:pStyle w:val="18"/>
        <w:suppressAutoHyphens w:val="0"/>
        <w:adjustRightInd w:val="0"/>
        <w:snapToGrid w:val="0"/>
        <w:spacing w:line="620" w:lineRule="exact"/>
        <w:ind w:firstLine="640"/>
        <w:rPr>
          <w:rFonts w:ascii="Times New Roman" w:hAnsi="Times New Roman" w:eastAsia="仿宋"/>
          <w:bCs/>
          <w:kern w:val="0"/>
          <w:sz w:val="32"/>
          <w:szCs w:val="32"/>
        </w:rPr>
      </w:pPr>
      <w:r>
        <w:rPr>
          <w:rFonts w:hint="eastAsia" w:ascii="Times New Roman" w:hAnsi="Times New Roman" w:eastAsia="仿宋"/>
          <w:bCs/>
          <w:kern w:val="0"/>
          <w:sz w:val="32"/>
          <w:szCs w:val="32"/>
        </w:rPr>
        <w:t>（二）发行上市审核中尚未有案例支持的重大无先例事项；</w:t>
      </w:r>
    </w:p>
    <w:p>
      <w:pPr>
        <w:pStyle w:val="18"/>
        <w:suppressAutoHyphens w:val="0"/>
        <w:adjustRightInd w:val="0"/>
        <w:snapToGrid w:val="0"/>
        <w:spacing w:line="620" w:lineRule="exact"/>
        <w:ind w:firstLine="640"/>
        <w:rPr>
          <w:rFonts w:ascii="Times New Roman" w:hAnsi="Times New Roman" w:eastAsia="仿宋"/>
          <w:bCs/>
          <w:kern w:val="0"/>
          <w:sz w:val="32"/>
          <w:szCs w:val="32"/>
        </w:rPr>
      </w:pPr>
      <w:r>
        <w:rPr>
          <w:rFonts w:hint="eastAsia" w:ascii="Times New Roman" w:hAnsi="Times New Roman" w:eastAsia="仿宋"/>
          <w:bCs/>
          <w:kern w:val="0"/>
          <w:sz w:val="32"/>
          <w:szCs w:val="32"/>
        </w:rPr>
        <w:t>（三）涉及行业产业政策、市场定位等发行上市审核标准适用的相关问题；</w:t>
      </w:r>
    </w:p>
    <w:p>
      <w:pPr>
        <w:pStyle w:val="18"/>
        <w:suppressAutoHyphens w:val="0"/>
        <w:adjustRightInd w:val="0"/>
        <w:snapToGrid w:val="0"/>
        <w:spacing w:line="620" w:lineRule="exact"/>
        <w:ind w:firstLine="640"/>
        <w:rPr>
          <w:rFonts w:ascii="Times New Roman" w:hAnsi="Times New Roman" w:eastAsia="仿宋"/>
          <w:bCs/>
          <w:kern w:val="0"/>
          <w:sz w:val="32"/>
          <w:szCs w:val="32"/>
        </w:rPr>
      </w:pPr>
      <w:r>
        <w:rPr>
          <w:rFonts w:hint="eastAsia" w:ascii="Times New Roman" w:hAnsi="Times New Roman" w:eastAsia="仿宋"/>
          <w:bCs/>
          <w:kern w:val="0"/>
          <w:sz w:val="32"/>
          <w:szCs w:val="32"/>
        </w:rPr>
        <w:t>（四）</w:t>
      </w:r>
      <w:r>
        <w:rPr>
          <w:rStyle w:val="19"/>
          <w:rFonts w:hint="default" w:ascii="仿宋" w:hAnsi="仿宋" w:eastAsia="仿宋"/>
          <w:sz w:val="32"/>
          <w:szCs w:val="32"/>
        </w:rPr>
        <w:t>在筹备发行上市过程中，发行人及其中介机构关于核查发现的需要规范事项及其整改落实情况、监管审核重点关注的事项等相关问题</w:t>
      </w:r>
      <w:r>
        <w:rPr>
          <w:rFonts w:hint="eastAsia" w:ascii="Times New Roman" w:hAnsi="Times New Roman" w:eastAsia="仿宋"/>
          <w:bCs/>
          <w:kern w:val="0"/>
          <w:sz w:val="32"/>
          <w:szCs w:val="32"/>
        </w:rPr>
        <w:t>；</w:t>
      </w:r>
    </w:p>
    <w:p>
      <w:pPr>
        <w:pStyle w:val="18"/>
        <w:suppressAutoHyphens w:val="0"/>
        <w:adjustRightInd w:val="0"/>
        <w:snapToGrid w:val="0"/>
        <w:spacing w:line="620" w:lineRule="exact"/>
        <w:ind w:firstLine="640"/>
        <w:rPr>
          <w:rFonts w:ascii="Times New Roman" w:hAnsi="Times New Roman" w:eastAsia="仿宋"/>
          <w:bCs/>
          <w:kern w:val="0"/>
          <w:sz w:val="32"/>
          <w:szCs w:val="32"/>
        </w:rPr>
      </w:pPr>
      <w:r>
        <w:rPr>
          <w:rFonts w:hint="eastAsia" w:ascii="Times New Roman" w:hAnsi="Times New Roman" w:eastAsia="仿宋"/>
          <w:bCs/>
          <w:kern w:val="0"/>
          <w:sz w:val="32"/>
          <w:szCs w:val="32"/>
        </w:rPr>
        <w:t>（五）确需咨询沟通的其他问题。</w:t>
      </w:r>
    </w:p>
    <w:p>
      <w:pPr>
        <w:pStyle w:val="18"/>
        <w:numPr>
          <w:ilvl w:val="0"/>
          <w:numId w:val="2"/>
        </w:numPr>
        <w:suppressAutoHyphens w:val="0"/>
        <w:adjustRightInd w:val="0"/>
        <w:snapToGrid w:val="0"/>
        <w:spacing w:line="620" w:lineRule="exact"/>
        <w:ind w:left="0" w:firstLine="640"/>
        <w:outlineLvl w:val="1"/>
        <w:rPr>
          <w:rFonts w:ascii="Times New Roman" w:hAnsi="Times New Roman" w:eastAsia="仿宋"/>
          <w:bCs/>
          <w:sz w:val="32"/>
          <w:szCs w:val="32"/>
        </w:rPr>
      </w:pPr>
      <w:r>
        <w:rPr>
          <w:rFonts w:hint="eastAsia" w:ascii="Times New Roman" w:hAnsi="Times New Roman" w:eastAsia="仿宋"/>
          <w:bCs/>
          <w:kern w:val="0"/>
          <w:sz w:val="32"/>
          <w:szCs w:val="32"/>
        </w:rPr>
        <w:t xml:space="preserve"> </w:t>
      </w:r>
      <w:r>
        <w:rPr>
          <w:rFonts w:hint="eastAsia" w:ascii="Times New Roman" w:hAnsi="Times New Roman" w:eastAsia="仿宋"/>
          <w:bCs/>
          <w:sz w:val="32"/>
          <w:szCs w:val="32"/>
        </w:rPr>
        <w:t>下列情形不属于咨询沟通事项范围：</w:t>
      </w:r>
    </w:p>
    <w:p>
      <w:pPr>
        <w:numPr>
          <w:ilvl w:val="0"/>
          <w:numId w:val="3"/>
        </w:numPr>
        <w:spacing w:line="600" w:lineRule="exact"/>
        <w:ind w:firstLine="600"/>
        <w:rPr>
          <w:rFonts w:ascii="仿宋_GB2312" w:hAnsi="仿宋" w:eastAsia="仿宋_GB2312"/>
          <w:sz w:val="32"/>
          <w:szCs w:val="32"/>
        </w:rPr>
      </w:pPr>
      <w:r>
        <w:rPr>
          <w:rFonts w:hint="eastAsia" w:ascii="仿宋_GB2312" w:hAnsi="仿宋" w:eastAsia="仿宋_GB2312"/>
          <w:sz w:val="32"/>
          <w:szCs w:val="32"/>
        </w:rPr>
        <w:t>无实质咨询沟通内容，属于礼节性拜访的；</w:t>
      </w:r>
    </w:p>
    <w:p>
      <w:pPr>
        <w:numPr>
          <w:ilvl w:val="0"/>
          <w:numId w:val="3"/>
        </w:numPr>
        <w:spacing w:line="600" w:lineRule="exact"/>
        <w:ind w:firstLine="600"/>
        <w:rPr>
          <w:rFonts w:ascii="仿宋_GB2312" w:hAnsi="仿宋" w:eastAsia="仿宋_GB2312"/>
          <w:color w:val="000000" w:themeColor="text1"/>
          <w:sz w:val="32"/>
          <w:szCs w:val="32"/>
          <w14:textFill>
            <w14:solidFill>
              <w14:schemeClr w14:val="tx1"/>
            </w14:solidFill>
          </w14:textFill>
        </w:rPr>
      </w:pPr>
      <w:r>
        <w:rPr>
          <w:rFonts w:hint="eastAsia" w:ascii="仿宋_GB2312" w:hAnsi="仿宋" w:eastAsia="仿宋_GB2312"/>
          <w:sz w:val="32"/>
          <w:szCs w:val="32"/>
        </w:rPr>
        <w:t>打听审核工作安排等情况的；</w:t>
      </w:r>
    </w:p>
    <w:p>
      <w:pPr>
        <w:numPr>
          <w:ilvl w:val="0"/>
          <w:numId w:val="3"/>
        </w:numPr>
        <w:spacing w:line="600" w:lineRule="exact"/>
        <w:ind w:firstLine="600"/>
        <w:rPr>
          <w:rFonts w:ascii="仿宋_GB2312" w:hAnsi="仿宋" w:eastAsia="仿宋_GB2312"/>
          <w:sz w:val="32"/>
          <w:szCs w:val="32"/>
        </w:rPr>
      </w:pPr>
      <w:r>
        <w:rPr>
          <w:rFonts w:hint="eastAsia" w:ascii="仿宋_GB2312" w:hAnsi="仿宋" w:eastAsia="仿宋_GB2312"/>
          <w:color w:val="000000" w:themeColor="text1"/>
          <w:sz w:val="32"/>
          <w:szCs w:val="32"/>
          <w14:textFill>
            <w14:solidFill>
              <w14:schemeClr w14:val="tx1"/>
            </w14:solidFill>
          </w14:textFill>
        </w:rPr>
        <w:t>咨询问题属于本指南第七条规定情形外</w:t>
      </w:r>
      <w:r>
        <w:rPr>
          <w:rFonts w:hint="eastAsia" w:ascii="仿宋_GB2312" w:eastAsia="仿宋_GB2312"/>
          <w:sz w:val="32"/>
          <w:szCs w:val="32"/>
        </w:rPr>
        <w:t>中介机构</w:t>
      </w:r>
      <w:r>
        <w:rPr>
          <w:rFonts w:hint="eastAsia" w:ascii="仿宋_GB2312" w:hAnsi="仿宋" w:eastAsia="仿宋_GB2312"/>
          <w:color w:val="000000" w:themeColor="text1"/>
          <w:sz w:val="32"/>
          <w:szCs w:val="32"/>
          <w14:textFill>
            <w14:solidFill>
              <w14:schemeClr w14:val="tx1"/>
            </w14:solidFill>
          </w14:textFill>
        </w:rPr>
        <w:t>应当自行核查把关的常规问题；</w:t>
      </w:r>
    </w:p>
    <w:p>
      <w:pPr>
        <w:numPr>
          <w:ilvl w:val="0"/>
          <w:numId w:val="3"/>
        </w:numPr>
        <w:spacing w:line="600" w:lineRule="exact"/>
        <w:ind w:firstLine="600"/>
        <w:rPr>
          <w:rFonts w:ascii="仿宋_GB2312" w:hAnsi="仿宋" w:eastAsia="仿宋_GB2312"/>
          <w:sz w:val="32"/>
          <w:szCs w:val="32"/>
        </w:rPr>
      </w:pPr>
      <w:r>
        <w:rPr>
          <w:rFonts w:hint="eastAsia" w:ascii="仿宋_GB2312" w:hAnsi="仿宋" w:eastAsia="仿宋_GB2312"/>
          <w:sz w:val="32"/>
          <w:szCs w:val="32"/>
        </w:rPr>
        <w:t>已就同一事项进行过沟通且本次拟沟通的相关事实情况较前次沟通无明显变化的；</w:t>
      </w:r>
    </w:p>
    <w:p>
      <w:pPr>
        <w:numPr>
          <w:ilvl w:val="0"/>
          <w:numId w:val="3"/>
        </w:numPr>
        <w:suppressAutoHyphens/>
        <w:spacing w:line="600" w:lineRule="exact"/>
        <w:ind w:firstLine="600"/>
        <w:rPr>
          <w:rFonts w:ascii="Times New Roman" w:hAnsi="Times New Roman" w:eastAsia="仿宋"/>
          <w:sz w:val="32"/>
          <w:szCs w:val="32"/>
        </w:rPr>
      </w:pPr>
      <w:r>
        <w:rPr>
          <w:rFonts w:ascii="仿宋_GB2312" w:hAnsi="仿宋" w:eastAsia="仿宋_GB2312"/>
          <w:sz w:val="32"/>
          <w:szCs w:val="32"/>
        </w:rPr>
        <w:t>不适合</w:t>
      </w:r>
      <w:r>
        <w:rPr>
          <w:rFonts w:hint="eastAsia" w:ascii="仿宋_GB2312" w:hAnsi="仿宋" w:eastAsia="仿宋_GB2312"/>
          <w:sz w:val="32"/>
          <w:szCs w:val="32"/>
        </w:rPr>
        <w:t>咨询沟通</w:t>
      </w:r>
      <w:r>
        <w:rPr>
          <w:rFonts w:ascii="仿宋_GB2312" w:hAnsi="仿宋" w:eastAsia="仿宋_GB2312"/>
          <w:sz w:val="32"/>
          <w:szCs w:val="32"/>
        </w:rPr>
        <w:t>的</w:t>
      </w:r>
      <w:r>
        <w:rPr>
          <w:rFonts w:hint="eastAsia" w:ascii="仿宋_GB2312" w:hAnsi="仿宋" w:eastAsia="仿宋_GB2312"/>
          <w:sz w:val="32"/>
          <w:szCs w:val="32"/>
        </w:rPr>
        <w:t>其他</w:t>
      </w:r>
      <w:r>
        <w:rPr>
          <w:rFonts w:ascii="仿宋_GB2312" w:hAnsi="仿宋" w:eastAsia="仿宋_GB2312"/>
          <w:sz w:val="32"/>
          <w:szCs w:val="32"/>
        </w:rPr>
        <w:t>情形。</w:t>
      </w:r>
    </w:p>
    <w:p>
      <w:pPr>
        <w:pStyle w:val="18"/>
        <w:numPr>
          <w:ilvl w:val="0"/>
          <w:numId w:val="2"/>
        </w:numPr>
        <w:suppressAutoHyphens w:val="0"/>
        <w:adjustRightInd w:val="0"/>
        <w:snapToGrid w:val="0"/>
        <w:spacing w:line="620" w:lineRule="exact"/>
        <w:ind w:left="0" w:firstLine="640"/>
        <w:outlineLvl w:val="1"/>
        <w:rPr>
          <w:rFonts w:ascii="Times New Roman" w:hAnsi="Times New Roman" w:eastAsia="仿宋"/>
          <w:b/>
          <w:sz w:val="32"/>
          <w:szCs w:val="32"/>
        </w:rPr>
      </w:pPr>
      <w:r>
        <w:rPr>
          <w:rFonts w:hint="eastAsia" w:ascii="Times New Roman" w:hAnsi="Times New Roman" w:eastAsia="仿宋"/>
          <w:bCs/>
          <w:kern w:val="0"/>
          <w:sz w:val="32"/>
          <w:szCs w:val="32"/>
        </w:rPr>
        <w:t xml:space="preserve"> 保荐机构通过沟通系统提交咨询沟通申请材料的，材料内容应当包括发行人</w:t>
      </w:r>
      <w:r>
        <w:rPr>
          <w:rFonts w:ascii="Times New Roman" w:hAnsi="Times New Roman" w:eastAsia="仿宋"/>
          <w:bCs/>
          <w:kern w:val="0"/>
          <w:sz w:val="32"/>
          <w:szCs w:val="32"/>
        </w:rPr>
        <w:t>相关</w:t>
      </w:r>
      <w:r>
        <w:rPr>
          <w:rFonts w:hint="eastAsia" w:ascii="Times New Roman" w:hAnsi="Times New Roman" w:eastAsia="仿宋"/>
          <w:bCs/>
          <w:kern w:val="0"/>
          <w:sz w:val="32"/>
          <w:szCs w:val="32"/>
        </w:rPr>
        <w:t>问题的概述、中介机构核查情况与初步判断意见等，相关内容应当事实清楚、逻辑清晰、依据充分</w:t>
      </w:r>
      <w:r>
        <w:rPr>
          <w:rFonts w:hint="eastAsia" w:ascii="仿宋_GB2312" w:eastAsia="仿宋_GB2312" w:hAnsiTheme="minorEastAsia"/>
          <w:sz w:val="32"/>
          <w:szCs w:val="32"/>
        </w:rPr>
        <w:t>（可参考附件）</w:t>
      </w:r>
      <w:r>
        <w:rPr>
          <w:rFonts w:hint="eastAsia" w:ascii="Times New Roman" w:hAnsi="Times New Roman" w:eastAsia="仿宋"/>
          <w:bCs/>
          <w:kern w:val="0"/>
          <w:sz w:val="32"/>
          <w:szCs w:val="32"/>
        </w:rPr>
        <w:t>。</w:t>
      </w:r>
      <w:r>
        <w:rPr>
          <w:rFonts w:hint="eastAsia" w:ascii="仿宋_GB2312" w:hAnsi="黑体" w:eastAsia="仿宋_GB2312"/>
          <w:sz w:val="32"/>
          <w:szCs w:val="32"/>
        </w:rPr>
        <w:t>有多个咨询沟通问题的，原则上应当一次性提出。</w:t>
      </w:r>
      <w:r>
        <w:rPr>
          <w:rFonts w:hint="eastAsia" w:ascii="Times New Roman" w:hAnsi="Times New Roman" w:eastAsia="仿宋"/>
          <w:bCs/>
          <w:sz w:val="32"/>
          <w:szCs w:val="32"/>
        </w:rPr>
        <w:t>确需视频</w:t>
      </w:r>
      <w:r>
        <w:rPr>
          <w:rFonts w:ascii="Times New Roman" w:hAnsi="Times New Roman" w:eastAsia="仿宋"/>
          <w:bCs/>
          <w:sz w:val="32"/>
          <w:szCs w:val="32"/>
        </w:rPr>
        <w:t>或现场</w:t>
      </w:r>
      <w:r>
        <w:rPr>
          <w:rFonts w:hint="eastAsia" w:ascii="Times New Roman" w:hAnsi="Times New Roman" w:eastAsia="仿宋"/>
          <w:bCs/>
          <w:sz w:val="32"/>
          <w:szCs w:val="32"/>
        </w:rPr>
        <w:t>形式当面沟通的，还应当在</w:t>
      </w:r>
      <w:r>
        <w:rPr>
          <w:rFonts w:ascii="Times New Roman" w:hAnsi="Times New Roman" w:eastAsia="仿宋"/>
          <w:bCs/>
          <w:sz w:val="32"/>
          <w:szCs w:val="32"/>
        </w:rPr>
        <w:t>沟通系统中预约</w:t>
      </w:r>
      <w:r>
        <w:rPr>
          <w:rFonts w:hint="eastAsia" w:ascii="Times New Roman" w:hAnsi="Times New Roman" w:eastAsia="仿宋"/>
          <w:sz w:val="32"/>
          <w:szCs w:val="32"/>
        </w:rPr>
        <w:t>。</w:t>
      </w:r>
    </w:p>
    <w:p>
      <w:pPr>
        <w:pStyle w:val="18"/>
        <w:numPr>
          <w:ilvl w:val="0"/>
          <w:numId w:val="2"/>
        </w:numPr>
        <w:suppressAutoHyphens w:val="0"/>
        <w:adjustRightInd w:val="0"/>
        <w:snapToGrid w:val="0"/>
        <w:spacing w:line="620" w:lineRule="exact"/>
        <w:ind w:left="0" w:firstLine="640"/>
        <w:outlineLvl w:val="1"/>
        <w:rPr>
          <w:rFonts w:ascii="Times New Roman" w:hAnsi="Times New Roman" w:eastAsia="仿宋"/>
          <w:bCs/>
          <w:sz w:val="32"/>
          <w:szCs w:val="32"/>
        </w:rPr>
      </w:pPr>
      <w:r>
        <w:rPr>
          <w:rFonts w:hint="eastAsia" w:ascii="Times New Roman" w:hAnsi="Times New Roman" w:eastAsia="仿宋"/>
          <w:bCs/>
          <w:sz w:val="32"/>
          <w:szCs w:val="32"/>
        </w:rPr>
        <w:t xml:space="preserve"> 本所收到咨询沟通申请材料后，将及时组织工作人员办理，</w:t>
      </w:r>
      <w:r>
        <w:rPr>
          <w:rFonts w:ascii="Times New Roman" w:hAnsi="Times New Roman" w:eastAsia="仿宋"/>
          <w:bCs/>
          <w:sz w:val="32"/>
          <w:szCs w:val="32"/>
        </w:rPr>
        <w:t>需要补充材料的</w:t>
      </w:r>
      <w:r>
        <w:rPr>
          <w:rFonts w:hint="eastAsia" w:ascii="Times New Roman" w:hAnsi="Times New Roman" w:eastAsia="仿宋"/>
          <w:bCs/>
          <w:sz w:val="32"/>
          <w:szCs w:val="32"/>
        </w:rPr>
        <w:t>，在五个工作日内提出补充材料</w:t>
      </w:r>
      <w:r>
        <w:rPr>
          <w:rFonts w:ascii="Times New Roman" w:hAnsi="Times New Roman" w:eastAsia="仿宋"/>
          <w:bCs/>
          <w:sz w:val="32"/>
          <w:szCs w:val="32"/>
        </w:rPr>
        <w:t>的</w:t>
      </w:r>
      <w:r>
        <w:rPr>
          <w:rFonts w:hint="eastAsia" w:ascii="Times New Roman" w:hAnsi="Times New Roman" w:eastAsia="仿宋"/>
          <w:bCs/>
          <w:sz w:val="32"/>
          <w:szCs w:val="32"/>
        </w:rPr>
        <w:t>意见。</w:t>
      </w:r>
    </w:p>
    <w:p>
      <w:pPr>
        <w:pStyle w:val="18"/>
        <w:suppressAutoHyphens w:val="0"/>
        <w:adjustRightInd w:val="0"/>
        <w:snapToGrid w:val="0"/>
        <w:spacing w:line="620" w:lineRule="exact"/>
        <w:ind w:firstLine="640"/>
        <w:rPr>
          <w:rFonts w:ascii="Times New Roman" w:hAnsi="Times New Roman" w:eastAsia="仿宋"/>
          <w:bCs/>
          <w:sz w:val="32"/>
          <w:szCs w:val="32"/>
        </w:rPr>
      </w:pPr>
      <w:r>
        <w:rPr>
          <w:rFonts w:hint="eastAsia" w:ascii="Times New Roman" w:hAnsi="Times New Roman" w:eastAsia="仿宋"/>
          <w:bCs/>
          <w:sz w:val="32"/>
          <w:szCs w:val="32"/>
        </w:rPr>
        <w:t>保荐机构未按要求提供材料或者沟通事项属于第八条规定范围内的，本所退回咨询沟通的申请。</w:t>
      </w:r>
    </w:p>
    <w:p>
      <w:pPr>
        <w:pStyle w:val="18"/>
        <w:suppressAutoHyphens w:val="0"/>
        <w:adjustRightInd w:val="0"/>
        <w:snapToGrid w:val="0"/>
        <w:spacing w:line="620" w:lineRule="exact"/>
        <w:ind w:firstLine="640"/>
        <w:rPr>
          <w:rFonts w:ascii="Times New Roman" w:hAnsi="Times New Roman" w:eastAsia="仿宋"/>
          <w:bCs/>
          <w:sz w:val="32"/>
          <w:szCs w:val="32"/>
        </w:rPr>
      </w:pPr>
      <w:r>
        <w:rPr>
          <w:rFonts w:hint="eastAsia" w:ascii="Times New Roman" w:hAnsi="Times New Roman" w:eastAsia="仿宋"/>
          <w:bCs/>
          <w:sz w:val="32"/>
          <w:szCs w:val="32"/>
        </w:rPr>
        <w:t>本所在收到补充完善的申请材料后，在十个工作日内以电话、书面等方式予以答复，或者在三个工作日内商定当面沟通形式与时间并在商定时间予以答复。咨询沟通事项涉及向有关单位征求意见或请示报告的，相关时间不计算在内。</w:t>
      </w:r>
    </w:p>
    <w:p>
      <w:pPr>
        <w:pStyle w:val="18"/>
        <w:numPr>
          <w:ilvl w:val="0"/>
          <w:numId w:val="2"/>
        </w:numPr>
        <w:suppressAutoHyphens w:val="0"/>
        <w:adjustRightInd w:val="0"/>
        <w:snapToGrid w:val="0"/>
        <w:spacing w:line="620" w:lineRule="exact"/>
        <w:ind w:left="0" w:firstLine="640"/>
        <w:outlineLvl w:val="1"/>
        <w:rPr>
          <w:rFonts w:ascii="Times New Roman" w:hAnsi="Times New Roman" w:eastAsia="仿宋"/>
          <w:b/>
          <w:sz w:val="32"/>
          <w:szCs w:val="32"/>
        </w:rPr>
      </w:pPr>
      <w:r>
        <w:rPr>
          <w:rFonts w:hint="eastAsia" w:ascii="Times New Roman" w:hAnsi="Times New Roman" w:eastAsia="仿宋"/>
          <w:sz w:val="32"/>
          <w:szCs w:val="32"/>
        </w:rPr>
        <w:t xml:space="preserve"> 咨询沟通不影响发行人按规定提交发行上市申请文件。</w:t>
      </w:r>
    </w:p>
    <w:p>
      <w:pPr>
        <w:pStyle w:val="2"/>
        <w:keepNext w:val="0"/>
        <w:keepLines w:val="0"/>
        <w:suppressAutoHyphens w:val="0"/>
        <w:spacing w:before="240" w:after="240" w:line="620" w:lineRule="exact"/>
        <w:ind w:left="0" w:firstLine="0"/>
        <w:jc w:val="center"/>
        <w:rPr>
          <w:rFonts w:ascii="Times New Roman" w:hAnsi="Times New Roman" w:eastAsia="黑体"/>
          <w:b w:val="0"/>
          <w:sz w:val="32"/>
          <w:szCs w:val="32"/>
        </w:rPr>
      </w:pPr>
      <w:r>
        <w:rPr>
          <w:rFonts w:hint="eastAsia" w:ascii="Times New Roman" w:hAnsi="Times New Roman" w:eastAsia="黑体"/>
          <w:b w:val="0"/>
          <w:sz w:val="32"/>
          <w:szCs w:val="32"/>
        </w:rPr>
        <w:t>纪律和监督</w:t>
      </w:r>
    </w:p>
    <w:p>
      <w:pPr>
        <w:pStyle w:val="18"/>
        <w:numPr>
          <w:ilvl w:val="0"/>
          <w:numId w:val="2"/>
        </w:numPr>
        <w:suppressAutoHyphens w:val="0"/>
        <w:adjustRightInd w:val="0"/>
        <w:snapToGrid w:val="0"/>
        <w:spacing w:line="620" w:lineRule="exact"/>
        <w:ind w:left="0" w:firstLine="640"/>
        <w:outlineLvl w:val="1"/>
        <w:rPr>
          <w:rFonts w:ascii="Times New Roman" w:hAnsi="Times New Roman" w:eastAsia="仿宋"/>
          <w:bCs/>
          <w:kern w:val="0"/>
          <w:sz w:val="32"/>
          <w:szCs w:val="32"/>
        </w:rPr>
      </w:pPr>
      <w:r>
        <w:rPr>
          <w:rFonts w:hint="eastAsia" w:ascii="Times New Roman" w:hAnsi="Times New Roman" w:eastAsia="仿宋"/>
          <w:bCs/>
          <w:kern w:val="0"/>
          <w:sz w:val="32"/>
          <w:szCs w:val="32"/>
        </w:rPr>
        <w:t xml:space="preserve"> 本所工作人员不得利用职权或职务上的影响以任何形式收受来自参加咨询沟通人员赠送或者承诺赠送的任何礼品、礼金、消费卡和各种有价证券、支付凭证、商业预付卡、电子红包等。</w:t>
      </w:r>
    </w:p>
    <w:p>
      <w:pPr>
        <w:spacing w:line="620" w:lineRule="exact"/>
        <w:ind w:firstLine="640" w:firstLineChars="200"/>
        <w:rPr>
          <w:rFonts w:ascii="Times New Roman" w:hAnsi="Times New Roman" w:eastAsia="仿宋"/>
          <w:bCs/>
          <w:kern w:val="0"/>
          <w:sz w:val="32"/>
          <w:szCs w:val="32"/>
        </w:rPr>
      </w:pPr>
      <w:r>
        <w:rPr>
          <w:rFonts w:hint="eastAsia" w:ascii="Times New Roman" w:hAnsi="Times New Roman" w:eastAsia="仿宋"/>
          <w:bCs/>
          <w:kern w:val="0"/>
          <w:sz w:val="32"/>
          <w:szCs w:val="32"/>
        </w:rPr>
        <w:t>参加咨询沟通的人员不得向本所工作人员赠送或者承诺赠送上述</w:t>
      </w:r>
      <w:r>
        <w:rPr>
          <w:rFonts w:ascii="Times New Roman" w:hAnsi="Times New Roman" w:eastAsia="仿宋"/>
          <w:bCs/>
          <w:kern w:val="0"/>
          <w:sz w:val="32"/>
          <w:szCs w:val="32"/>
        </w:rPr>
        <w:t>馈赠</w:t>
      </w:r>
      <w:r>
        <w:rPr>
          <w:rFonts w:hint="eastAsia" w:ascii="Times New Roman" w:hAnsi="Times New Roman" w:eastAsia="仿宋"/>
          <w:bCs/>
          <w:kern w:val="0"/>
          <w:sz w:val="32"/>
          <w:szCs w:val="32"/>
        </w:rPr>
        <w:t>。</w:t>
      </w:r>
    </w:p>
    <w:p>
      <w:pPr>
        <w:pStyle w:val="18"/>
        <w:numPr>
          <w:ilvl w:val="0"/>
          <w:numId w:val="2"/>
        </w:numPr>
        <w:suppressAutoHyphens w:val="0"/>
        <w:adjustRightInd w:val="0"/>
        <w:snapToGrid w:val="0"/>
        <w:spacing w:line="620" w:lineRule="exact"/>
        <w:ind w:left="0" w:firstLine="640"/>
        <w:outlineLvl w:val="1"/>
        <w:rPr>
          <w:rFonts w:ascii="Times New Roman" w:hAnsi="Times New Roman" w:eastAsia="仿宋"/>
          <w:b/>
          <w:kern w:val="0"/>
          <w:sz w:val="32"/>
          <w:szCs w:val="32"/>
        </w:rPr>
      </w:pPr>
      <w:r>
        <w:rPr>
          <w:rFonts w:hint="eastAsia" w:ascii="Times New Roman" w:hAnsi="Times New Roman" w:eastAsia="仿宋"/>
          <w:bCs/>
          <w:sz w:val="32"/>
          <w:szCs w:val="32"/>
        </w:rPr>
        <w:t xml:space="preserve"> 本所工作人员除按本指南要求进行咨询沟通外，不得与发行人及中介机构有关各方相关人员就拟申报项目相关事项进行私下接触。</w:t>
      </w:r>
    </w:p>
    <w:p>
      <w:pPr>
        <w:pStyle w:val="18"/>
        <w:numPr>
          <w:ilvl w:val="0"/>
          <w:numId w:val="2"/>
        </w:numPr>
        <w:suppressAutoHyphens w:val="0"/>
        <w:adjustRightInd w:val="0"/>
        <w:snapToGrid w:val="0"/>
        <w:spacing w:line="620" w:lineRule="exact"/>
        <w:ind w:left="0" w:firstLine="640"/>
        <w:outlineLvl w:val="1"/>
        <w:rPr>
          <w:rFonts w:ascii="Times New Roman" w:hAnsi="Times New Roman" w:eastAsia="仿宋"/>
          <w:b/>
          <w:kern w:val="0"/>
          <w:sz w:val="32"/>
          <w:szCs w:val="32"/>
        </w:rPr>
      </w:pPr>
      <w:r>
        <w:rPr>
          <w:rFonts w:hint="eastAsia" w:ascii="Times New Roman" w:hAnsi="Times New Roman" w:eastAsia="仿宋"/>
          <w:bCs/>
          <w:kern w:val="0"/>
          <w:sz w:val="32"/>
          <w:szCs w:val="32"/>
        </w:rPr>
        <w:t xml:space="preserve"> 本所工作人员、参与咨询沟通的人员应当对咨询沟通中需要保密的事项严格做好保密工作。</w:t>
      </w:r>
    </w:p>
    <w:p>
      <w:pPr>
        <w:spacing w:line="62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本所工作人员按照规定做好内幕信息知情人管理登记。</w:t>
      </w:r>
    </w:p>
    <w:p>
      <w:pPr>
        <w:pStyle w:val="18"/>
        <w:numPr>
          <w:ilvl w:val="0"/>
          <w:numId w:val="2"/>
        </w:numPr>
        <w:suppressAutoHyphens w:val="0"/>
        <w:adjustRightInd w:val="0"/>
        <w:snapToGrid w:val="0"/>
        <w:spacing w:line="620" w:lineRule="exact"/>
        <w:ind w:left="0" w:firstLine="640"/>
        <w:outlineLvl w:val="1"/>
        <w:rPr>
          <w:rFonts w:ascii="Times New Roman" w:hAnsi="Times New Roman" w:eastAsia="仿宋"/>
          <w:b/>
          <w:kern w:val="0"/>
          <w:sz w:val="32"/>
          <w:szCs w:val="32"/>
        </w:rPr>
      </w:pPr>
      <w:r>
        <w:rPr>
          <w:rFonts w:hint="eastAsia" w:ascii="Times New Roman" w:hAnsi="Times New Roman" w:eastAsia="仿宋"/>
          <w:bCs/>
          <w:sz w:val="32"/>
          <w:szCs w:val="32"/>
        </w:rPr>
        <w:t xml:space="preserve"> 本指南规定的咨询沟通接受纪检监督。</w:t>
      </w:r>
    </w:p>
    <w:p>
      <w:pPr>
        <w:pStyle w:val="2"/>
        <w:keepNext w:val="0"/>
        <w:keepLines w:val="0"/>
        <w:suppressAutoHyphens w:val="0"/>
        <w:spacing w:before="240" w:after="240" w:line="620" w:lineRule="exact"/>
        <w:ind w:left="0" w:firstLine="0"/>
        <w:jc w:val="center"/>
        <w:rPr>
          <w:rFonts w:ascii="Times New Roman" w:hAnsi="Times New Roman" w:eastAsia="黑体"/>
          <w:b w:val="0"/>
          <w:sz w:val="32"/>
          <w:szCs w:val="32"/>
        </w:rPr>
      </w:pPr>
      <w:r>
        <w:rPr>
          <w:rFonts w:hint="eastAsia" w:ascii="Times New Roman" w:hAnsi="Times New Roman" w:eastAsia="黑体"/>
          <w:b w:val="0"/>
          <w:sz w:val="32"/>
          <w:szCs w:val="32"/>
        </w:rPr>
        <w:t>附  则</w:t>
      </w:r>
    </w:p>
    <w:p>
      <w:pPr>
        <w:pStyle w:val="18"/>
        <w:numPr>
          <w:ilvl w:val="0"/>
          <w:numId w:val="2"/>
        </w:numPr>
        <w:suppressAutoHyphens w:val="0"/>
        <w:adjustRightInd w:val="0"/>
        <w:snapToGrid w:val="0"/>
        <w:spacing w:line="620" w:lineRule="exact"/>
        <w:ind w:left="0" w:firstLine="640"/>
        <w:outlineLvl w:val="1"/>
        <w:rPr>
          <w:rFonts w:ascii="Times New Roman" w:hAnsi="Times New Roman" w:eastAsia="仿宋"/>
          <w:bCs/>
          <w:sz w:val="32"/>
          <w:szCs w:val="32"/>
        </w:rPr>
      </w:pPr>
      <w:r>
        <w:rPr>
          <w:rFonts w:hint="eastAsia" w:ascii="Times New Roman" w:hAnsi="Times New Roman" w:eastAsia="仿宋"/>
          <w:bCs/>
          <w:sz w:val="32"/>
          <w:szCs w:val="32"/>
        </w:rPr>
        <w:t xml:space="preserve"> 申请在全国中小企业股份</w:t>
      </w:r>
      <w:r>
        <w:rPr>
          <w:rFonts w:ascii="Times New Roman" w:hAnsi="Times New Roman" w:eastAsia="仿宋"/>
          <w:bCs/>
          <w:sz w:val="32"/>
          <w:szCs w:val="32"/>
        </w:rPr>
        <w:t>转让系统</w:t>
      </w:r>
      <w:r>
        <w:rPr>
          <w:rFonts w:hint="eastAsia" w:ascii="Times New Roman" w:hAnsi="Times New Roman" w:eastAsia="仿宋"/>
          <w:bCs/>
          <w:sz w:val="32"/>
          <w:szCs w:val="32"/>
        </w:rPr>
        <w:t>挂牌的企业及其中介机构在提交挂牌申请文件前，就适用挂牌上市直联审核监管机制</w:t>
      </w:r>
      <w:r>
        <w:rPr>
          <w:rFonts w:hint="eastAsia" w:ascii="Times New Roman" w:hAnsi="Times New Roman" w:eastAsia="仿宋"/>
          <w:bCs/>
          <w:kern w:val="0"/>
          <w:sz w:val="32"/>
          <w:szCs w:val="32"/>
        </w:rPr>
        <w:t>的意向、要求与程序等事项</w:t>
      </w:r>
      <w:r>
        <w:rPr>
          <w:rFonts w:hint="eastAsia" w:ascii="Times New Roman" w:hAnsi="Times New Roman" w:eastAsia="仿宋"/>
          <w:bCs/>
          <w:sz w:val="32"/>
          <w:szCs w:val="32"/>
        </w:rPr>
        <w:t>，与本所和全国中小企业股份转让系统有限责任公司进行沟通交流的，可参照适用本指南规定。</w:t>
      </w:r>
    </w:p>
    <w:p>
      <w:pPr>
        <w:pStyle w:val="18"/>
        <w:numPr>
          <w:ilvl w:val="0"/>
          <w:numId w:val="2"/>
        </w:numPr>
        <w:suppressAutoHyphens w:val="0"/>
        <w:adjustRightInd w:val="0"/>
        <w:snapToGrid w:val="0"/>
        <w:spacing w:line="620" w:lineRule="exact"/>
        <w:ind w:left="0" w:firstLine="640"/>
        <w:outlineLvl w:val="1"/>
        <w:rPr>
          <w:rFonts w:ascii="Times New Roman" w:hAnsi="Times New Roman"/>
        </w:rPr>
      </w:pPr>
      <w:r>
        <w:rPr>
          <w:rFonts w:hint="eastAsia" w:ascii="Times New Roman" w:hAnsi="Times New Roman" w:eastAsia="仿宋"/>
          <w:sz w:val="32"/>
          <w:szCs w:val="32"/>
        </w:rPr>
        <w:t xml:space="preserve"> 本指南由本所负责解释。</w:t>
      </w:r>
    </w:p>
    <w:p>
      <w:pPr>
        <w:pStyle w:val="18"/>
        <w:numPr>
          <w:ilvl w:val="0"/>
          <w:numId w:val="2"/>
        </w:numPr>
        <w:suppressAutoHyphens w:val="0"/>
        <w:adjustRightInd w:val="0"/>
        <w:snapToGrid w:val="0"/>
        <w:spacing w:line="620" w:lineRule="exact"/>
        <w:ind w:left="0" w:firstLine="640"/>
        <w:outlineLvl w:val="1"/>
        <w:rPr>
          <w:rFonts w:ascii="Times New Roman" w:hAnsi="Times New Roman"/>
        </w:rPr>
      </w:pPr>
      <w:r>
        <w:rPr>
          <w:rFonts w:hint="eastAsia" w:ascii="Times New Roman" w:hAnsi="Times New Roman" w:eastAsia="仿宋"/>
          <w:sz w:val="32"/>
          <w:szCs w:val="32"/>
        </w:rPr>
        <w:t xml:space="preserve"> 本指南自发布之日起施行。</w:t>
      </w:r>
    </w:p>
    <w:p>
      <w:pPr>
        <w:jc w:val="left"/>
        <w:rPr>
          <w:rFonts w:ascii="仿宋" w:hAnsi="仿宋" w:eastAsia="仿宋" w:cs="仿宋"/>
          <w:sz w:val="28"/>
          <w:szCs w:val="28"/>
        </w:rPr>
      </w:pPr>
    </w:p>
    <w:p>
      <w:pPr>
        <w:spacing w:line="600" w:lineRule="exact"/>
        <w:ind w:left="1598" w:leftChars="304" w:hanging="960" w:hangingChars="300"/>
        <w:rPr>
          <w:rFonts w:ascii="仿宋" w:hAnsi="仿宋" w:eastAsia="仿宋" w:cs="仿宋"/>
          <w:sz w:val="32"/>
          <w:szCs w:val="32"/>
        </w:rPr>
      </w:pPr>
      <w:r>
        <w:rPr>
          <w:rFonts w:hint="eastAsia" w:ascii="仿宋" w:hAnsi="仿宋" w:eastAsia="仿宋" w:cs="仿宋"/>
          <w:sz w:val="32"/>
          <w:szCs w:val="32"/>
        </w:rPr>
        <w:t>附件：×××（中介机构）关于×××（发行人）申报前咨询沟通相关材料</w:t>
      </w:r>
    </w:p>
    <w:p>
      <w:pPr>
        <w:jc w:val="left"/>
        <w:rPr>
          <w:rFonts w:ascii="Times New Roman" w:hAnsi="Times New Roman" w:eastAsia="仿宋"/>
          <w:sz w:val="28"/>
          <w:szCs w:val="28"/>
        </w:rPr>
      </w:pPr>
      <w:r>
        <w:rPr>
          <w:rFonts w:ascii="Times New Roman" w:hAnsi="Times New Roman" w:eastAsia="仿宋"/>
          <w:sz w:val="28"/>
          <w:szCs w:val="28"/>
        </w:rPr>
        <w:br w:type="page"/>
      </w:r>
    </w:p>
    <w:p>
      <w:pPr>
        <w:spacing w:line="600" w:lineRule="exact"/>
        <w:jc w:val="left"/>
        <w:outlineLvl w:val="0"/>
        <w:rPr>
          <w:rFonts w:ascii="仿宋_GB2312" w:eastAsia="仿宋_GB2312"/>
          <w:b/>
          <w:sz w:val="30"/>
          <w:szCs w:val="30"/>
        </w:rPr>
      </w:pPr>
      <w:r>
        <w:rPr>
          <w:rFonts w:hint="eastAsia" w:ascii="黑体" w:hAnsi="黑体" w:eastAsia="黑体" w:cs="黑体"/>
          <w:sz w:val="32"/>
          <w:szCs w:val="32"/>
        </w:rPr>
        <w:t xml:space="preserve"> 附件</w:t>
      </w:r>
    </w:p>
    <w:p>
      <w:pPr>
        <w:widowControl/>
        <w:spacing w:line="600" w:lineRule="exact"/>
        <w:jc w:val="left"/>
        <w:rPr>
          <w:rFonts w:ascii="仿宋_GB2312" w:eastAsia="仿宋_GB2312"/>
          <w:b/>
          <w:sz w:val="30"/>
          <w:szCs w:val="30"/>
        </w:rPr>
      </w:pPr>
    </w:p>
    <w:p>
      <w:pPr>
        <w:spacing w:line="600" w:lineRule="exact"/>
        <w:jc w:val="center"/>
        <w:outlineLvl w:val="0"/>
        <w:rPr>
          <w:rFonts w:ascii="Times New Roman" w:hAnsi="Times New Roman" w:eastAsia="方正大标宋简体" w:cs="Times New Roman"/>
          <w:sz w:val="44"/>
          <w:szCs w:val="44"/>
        </w:rPr>
      </w:pPr>
      <w:r>
        <w:rPr>
          <w:rFonts w:ascii="Times New Roman" w:hAnsi="Times New Roman" w:eastAsia="方正大标宋简体"/>
          <w:sz w:val="44"/>
          <w:szCs w:val="44"/>
        </w:rPr>
        <w:t>XXX（中介机构）关于XXX（发行人）</w:t>
      </w:r>
    </w:p>
    <w:p>
      <w:pPr>
        <w:spacing w:line="600" w:lineRule="exact"/>
        <w:jc w:val="center"/>
        <w:outlineLvl w:val="0"/>
        <w:rPr>
          <w:rFonts w:ascii="Times New Roman" w:hAnsi="Times New Roman" w:eastAsia="方正大标宋简体"/>
          <w:sz w:val="44"/>
          <w:szCs w:val="44"/>
        </w:rPr>
      </w:pPr>
      <w:r>
        <w:rPr>
          <w:rFonts w:ascii="Times New Roman" w:hAnsi="Times New Roman" w:eastAsia="方正大标宋简体"/>
          <w:sz w:val="44"/>
          <w:szCs w:val="44"/>
        </w:rPr>
        <w:t>申报前</w:t>
      </w:r>
      <w:r>
        <w:rPr>
          <w:rFonts w:hint="eastAsia" w:ascii="Times New Roman" w:hAnsi="Times New Roman" w:eastAsia="方正大标宋简体"/>
          <w:sz w:val="44"/>
          <w:szCs w:val="44"/>
        </w:rPr>
        <w:t>咨询沟通</w:t>
      </w:r>
      <w:r>
        <w:rPr>
          <w:rFonts w:ascii="Times New Roman" w:hAnsi="Times New Roman" w:eastAsia="方正大标宋简体"/>
          <w:sz w:val="44"/>
          <w:szCs w:val="44"/>
        </w:rPr>
        <w:t>相关材料</w:t>
      </w:r>
    </w:p>
    <w:p>
      <w:pPr>
        <w:spacing w:line="600" w:lineRule="exact"/>
        <w:jc w:val="center"/>
        <w:rPr>
          <w:rFonts w:ascii="Times New Roman" w:hAnsi="Times New Roman" w:eastAsia="仿宋_GB2312" w:cs="Times New Roman"/>
          <w:sz w:val="32"/>
          <w:szCs w:val="32"/>
        </w:rPr>
      </w:pPr>
      <w:r>
        <w:rPr>
          <w:rFonts w:ascii="Times New Roman" w:hAnsi="Times New Roman" w:eastAsia="仿宋_GB2312" w:cs="Times New Roman"/>
          <w:sz w:val="32"/>
          <w:szCs w:val="32"/>
        </w:rPr>
        <w:t>（参考示范格式）</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上市审核中心</w:t>
      </w:r>
      <w:r>
        <w:rPr>
          <w:rFonts w:hint="eastAsia" w:ascii="Times New Roman" w:hAnsi="Times New Roman" w:eastAsia="仿宋_GB2312" w:cs="Times New Roman"/>
          <w:sz w:val="32"/>
          <w:szCs w:val="32"/>
        </w:rPr>
        <w:t>：</w:t>
      </w:r>
    </w:p>
    <w:p>
      <w:pPr>
        <w:spacing w:line="600" w:lineRule="exact"/>
        <w:ind w:firstLine="600"/>
        <w:rPr>
          <w:rFonts w:ascii="Times New Roman" w:hAnsi="Times New Roman" w:eastAsia="仿宋_GB2312" w:cs="Times New Roman"/>
          <w:sz w:val="32"/>
          <w:szCs w:val="32"/>
        </w:rPr>
      </w:pPr>
      <w:r>
        <w:rPr>
          <w:rFonts w:ascii="Times New Roman" w:hAnsi="Times New Roman" w:eastAsia="仿宋_GB2312" w:cs="Times New Roman"/>
          <w:sz w:val="32"/>
          <w:szCs w:val="32"/>
        </w:rPr>
        <w:t>根据《北京证券交易所向不特定合格投资者公开发行股票并上市业务办理指南第3号——</w:t>
      </w:r>
      <w:r>
        <w:rPr>
          <w:rFonts w:hint="eastAsia" w:ascii="仿宋" w:hAnsi="仿宋" w:eastAsia="仿宋" w:cs="仿宋"/>
          <w:sz w:val="32"/>
          <w:szCs w:val="32"/>
        </w:rPr>
        <w:t>申报前咨询沟通》等有关规定，现就×××事项提请申报前的书面/现场/视频咨询沟通。本咨询沟通材料已由×××（中介机构）履行×××（发行人）项目质控等内部控制程序，并保证内容的真实、准确、完整。</w:t>
      </w:r>
    </w:p>
    <w:p>
      <w:pPr>
        <w:spacing w:line="600" w:lineRule="exact"/>
        <w:ind w:firstLine="600"/>
        <w:rPr>
          <w:rFonts w:ascii="Times New Roman" w:hAnsi="Times New Roman" w:eastAsia="黑体" w:cs="Times New Roman"/>
          <w:bCs/>
          <w:sz w:val="32"/>
          <w:szCs w:val="32"/>
        </w:rPr>
      </w:pPr>
      <w:r>
        <w:rPr>
          <w:rFonts w:ascii="Times New Roman" w:hAnsi="Times New Roman" w:eastAsia="黑体" w:cs="Times New Roman"/>
          <w:bCs/>
          <w:sz w:val="32"/>
          <w:szCs w:val="32"/>
        </w:rPr>
        <w:t>一、发行人基本情况</w:t>
      </w:r>
    </w:p>
    <w:p>
      <w:pPr>
        <w:spacing w:line="600" w:lineRule="exact"/>
        <w:ind w:firstLine="600"/>
        <w:rPr>
          <w:rFonts w:ascii="仿宋" w:hAnsi="仿宋" w:eastAsia="仿宋" w:cs="仿宋"/>
          <w:sz w:val="32"/>
          <w:szCs w:val="32"/>
        </w:rPr>
      </w:pPr>
      <w:r>
        <w:rPr>
          <w:rFonts w:hint="eastAsia" w:ascii="仿宋" w:hAnsi="仿宋" w:eastAsia="仿宋" w:cs="仿宋"/>
          <w:sz w:val="32"/>
          <w:szCs w:val="32"/>
        </w:rPr>
        <w:t>（一）股权结构、控股股东及实际控制人</w:t>
      </w:r>
    </w:p>
    <w:p>
      <w:pPr>
        <w:spacing w:line="600" w:lineRule="exact"/>
        <w:ind w:firstLine="600"/>
        <w:rPr>
          <w:rFonts w:ascii="仿宋" w:hAnsi="仿宋" w:eastAsia="仿宋" w:cs="仿宋"/>
          <w:sz w:val="32"/>
          <w:szCs w:val="32"/>
        </w:rPr>
      </w:pPr>
      <w:r>
        <w:rPr>
          <w:rFonts w:hint="eastAsia" w:ascii="仿宋" w:hAnsi="仿宋" w:eastAsia="仿宋" w:cs="仿宋"/>
          <w:sz w:val="32"/>
          <w:szCs w:val="32"/>
        </w:rPr>
        <w:t>（二）主营业务</w:t>
      </w:r>
    </w:p>
    <w:p>
      <w:pPr>
        <w:spacing w:line="600" w:lineRule="exact"/>
        <w:ind w:firstLine="600"/>
        <w:rPr>
          <w:rFonts w:ascii="仿宋" w:hAnsi="仿宋" w:eastAsia="仿宋" w:cs="仿宋"/>
          <w:sz w:val="32"/>
          <w:szCs w:val="32"/>
        </w:rPr>
      </w:pPr>
      <w:r>
        <w:rPr>
          <w:rFonts w:hint="eastAsia" w:ascii="仿宋" w:hAnsi="仿宋" w:eastAsia="仿宋" w:cs="仿宋"/>
          <w:sz w:val="32"/>
          <w:szCs w:val="32"/>
        </w:rPr>
        <w:t>（三）主要客户和供应商</w:t>
      </w:r>
    </w:p>
    <w:p>
      <w:pPr>
        <w:spacing w:line="600" w:lineRule="exact"/>
        <w:ind w:firstLine="600"/>
        <w:rPr>
          <w:rFonts w:ascii="仿宋" w:hAnsi="仿宋" w:eastAsia="仿宋" w:cs="仿宋"/>
          <w:sz w:val="32"/>
          <w:szCs w:val="32"/>
        </w:rPr>
      </w:pPr>
      <w:r>
        <w:rPr>
          <w:rFonts w:hint="eastAsia" w:ascii="仿宋" w:hAnsi="仿宋" w:eastAsia="仿宋" w:cs="仿宋"/>
          <w:sz w:val="32"/>
          <w:szCs w:val="32"/>
        </w:rPr>
        <w:t>（四）主要财务数据及财务指标</w:t>
      </w:r>
    </w:p>
    <w:p>
      <w:pPr>
        <w:spacing w:line="600" w:lineRule="exact"/>
        <w:ind w:firstLine="600"/>
        <w:rPr>
          <w:rFonts w:ascii="仿宋" w:hAnsi="仿宋" w:eastAsia="仿宋" w:cs="仿宋"/>
          <w:sz w:val="32"/>
          <w:szCs w:val="32"/>
        </w:rPr>
      </w:pPr>
      <w:r>
        <w:rPr>
          <w:rFonts w:hint="eastAsia" w:ascii="仿宋" w:hAnsi="仿宋" w:eastAsia="仿宋" w:cs="仿宋"/>
          <w:sz w:val="32"/>
          <w:szCs w:val="32"/>
        </w:rPr>
        <w:t>（五）选择的具体上市标准</w:t>
      </w:r>
    </w:p>
    <w:p>
      <w:pPr>
        <w:spacing w:line="600" w:lineRule="exact"/>
        <w:ind w:firstLine="600"/>
        <w:rPr>
          <w:rFonts w:ascii="仿宋" w:hAnsi="仿宋" w:eastAsia="仿宋" w:cs="仿宋"/>
          <w:sz w:val="32"/>
          <w:szCs w:val="32"/>
        </w:rPr>
      </w:pPr>
      <w:r>
        <w:rPr>
          <w:rFonts w:hint="eastAsia" w:ascii="仿宋" w:hAnsi="仿宋" w:eastAsia="仿宋" w:cs="仿宋"/>
          <w:sz w:val="32"/>
          <w:szCs w:val="32"/>
        </w:rPr>
        <w:t>（六）募集资金情况</w:t>
      </w:r>
    </w:p>
    <w:p>
      <w:pPr>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七）持续经营能力（未盈利企业适用）：未盈利企业应当按照《北京证券交易所向不特定合格投资者公开发行股票并上市业务规则适用指引第2号》等规则要求，详细分析尚未盈利的原因、影响、趋势、风险等事项，并结合研发进度、商业化前景等因素，谨慎估计预计实现盈利时间等前瞻性信息，说明相关依据及假设基础。如选择适用《北京证券交易所股票上市规则》第2.1.3条规定的第四套标准上市</w:t>
      </w:r>
      <w:r>
        <w:rPr>
          <w:rFonts w:hint="eastAsia" w:ascii="Times New Roman" w:hAnsi="Times New Roman" w:eastAsia="仿宋" w:cs="Times New Roman"/>
          <w:sz w:val="32"/>
          <w:szCs w:val="32"/>
        </w:rPr>
        <w:t>的</w:t>
      </w:r>
      <w:r>
        <w:rPr>
          <w:rFonts w:ascii="Times New Roman" w:hAnsi="Times New Roman" w:eastAsia="仿宋" w:cs="Times New Roman"/>
          <w:sz w:val="32"/>
          <w:szCs w:val="32"/>
        </w:rPr>
        <w:t>，应</w:t>
      </w:r>
      <w:r>
        <w:rPr>
          <w:rFonts w:hint="eastAsia" w:ascii="Times New Roman" w:hAnsi="Times New Roman" w:eastAsia="仿宋" w:cs="Times New Roman"/>
          <w:sz w:val="32"/>
          <w:szCs w:val="32"/>
        </w:rPr>
        <w:t>当</w:t>
      </w:r>
      <w:r>
        <w:rPr>
          <w:rFonts w:ascii="Times New Roman" w:hAnsi="Times New Roman" w:eastAsia="仿宋" w:cs="Times New Roman"/>
          <w:sz w:val="32"/>
          <w:szCs w:val="32"/>
        </w:rPr>
        <w:t>重点分析发行人创新能力是否突出、是否具备明显的技术优势、是否已取得阶段性研发或经营成果。</w:t>
      </w:r>
    </w:p>
    <w:p>
      <w:pPr>
        <w:spacing w:line="600" w:lineRule="exact"/>
        <w:ind w:firstLine="600"/>
        <w:rPr>
          <w:rFonts w:ascii="Times New Roman" w:hAnsi="Times New Roman" w:eastAsia="仿宋" w:cs="Times New Roman"/>
          <w:sz w:val="32"/>
          <w:szCs w:val="32"/>
        </w:rPr>
      </w:pPr>
      <w:r>
        <w:rPr>
          <w:rFonts w:ascii="Times New Roman" w:hAnsi="Times New Roman" w:eastAsia="仿宋" w:cs="Times New Roman"/>
          <w:sz w:val="32"/>
          <w:szCs w:val="32"/>
        </w:rPr>
        <w:t>（八）是否涉及“四重大”情况：发行人是否存在已经关注到的重大敏感事项、重大无先例情况、重大舆情、重大违法线索，如涉及，应当详细说明。</w:t>
      </w:r>
    </w:p>
    <w:p>
      <w:pPr>
        <w:spacing w:line="600" w:lineRule="exact"/>
        <w:ind w:firstLine="600"/>
        <w:rPr>
          <w:rFonts w:ascii="Times New Roman" w:hAnsi="Times New Roman" w:eastAsia="黑体" w:cs="Times New Roman"/>
          <w:bCs/>
          <w:sz w:val="32"/>
          <w:szCs w:val="32"/>
        </w:rPr>
      </w:pPr>
      <w:r>
        <w:rPr>
          <w:rFonts w:ascii="Times New Roman" w:hAnsi="Times New Roman" w:eastAsia="黑体" w:cs="Times New Roman"/>
          <w:bCs/>
          <w:sz w:val="32"/>
          <w:szCs w:val="32"/>
        </w:rPr>
        <w:t>二、</w:t>
      </w:r>
      <w:r>
        <w:rPr>
          <w:rFonts w:hint="eastAsia" w:ascii="Times New Roman" w:hAnsi="Times New Roman" w:eastAsia="黑体" w:cs="Times New Roman"/>
          <w:bCs/>
          <w:sz w:val="32"/>
          <w:szCs w:val="32"/>
        </w:rPr>
        <w:t>咨询沟通</w:t>
      </w:r>
      <w:r>
        <w:rPr>
          <w:rFonts w:ascii="Times New Roman" w:hAnsi="Times New Roman" w:eastAsia="黑体" w:cs="Times New Roman"/>
          <w:bCs/>
          <w:sz w:val="32"/>
          <w:szCs w:val="32"/>
        </w:rPr>
        <w:t>问题和初步判断意见</w:t>
      </w:r>
    </w:p>
    <w:p>
      <w:pPr>
        <w:spacing w:line="600" w:lineRule="exact"/>
        <w:ind w:firstLine="600"/>
        <w:rPr>
          <w:rFonts w:ascii="仿宋" w:hAnsi="仿宋" w:eastAsia="仿宋" w:cs="仿宋"/>
          <w:sz w:val="32"/>
          <w:szCs w:val="32"/>
        </w:rPr>
      </w:pPr>
      <w:r>
        <w:rPr>
          <w:rFonts w:hint="eastAsia" w:ascii="仿宋" w:hAnsi="仿宋" w:eastAsia="仿宋" w:cs="仿宋"/>
          <w:sz w:val="32"/>
          <w:szCs w:val="32"/>
        </w:rPr>
        <w:t>（一）市场定位问题</w:t>
      </w:r>
    </w:p>
    <w:p>
      <w:pPr>
        <w:spacing w:line="600" w:lineRule="exact"/>
        <w:ind w:firstLine="600"/>
        <w:rPr>
          <w:rFonts w:ascii="仿宋" w:hAnsi="仿宋" w:eastAsia="仿宋" w:cs="仿宋"/>
          <w:sz w:val="32"/>
          <w:szCs w:val="32"/>
        </w:rPr>
      </w:pPr>
      <w:r>
        <w:rPr>
          <w:rFonts w:hint="eastAsia" w:ascii="仿宋" w:hAnsi="仿宋" w:eastAsia="仿宋" w:cs="仿宋"/>
          <w:sz w:val="32"/>
          <w:szCs w:val="32"/>
        </w:rPr>
        <w:t>咨询市场定位的，应当按照《北京证券交易所向不特定合格投资者公开发行股票注册管理办法》《北京证券交易所向不特定合格投资者公开发行股票并上市审核规则》等有关规定，参照《北交所发行上市审核动态（创新性评价专刊）》中创新性量化指标方面的基本要求、创新特征相关信息披露要求、申报企业论证自身创新特征时的注意事项、部分特定行业领域的关注事项、发行人及保荐机构专项说明和专项意见的要求，充分论证说明发行人是否符合北交所定位，保荐机构应当发表明确意见。</w:t>
      </w:r>
    </w:p>
    <w:p>
      <w:pPr>
        <w:spacing w:line="600" w:lineRule="exact"/>
        <w:ind w:firstLine="600"/>
        <w:rPr>
          <w:rFonts w:ascii="仿宋" w:hAnsi="仿宋" w:eastAsia="仿宋" w:cs="仿宋"/>
          <w:sz w:val="32"/>
          <w:szCs w:val="32"/>
        </w:rPr>
      </w:pPr>
      <w:r>
        <w:rPr>
          <w:rFonts w:hint="eastAsia" w:ascii="仿宋" w:hAnsi="仿宋" w:eastAsia="仿宋" w:cs="仿宋"/>
          <w:sz w:val="32"/>
          <w:szCs w:val="32"/>
        </w:rPr>
        <w:t>（二）重大疑难问题、无先例事项等问题</w:t>
      </w:r>
    </w:p>
    <w:p>
      <w:pPr>
        <w:spacing w:line="600" w:lineRule="exact"/>
        <w:ind w:firstLine="600"/>
        <w:rPr>
          <w:rFonts w:ascii="仿宋" w:hAnsi="仿宋" w:eastAsia="仿宋" w:cs="仿宋"/>
          <w:sz w:val="32"/>
          <w:szCs w:val="32"/>
        </w:rPr>
      </w:pPr>
      <w:r>
        <w:rPr>
          <w:rFonts w:hint="eastAsia" w:ascii="仿宋" w:hAnsi="仿宋" w:eastAsia="仿宋" w:cs="仿宋"/>
          <w:sz w:val="32"/>
          <w:szCs w:val="32"/>
        </w:rPr>
        <w:t>咨询重大疑难问题、无先例事项等涉及本所规则理解和适用问题的，中介机构应当对咨询问题进行深入核查、分析，做到事实清楚、逻辑清晰、依据充分、措施可行，并形成初步判断意见。</w:t>
      </w:r>
    </w:p>
    <w:p>
      <w:pPr>
        <w:spacing w:line="600" w:lineRule="exact"/>
        <w:ind w:firstLine="600"/>
        <w:rPr>
          <w:rFonts w:ascii="仿宋" w:hAnsi="仿宋" w:eastAsia="仿宋" w:cs="仿宋"/>
          <w:sz w:val="32"/>
          <w:szCs w:val="32"/>
        </w:rPr>
      </w:pPr>
      <w:r>
        <w:rPr>
          <w:rFonts w:hint="eastAsia" w:ascii="仿宋" w:hAnsi="仿宋" w:eastAsia="仿宋" w:cs="仿宋"/>
          <w:sz w:val="32"/>
          <w:szCs w:val="32"/>
        </w:rPr>
        <w:t>（三）筹备发行上市过程中核查发现的需要规范事项及其整改落实情况、监管审核重点关注的事项等。</w:t>
      </w:r>
    </w:p>
    <w:p>
      <w:pPr>
        <w:spacing w:line="600" w:lineRule="exact"/>
        <w:ind w:firstLine="600"/>
        <w:rPr>
          <w:rFonts w:ascii="仿宋" w:hAnsi="仿宋" w:eastAsia="仿宋" w:cs="仿宋"/>
          <w:sz w:val="32"/>
          <w:szCs w:val="32"/>
        </w:rPr>
      </w:pPr>
    </w:p>
    <w:p>
      <w:pPr>
        <w:spacing w:line="600" w:lineRule="exact"/>
        <w:rPr>
          <w:rFonts w:ascii="仿宋" w:hAnsi="仿宋" w:eastAsia="仿宋" w:cs="仿宋"/>
          <w:sz w:val="32"/>
          <w:szCs w:val="32"/>
        </w:rPr>
      </w:pPr>
      <w:r>
        <w:rPr>
          <w:rFonts w:hint="eastAsia" w:ascii="仿宋" w:hAnsi="仿宋" w:eastAsia="仿宋" w:cs="仿宋"/>
          <w:sz w:val="32"/>
          <w:szCs w:val="32"/>
        </w:rPr>
        <w:t xml:space="preserve">                             </w:t>
      </w:r>
    </w:p>
    <w:p>
      <w:pPr>
        <w:spacing w:line="600" w:lineRule="exact"/>
        <w:ind w:firstLine="320" w:firstLineChars="100"/>
        <w:rPr>
          <w:rFonts w:ascii="仿宋" w:hAnsi="仿宋" w:eastAsia="仿宋" w:cs="仿宋"/>
          <w:sz w:val="32"/>
          <w:szCs w:val="32"/>
        </w:rPr>
      </w:pPr>
      <w:r>
        <w:rPr>
          <w:rFonts w:hint="eastAsia" w:ascii="仿宋" w:hAnsi="仿宋" w:eastAsia="仿宋" w:cs="仿宋"/>
          <w:sz w:val="32"/>
          <w:szCs w:val="32"/>
        </w:rPr>
        <w:t xml:space="preserve">                               保荐机构（盖章）</w:t>
      </w:r>
    </w:p>
    <w:p>
      <w:pPr>
        <w:spacing w:line="600" w:lineRule="exact"/>
        <w:rPr>
          <w:rFonts w:ascii="仿宋" w:hAnsi="仿宋" w:eastAsia="仿宋" w:cs="仿宋"/>
          <w:sz w:val="32"/>
          <w:szCs w:val="32"/>
        </w:rPr>
      </w:pPr>
      <w:r>
        <w:rPr>
          <w:rFonts w:hint="eastAsia" w:ascii="仿宋" w:hAnsi="仿宋" w:eastAsia="仿宋" w:cs="仿宋"/>
          <w:sz w:val="32"/>
          <w:szCs w:val="32"/>
        </w:rPr>
        <w:t xml:space="preserve">                                    年  月  日</w:t>
      </w:r>
    </w:p>
    <w:p>
      <w:pPr>
        <w:jc w:val="left"/>
        <w:rPr>
          <w:rFonts w:ascii="Times New Roman" w:hAnsi="Times New Roman" w:eastAsia="仿宋" w:cs="Times New Roman"/>
          <w:sz w:val="28"/>
          <w:szCs w:val="28"/>
        </w:rPr>
      </w:pPr>
    </w:p>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方正大标宋简体">
    <w:panose1 w:val="02010601030101010101"/>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
    <w:altName w:val="Times New Roman"/>
    <w:panose1 w:val="00000000000000000000"/>
    <w:charset w:val="00"/>
    <w:family w:val="roman"/>
    <w:pitch w:val="default"/>
    <w:sig w:usb0="00000000" w:usb1="00000000" w:usb2="00000000" w:usb3="00000000" w:csb0="00000000" w:csb1="0000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EndPr>
      <w:rPr>
        <w:rFonts w:asciiTheme="minorEastAsia" w:hAnsiTheme="minorEastAsia"/>
        <w:sz w:val="28"/>
        <w:szCs w:val="28"/>
      </w:rPr>
    </w:sdtEndPr>
    <w:sdtContent>
      <w:p>
        <w:pPr>
          <w:pStyle w:val="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7 -</w:t>
        </w:r>
        <w:r>
          <w:rPr>
            <w:rFonts w:asciiTheme="minorEastAsia" w:hAnsiTheme="minorEastAsia"/>
            <w:sz w:val="28"/>
            <w:szCs w:val="28"/>
          </w:rPr>
          <w:fldChar w:fldCharType="end"/>
        </w:r>
      </w:p>
    </w:sdtContent>
  </w:sdt>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433639761"/>
    </w:sdtPr>
    <w:sdtEndPr>
      <w:rPr>
        <w:rFonts w:asciiTheme="minorEastAsia" w:hAnsiTheme="minorEastAsia"/>
        <w:sz w:val="28"/>
        <w:szCs w:val="28"/>
      </w:rPr>
    </w:sdtEndPr>
    <w:sdtContent>
      <w:p>
        <w:pPr>
          <w:pStyle w:val="5"/>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6 -</w:t>
        </w:r>
        <w:r>
          <w:rPr>
            <w:rFonts w:asciiTheme="minorEastAsia" w:hAnsiTheme="minorEastAsia"/>
            <w:sz w:val="28"/>
            <w:szCs w:val="28"/>
          </w:rPr>
          <w:fldChar w:fldCharType="end"/>
        </w:r>
      </w:p>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FE4866"/>
    <w:multiLevelType w:val="singleLevel"/>
    <w:tmpl w:val="FEFE4866"/>
    <w:lvl w:ilvl="0" w:tentative="0">
      <w:start w:val="1"/>
      <w:numFmt w:val="chineseCounting"/>
      <w:suff w:val="nothing"/>
      <w:lvlText w:val="（%1）"/>
      <w:lvlJc w:val="left"/>
      <w:rPr>
        <w:rFonts w:hint="eastAsia"/>
      </w:rPr>
    </w:lvl>
  </w:abstractNum>
  <w:abstractNum w:abstractNumId="1">
    <w:nsid w:val="151B63E5"/>
    <w:multiLevelType w:val="multilevel"/>
    <w:tmpl w:val="151B63E5"/>
    <w:lvl w:ilvl="0" w:tentative="0">
      <w:start w:val="1"/>
      <w:numFmt w:val="chineseCountingThousand"/>
      <w:pStyle w:val="2"/>
      <w:lvlText w:val="第%1章"/>
      <w:lvlJc w:val="left"/>
      <w:pPr>
        <w:ind w:left="4956" w:hanging="420"/>
      </w:pPr>
      <w:rPr>
        <w:rFonts w:hint="eastAsia" w:ascii="黑体" w:hAnsi="黑体" w:eastAsia="黑体"/>
        <w:b w:val="0"/>
        <w:i w:val="0"/>
        <w:sz w:val="32"/>
        <w:lang w:val="en-U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F3351E8"/>
    <w:multiLevelType w:val="multilevel"/>
    <w:tmpl w:val="3F3351E8"/>
    <w:lvl w:ilvl="0" w:tentative="0">
      <w:start w:val="1"/>
      <w:numFmt w:val="chineseCountingThousand"/>
      <w:suff w:val="nothing"/>
      <w:lvlText w:val="第%1条"/>
      <w:lvlJc w:val="left"/>
      <w:pPr>
        <w:ind w:left="2263" w:hanging="420"/>
      </w:pPr>
      <w:rPr>
        <w:rFonts w:hint="default" w:ascii="t" w:hAnsi="t" w:eastAsia="黑体"/>
        <w:b w:val="0"/>
        <w:sz w:val="32"/>
        <w:szCs w:val="32"/>
        <w:lang w:val="en-US"/>
      </w:rPr>
    </w:lvl>
    <w:lvl w:ilvl="1" w:tentative="0">
      <w:start w:val="1"/>
      <w:numFmt w:val="lowerLetter"/>
      <w:lvlText w:val="%2)"/>
      <w:lvlJc w:val="left"/>
      <w:pPr>
        <w:ind w:left="-79" w:hanging="420"/>
      </w:pPr>
    </w:lvl>
    <w:lvl w:ilvl="2" w:tentative="0">
      <w:start w:val="1"/>
      <w:numFmt w:val="lowerRoman"/>
      <w:lvlText w:val="%3."/>
      <w:lvlJc w:val="right"/>
      <w:pPr>
        <w:ind w:left="341" w:hanging="420"/>
      </w:pPr>
    </w:lvl>
    <w:lvl w:ilvl="3" w:tentative="0">
      <w:start w:val="1"/>
      <w:numFmt w:val="decimal"/>
      <w:lvlText w:val="%4."/>
      <w:lvlJc w:val="left"/>
      <w:pPr>
        <w:ind w:left="761" w:hanging="420"/>
      </w:pPr>
    </w:lvl>
    <w:lvl w:ilvl="4" w:tentative="0">
      <w:start w:val="1"/>
      <w:numFmt w:val="lowerLetter"/>
      <w:lvlText w:val="%5)"/>
      <w:lvlJc w:val="left"/>
      <w:pPr>
        <w:ind w:left="1181" w:hanging="420"/>
      </w:pPr>
    </w:lvl>
    <w:lvl w:ilvl="5" w:tentative="0">
      <w:start w:val="1"/>
      <w:numFmt w:val="lowerRoman"/>
      <w:lvlText w:val="%6."/>
      <w:lvlJc w:val="right"/>
      <w:pPr>
        <w:ind w:left="1601" w:hanging="420"/>
      </w:pPr>
    </w:lvl>
    <w:lvl w:ilvl="6" w:tentative="0">
      <w:start w:val="1"/>
      <w:numFmt w:val="decimal"/>
      <w:lvlText w:val="%7."/>
      <w:lvlJc w:val="left"/>
      <w:pPr>
        <w:ind w:left="2021" w:hanging="420"/>
      </w:pPr>
    </w:lvl>
    <w:lvl w:ilvl="7" w:tentative="0">
      <w:start w:val="1"/>
      <w:numFmt w:val="lowerLetter"/>
      <w:lvlText w:val="%8)"/>
      <w:lvlJc w:val="left"/>
      <w:pPr>
        <w:ind w:left="2441" w:hanging="420"/>
      </w:pPr>
    </w:lvl>
    <w:lvl w:ilvl="8" w:tentative="0">
      <w:start w:val="1"/>
      <w:numFmt w:val="lowerRoman"/>
      <w:lvlText w:val="%9."/>
      <w:lvlJc w:val="right"/>
      <w:pPr>
        <w:ind w:left="2861"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EA9"/>
    <w:rsid w:val="00003C7C"/>
    <w:rsid w:val="00012F4B"/>
    <w:rsid w:val="000169CE"/>
    <w:rsid w:val="0002029D"/>
    <w:rsid w:val="00021249"/>
    <w:rsid w:val="0004252E"/>
    <w:rsid w:val="00045CDB"/>
    <w:rsid w:val="00050EF9"/>
    <w:rsid w:val="000526BC"/>
    <w:rsid w:val="00061099"/>
    <w:rsid w:val="00075190"/>
    <w:rsid w:val="00085804"/>
    <w:rsid w:val="000C0217"/>
    <w:rsid w:val="000C604C"/>
    <w:rsid w:val="000E17CC"/>
    <w:rsid w:val="000E63CF"/>
    <w:rsid w:val="00124D11"/>
    <w:rsid w:val="00125EF2"/>
    <w:rsid w:val="00132708"/>
    <w:rsid w:val="001344F0"/>
    <w:rsid w:val="00140F8F"/>
    <w:rsid w:val="00151633"/>
    <w:rsid w:val="00165A9E"/>
    <w:rsid w:val="0016710F"/>
    <w:rsid w:val="0017079B"/>
    <w:rsid w:val="00170B1C"/>
    <w:rsid w:val="00181186"/>
    <w:rsid w:val="00185AEE"/>
    <w:rsid w:val="00192516"/>
    <w:rsid w:val="0019562C"/>
    <w:rsid w:val="00196C04"/>
    <w:rsid w:val="001A3D0C"/>
    <w:rsid w:val="001A6A03"/>
    <w:rsid w:val="001B145E"/>
    <w:rsid w:val="001C03FF"/>
    <w:rsid w:val="001C732C"/>
    <w:rsid w:val="001D14A5"/>
    <w:rsid w:val="001E5A53"/>
    <w:rsid w:val="001F4EB8"/>
    <w:rsid w:val="00200B86"/>
    <w:rsid w:val="00203319"/>
    <w:rsid w:val="0020384F"/>
    <w:rsid w:val="00221A07"/>
    <w:rsid w:val="00243BCA"/>
    <w:rsid w:val="00267329"/>
    <w:rsid w:val="00272C9C"/>
    <w:rsid w:val="002751B8"/>
    <w:rsid w:val="00283054"/>
    <w:rsid w:val="0028795A"/>
    <w:rsid w:val="002C27A9"/>
    <w:rsid w:val="002C5738"/>
    <w:rsid w:val="002F02CA"/>
    <w:rsid w:val="00313A2E"/>
    <w:rsid w:val="00326C4D"/>
    <w:rsid w:val="003302AE"/>
    <w:rsid w:val="00345C4B"/>
    <w:rsid w:val="003740F4"/>
    <w:rsid w:val="003768E5"/>
    <w:rsid w:val="00394F14"/>
    <w:rsid w:val="003A468E"/>
    <w:rsid w:val="003A4914"/>
    <w:rsid w:val="003B5201"/>
    <w:rsid w:val="003D42CB"/>
    <w:rsid w:val="003D4355"/>
    <w:rsid w:val="003D4822"/>
    <w:rsid w:val="003D4D72"/>
    <w:rsid w:val="003F1E83"/>
    <w:rsid w:val="004225B5"/>
    <w:rsid w:val="00455DFA"/>
    <w:rsid w:val="00464E5F"/>
    <w:rsid w:val="00472FE4"/>
    <w:rsid w:val="004D7118"/>
    <w:rsid w:val="004F11CB"/>
    <w:rsid w:val="004F1B97"/>
    <w:rsid w:val="004F4CCA"/>
    <w:rsid w:val="00503BE3"/>
    <w:rsid w:val="005213D0"/>
    <w:rsid w:val="00544182"/>
    <w:rsid w:val="00545045"/>
    <w:rsid w:val="00556E07"/>
    <w:rsid w:val="00562147"/>
    <w:rsid w:val="005A0D6B"/>
    <w:rsid w:val="005B66A6"/>
    <w:rsid w:val="005C3E0C"/>
    <w:rsid w:val="005D49F7"/>
    <w:rsid w:val="005E4BBF"/>
    <w:rsid w:val="005F06FF"/>
    <w:rsid w:val="005F3EBE"/>
    <w:rsid w:val="00603FA5"/>
    <w:rsid w:val="00625D4B"/>
    <w:rsid w:val="00643906"/>
    <w:rsid w:val="00653F46"/>
    <w:rsid w:val="00665BD9"/>
    <w:rsid w:val="00665E3B"/>
    <w:rsid w:val="006717D9"/>
    <w:rsid w:val="006866F5"/>
    <w:rsid w:val="00686E33"/>
    <w:rsid w:val="00694FA1"/>
    <w:rsid w:val="006A4276"/>
    <w:rsid w:val="006B7978"/>
    <w:rsid w:val="006D7699"/>
    <w:rsid w:val="006E12F3"/>
    <w:rsid w:val="006E269F"/>
    <w:rsid w:val="006F6BF4"/>
    <w:rsid w:val="00703670"/>
    <w:rsid w:val="007160B7"/>
    <w:rsid w:val="00726CD5"/>
    <w:rsid w:val="00734992"/>
    <w:rsid w:val="007355DE"/>
    <w:rsid w:val="00745118"/>
    <w:rsid w:val="00753516"/>
    <w:rsid w:val="00761F9E"/>
    <w:rsid w:val="007750D9"/>
    <w:rsid w:val="00793CF6"/>
    <w:rsid w:val="00795470"/>
    <w:rsid w:val="007A10A4"/>
    <w:rsid w:val="007A79F8"/>
    <w:rsid w:val="007B5F2D"/>
    <w:rsid w:val="007C1988"/>
    <w:rsid w:val="007D62F1"/>
    <w:rsid w:val="007F313B"/>
    <w:rsid w:val="00813EA9"/>
    <w:rsid w:val="0081510E"/>
    <w:rsid w:val="008401F0"/>
    <w:rsid w:val="00844B64"/>
    <w:rsid w:val="008471A9"/>
    <w:rsid w:val="008479A2"/>
    <w:rsid w:val="00855D63"/>
    <w:rsid w:val="00862BF3"/>
    <w:rsid w:val="00873B10"/>
    <w:rsid w:val="00883F67"/>
    <w:rsid w:val="00892968"/>
    <w:rsid w:val="00893294"/>
    <w:rsid w:val="00893C4D"/>
    <w:rsid w:val="008A08DC"/>
    <w:rsid w:val="008B0947"/>
    <w:rsid w:val="008C5095"/>
    <w:rsid w:val="008D7E76"/>
    <w:rsid w:val="008E11CC"/>
    <w:rsid w:val="008F3F5B"/>
    <w:rsid w:val="008F792F"/>
    <w:rsid w:val="00907458"/>
    <w:rsid w:val="009078DF"/>
    <w:rsid w:val="009315CC"/>
    <w:rsid w:val="009324B8"/>
    <w:rsid w:val="00947043"/>
    <w:rsid w:val="009647C0"/>
    <w:rsid w:val="00964E55"/>
    <w:rsid w:val="009873FE"/>
    <w:rsid w:val="00991481"/>
    <w:rsid w:val="00993835"/>
    <w:rsid w:val="009B2BFA"/>
    <w:rsid w:val="009B519B"/>
    <w:rsid w:val="009B72D7"/>
    <w:rsid w:val="009D36E3"/>
    <w:rsid w:val="009D6EC9"/>
    <w:rsid w:val="009E4372"/>
    <w:rsid w:val="009E5670"/>
    <w:rsid w:val="00A07B38"/>
    <w:rsid w:val="00A2017A"/>
    <w:rsid w:val="00A21162"/>
    <w:rsid w:val="00A31239"/>
    <w:rsid w:val="00A3541C"/>
    <w:rsid w:val="00A44FC0"/>
    <w:rsid w:val="00A55BA7"/>
    <w:rsid w:val="00A843FD"/>
    <w:rsid w:val="00A8662B"/>
    <w:rsid w:val="00AA1D3C"/>
    <w:rsid w:val="00AB014E"/>
    <w:rsid w:val="00AB026D"/>
    <w:rsid w:val="00AB11B0"/>
    <w:rsid w:val="00AC15A3"/>
    <w:rsid w:val="00AD2E6D"/>
    <w:rsid w:val="00B0116B"/>
    <w:rsid w:val="00B051BD"/>
    <w:rsid w:val="00B12C98"/>
    <w:rsid w:val="00B13EA7"/>
    <w:rsid w:val="00B15D8D"/>
    <w:rsid w:val="00B22678"/>
    <w:rsid w:val="00B25B14"/>
    <w:rsid w:val="00B34EEC"/>
    <w:rsid w:val="00B44F84"/>
    <w:rsid w:val="00B73319"/>
    <w:rsid w:val="00B73B7B"/>
    <w:rsid w:val="00B842F3"/>
    <w:rsid w:val="00B84461"/>
    <w:rsid w:val="00BA6CF1"/>
    <w:rsid w:val="00C00B86"/>
    <w:rsid w:val="00C1587D"/>
    <w:rsid w:val="00C16BFE"/>
    <w:rsid w:val="00C20E72"/>
    <w:rsid w:val="00C25D5D"/>
    <w:rsid w:val="00C37557"/>
    <w:rsid w:val="00C42A9F"/>
    <w:rsid w:val="00C47C17"/>
    <w:rsid w:val="00C63B81"/>
    <w:rsid w:val="00C72CE1"/>
    <w:rsid w:val="00C7406E"/>
    <w:rsid w:val="00C85A0C"/>
    <w:rsid w:val="00C92D23"/>
    <w:rsid w:val="00CA0033"/>
    <w:rsid w:val="00CA00CE"/>
    <w:rsid w:val="00CB1880"/>
    <w:rsid w:val="00CB244B"/>
    <w:rsid w:val="00CD58C0"/>
    <w:rsid w:val="00CD6903"/>
    <w:rsid w:val="00CE07A7"/>
    <w:rsid w:val="00D14499"/>
    <w:rsid w:val="00D14FC5"/>
    <w:rsid w:val="00D21F17"/>
    <w:rsid w:val="00D363A6"/>
    <w:rsid w:val="00D42317"/>
    <w:rsid w:val="00D57D06"/>
    <w:rsid w:val="00D73223"/>
    <w:rsid w:val="00D84CB7"/>
    <w:rsid w:val="00D96389"/>
    <w:rsid w:val="00DB0809"/>
    <w:rsid w:val="00DC6925"/>
    <w:rsid w:val="00DC6FD9"/>
    <w:rsid w:val="00DD318C"/>
    <w:rsid w:val="00DF3BC7"/>
    <w:rsid w:val="00E036AB"/>
    <w:rsid w:val="00E07126"/>
    <w:rsid w:val="00E33C87"/>
    <w:rsid w:val="00E41A1B"/>
    <w:rsid w:val="00E55A95"/>
    <w:rsid w:val="00E77D92"/>
    <w:rsid w:val="00E80117"/>
    <w:rsid w:val="00E93260"/>
    <w:rsid w:val="00E938FE"/>
    <w:rsid w:val="00E951DC"/>
    <w:rsid w:val="00EA0ED5"/>
    <w:rsid w:val="00EB1077"/>
    <w:rsid w:val="00EC08E5"/>
    <w:rsid w:val="00EC4207"/>
    <w:rsid w:val="00ED0930"/>
    <w:rsid w:val="00ED2FD2"/>
    <w:rsid w:val="00EE60C7"/>
    <w:rsid w:val="00EE787A"/>
    <w:rsid w:val="00EF7FD0"/>
    <w:rsid w:val="00F067AF"/>
    <w:rsid w:val="00F12826"/>
    <w:rsid w:val="00F27C6A"/>
    <w:rsid w:val="00F31DD4"/>
    <w:rsid w:val="00F547C0"/>
    <w:rsid w:val="00F6003A"/>
    <w:rsid w:val="00F62D93"/>
    <w:rsid w:val="00F67090"/>
    <w:rsid w:val="00F768DB"/>
    <w:rsid w:val="00F853CF"/>
    <w:rsid w:val="00F907FA"/>
    <w:rsid w:val="00F912F9"/>
    <w:rsid w:val="00FA2107"/>
    <w:rsid w:val="00FA211E"/>
    <w:rsid w:val="00FA6CDB"/>
    <w:rsid w:val="00FB1AA8"/>
    <w:rsid w:val="00FB65BC"/>
    <w:rsid w:val="00FC5B91"/>
    <w:rsid w:val="00FD1D76"/>
    <w:rsid w:val="00FD74DA"/>
    <w:rsid w:val="00FD7F0E"/>
    <w:rsid w:val="00FF3BEB"/>
    <w:rsid w:val="18F5368A"/>
    <w:rsid w:val="1F74D9E7"/>
    <w:rsid w:val="1FFF490A"/>
    <w:rsid w:val="2F7E63B3"/>
    <w:rsid w:val="2F7F999E"/>
    <w:rsid w:val="37DB794C"/>
    <w:rsid w:val="3B5EBFB6"/>
    <w:rsid w:val="3EE74D3C"/>
    <w:rsid w:val="3F452975"/>
    <w:rsid w:val="3F4EA45E"/>
    <w:rsid w:val="3FFCFF48"/>
    <w:rsid w:val="3FFF65C3"/>
    <w:rsid w:val="4BBE2635"/>
    <w:rsid w:val="4F775708"/>
    <w:rsid w:val="4FFDDB7B"/>
    <w:rsid w:val="53FF987B"/>
    <w:rsid w:val="57B7F7EF"/>
    <w:rsid w:val="5B6DB750"/>
    <w:rsid w:val="5E5D9C0E"/>
    <w:rsid w:val="5EFF44F5"/>
    <w:rsid w:val="5F3437F9"/>
    <w:rsid w:val="5F5BDFD0"/>
    <w:rsid w:val="5F9D56C7"/>
    <w:rsid w:val="5FCF890B"/>
    <w:rsid w:val="6DDFF405"/>
    <w:rsid w:val="6DF7C707"/>
    <w:rsid w:val="6DFBB4DA"/>
    <w:rsid w:val="6FED8410"/>
    <w:rsid w:val="77CF0D2B"/>
    <w:rsid w:val="77D2BAC1"/>
    <w:rsid w:val="77FDA763"/>
    <w:rsid w:val="7B5F7B4F"/>
    <w:rsid w:val="7BB7F96B"/>
    <w:rsid w:val="7BDACC2B"/>
    <w:rsid w:val="7BDF1E66"/>
    <w:rsid w:val="7BFF90D6"/>
    <w:rsid w:val="7C6FD1A6"/>
    <w:rsid w:val="7D7F83EF"/>
    <w:rsid w:val="7D9BB324"/>
    <w:rsid w:val="7E6F52C9"/>
    <w:rsid w:val="7EEA5B0C"/>
    <w:rsid w:val="7EFF0948"/>
    <w:rsid w:val="7F7D480E"/>
    <w:rsid w:val="7FA4FEF4"/>
    <w:rsid w:val="7FCA12E7"/>
    <w:rsid w:val="7FFB6AB5"/>
    <w:rsid w:val="8FF15AE4"/>
    <w:rsid w:val="9DCC4FD8"/>
    <w:rsid w:val="9DEBFEDA"/>
    <w:rsid w:val="AEEAE5BD"/>
    <w:rsid w:val="B236C43B"/>
    <w:rsid w:val="B7FE103E"/>
    <w:rsid w:val="BCE93FAF"/>
    <w:rsid w:val="BEF7C147"/>
    <w:rsid w:val="BF8F8A78"/>
    <w:rsid w:val="D16F0FDC"/>
    <w:rsid w:val="DDDB31B7"/>
    <w:rsid w:val="DDE6DEFA"/>
    <w:rsid w:val="DDEF8B81"/>
    <w:rsid w:val="E75BA490"/>
    <w:rsid w:val="E7FF1B6D"/>
    <w:rsid w:val="EF794284"/>
    <w:rsid w:val="EFEEA7D8"/>
    <w:rsid w:val="EFFB3944"/>
    <w:rsid w:val="F2FB2312"/>
    <w:rsid w:val="F3BA9750"/>
    <w:rsid w:val="F6A37246"/>
    <w:rsid w:val="F75DFB74"/>
    <w:rsid w:val="F7BBE447"/>
    <w:rsid w:val="F9FE3FB1"/>
    <w:rsid w:val="FA7FE3D7"/>
    <w:rsid w:val="FEB7BA52"/>
    <w:rsid w:val="FEBF5B12"/>
    <w:rsid w:val="FEFF5DE3"/>
    <w:rsid w:val="FF3D222E"/>
    <w:rsid w:val="FF5E6D9A"/>
    <w:rsid w:val="FF7E73EE"/>
    <w:rsid w:val="FFEF1A02"/>
    <w:rsid w:val="FFF6CA28"/>
    <w:rsid w:val="FFFBA717"/>
    <w:rsid w:val="FFFFD2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numPr>
        <w:ilvl w:val="0"/>
        <w:numId w:val="1"/>
      </w:numPr>
      <w:suppressAutoHyphens/>
      <w:spacing w:before="340" w:after="330" w:line="578" w:lineRule="auto"/>
      <w:outlineLvl w:val="0"/>
    </w:pPr>
    <w:rPr>
      <w:rFonts w:ascii="Calibri" w:hAnsi="Calibri" w:eastAsia="宋体" w:cs="Times New Roman"/>
      <w:b/>
      <w:bCs/>
      <w:kern w:val="44"/>
      <w:sz w:val="44"/>
      <w:szCs w:val="44"/>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1"/>
    <w:semiHidden/>
    <w:unhideWhenUsed/>
    <w:qFormat/>
    <w:uiPriority w:val="99"/>
    <w:pPr>
      <w:jc w:val="left"/>
    </w:pPr>
  </w:style>
  <w:style w:type="paragraph" w:styleId="4">
    <w:name w:val="Balloon Text"/>
    <w:basedOn w:val="1"/>
    <w:link w:val="13"/>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2"/>
    <w:semiHidden/>
    <w:unhideWhenUsed/>
    <w:qFormat/>
    <w:uiPriority w:val="99"/>
    <w:rPr>
      <w:b/>
      <w:bCs/>
    </w:rPr>
  </w:style>
  <w:style w:type="character" w:styleId="10">
    <w:name w:val="annotation reference"/>
    <w:basedOn w:val="9"/>
    <w:semiHidden/>
    <w:unhideWhenUsed/>
    <w:qFormat/>
    <w:uiPriority w:val="99"/>
    <w:rPr>
      <w:sz w:val="21"/>
      <w:szCs w:val="21"/>
    </w:rPr>
  </w:style>
  <w:style w:type="character" w:customStyle="1" w:styleId="11">
    <w:name w:val="批注文字 Char"/>
    <w:basedOn w:val="9"/>
    <w:link w:val="3"/>
    <w:semiHidden/>
    <w:qFormat/>
    <w:uiPriority w:val="99"/>
  </w:style>
  <w:style w:type="character" w:customStyle="1" w:styleId="12">
    <w:name w:val="批注主题 Char"/>
    <w:basedOn w:val="11"/>
    <w:link w:val="7"/>
    <w:semiHidden/>
    <w:qFormat/>
    <w:uiPriority w:val="99"/>
    <w:rPr>
      <w:b/>
      <w:bCs/>
    </w:rPr>
  </w:style>
  <w:style w:type="character" w:customStyle="1" w:styleId="13">
    <w:name w:val="批注框文本 Char"/>
    <w:basedOn w:val="9"/>
    <w:link w:val="4"/>
    <w:semiHidden/>
    <w:qFormat/>
    <w:uiPriority w:val="99"/>
    <w:rPr>
      <w:sz w:val="18"/>
      <w:szCs w:val="18"/>
    </w:rPr>
  </w:style>
  <w:style w:type="character" w:customStyle="1" w:styleId="14">
    <w:name w:val="页眉 Char"/>
    <w:basedOn w:val="9"/>
    <w:link w:val="6"/>
    <w:qFormat/>
    <w:uiPriority w:val="99"/>
    <w:rPr>
      <w:sz w:val="18"/>
      <w:szCs w:val="18"/>
    </w:rPr>
  </w:style>
  <w:style w:type="character" w:customStyle="1" w:styleId="15">
    <w:name w:val="页脚 Char"/>
    <w:basedOn w:val="9"/>
    <w:link w:val="5"/>
    <w:qFormat/>
    <w:uiPriority w:val="99"/>
    <w:rPr>
      <w:sz w:val="18"/>
      <w:szCs w:val="18"/>
    </w:rPr>
  </w:style>
  <w:style w:type="character" w:customStyle="1" w:styleId="16">
    <w:name w:val="书籍标题1"/>
    <w:qFormat/>
    <w:uiPriority w:val="33"/>
    <w:rPr>
      <w:rFonts w:ascii="Times New Roman" w:hAnsi="Times New Roman" w:eastAsia="方正大标宋简体" w:cs="Times New Roman"/>
      <w:sz w:val="44"/>
      <w:szCs w:val="44"/>
    </w:rPr>
  </w:style>
  <w:style w:type="character" w:customStyle="1" w:styleId="17">
    <w:name w:val="标题 1 Char"/>
    <w:basedOn w:val="9"/>
    <w:link w:val="2"/>
    <w:qFormat/>
    <w:uiPriority w:val="9"/>
    <w:rPr>
      <w:rFonts w:ascii="Calibri" w:hAnsi="Calibri" w:eastAsia="宋体" w:cs="Times New Roman"/>
      <w:b/>
      <w:bCs/>
      <w:kern w:val="44"/>
      <w:sz w:val="44"/>
      <w:szCs w:val="44"/>
    </w:rPr>
  </w:style>
  <w:style w:type="paragraph" w:styleId="18">
    <w:name w:val="List Paragraph"/>
    <w:basedOn w:val="1"/>
    <w:qFormat/>
    <w:uiPriority w:val="0"/>
    <w:pPr>
      <w:suppressAutoHyphens/>
      <w:ind w:firstLine="420" w:firstLineChars="200"/>
    </w:pPr>
    <w:rPr>
      <w:rFonts w:ascii="Calibri" w:hAnsi="Calibri" w:eastAsia="宋体" w:cs="Times New Roman"/>
      <w:szCs w:val="24"/>
    </w:rPr>
  </w:style>
  <w:style w:type="character" w:customStyle="1" w:styleId="19">
    <w:name w:val="fontstyle31"/>
    <w:basedOn w:val="9"/>
    <w:qFormat/>
    <w:uiPriority w:val="0"/>
    <w:rPr>
      <w:rFonts w:hint="eastAsia" w:ascii="仿宋_GB2312" w:eastAsia="仿宋_GB2312"/>
      <w:color w:val="000000"/>
      <w:sz w:val="30"/>
      <w:szCs w:val="3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2678</Words>
  <Characters>2687</Characters>
  <Lines>20</Lines>
  <Paragraphs>5</Paragraphs>
  <TotalTime>5</TotalTime>
  <ScaleCrop>false</ScaleCrop>
  <LinksUpToDate>false</LinksUpToDate>
  <CharactersWithSpaces>2810</CharactersWithSpaces>
  <Application>WPS Office_11.8.2.12313_F1E327BC-269C-435d-A152-05C5408002CA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2025-09-16T08:42:00Z</dcterms:created>
  <dc:creator>bse</dc:creator>
  <cp:lastModifiedBy>fanzj</cp:lastModifiedBy>
  <cp:lastPrinted>2025-08-30T14:51:00Z</cp:lastPrinted>
  <dcterms:modified xsi:type="dcterms:W3CDTF">2025-09-19T15:05:03Z</dcterms:modified>
  <dc:title>北京证券交易所文件</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2052-11.8.2.12313</vt:lpwstr>
  </property>
  <property fmtid="{D5CDD505-2E9C-101B-9397-08002B2CF9AE}" pid="3" name="ICV">
    <vt:lpwstr>F7B53342A0286131CFAACC686A3406DA</vt:lpwstr>
  </property>
</Properties>
</file>