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uppressAutoHyphens w:val="0"/>
        <w:spacing w:line="640" w:lineRule="exact"/>
        <w:ind w:firstLine="640" w:firstLineChars="200"/>
        <w:jc w:val="left"/>
        <w:rPr>
          <w:rFonts w:ascii="Times New Roman" w:hAnsi="Times New Roman" w:eastAsia="黑体" w:cs="黑体"/>
          <w:sz w:val="32"/>
          <w:szCs w:val="32"/>
        </w:rPr>
      </w:pPr>
      <w:bookmarkStart w:id="0" w:name="_GoBack"/>
      <w:bookmarkEnd w:id="0"/>
    </w:p>
    <w:p>
      <w:pPr>
        <w:suppressAutoHyphens w:val="0"/>
        <w:autoSpaceDE w:val="0"/>
        <w:autoSpaceDN w:val="0"/>
        <w:adjustRightInd w:val="0"/>
        <w:snapToGrid w:val="0"/>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北京证券交易所股票做市</w:t>
      </w:r>
      <w:r>
        <w:rPr>
          <w:rFonts w:hint="eastAsia" w:ascii="Times New Roman" w:hAnsi="Times New Roman" w:eastAsia="方正大标宋简体"/>
          <w:sz w:val="44"/>
          <w:szCs w:val="44"/>
        </w:rPr>
        <w:t>交易</w:t>
      </w:r>
      <w:r>
        <w:rPr>
          <w:rFonts w:ascii="Times New Roman" w:hAnsi="Times New Roman" w:eastAsia="方正大标宋简体"/>
          <w:sz w:val="44"/>
          <w:szCs w:val="44"/>
        </w:rPr>
        <w:t>业务细则</w:t>
      </w:r>
    </w:p>
    <w:p>
      <w:pPr>
        <w:numPr>
          <w:ilvl w:val="0"/>
          <w:numId w:val="1"/>
        </w:numPr>
        <w:suppressAutoHyphens w:val="0"/>
        <w:autoSpaceDE w:val="0"/>
        <w:autoSpaceDN w:val="0"/>
        <w:adjustRightInd w:val="0"/>
        <w:snapToGrid w:val="0"/>
        <w:spacing w:before="240" w:after="240" w:line="600" w:lineRule="exact"/>
        <w:ind w:firstLine="640" w:firstLineChars="200"/>
        <w:jc w:val="center"/>
        <w:outlineLvl w:val="0"/>
        <w:rPr>
          <w:rFonts w:ascii="Times New Roman" w:hAnsi="Times New Roman" w:eastAsia="黑体"/>
          <w:kern w:val="44"/>
          <w:sz w:val="32"/>
        </w:rPr>
      </w:pPr>
      <w:r>
        <w:rPr>
          <w:rFonts w:hint="eastAsia" w:ascii="Times New Roman" w:hAnsi="Times New Roman" w:eastAsia="黑体"/>
          <w:kern w:val="44"/>
          <w:sz w:val="32"/>
        </w:rPr>
        <w:t xml:space="preserve"> </w:t>
      </w:r>
      <w:r>
        <w:rPr>
          <w:rFonts w:ascii="Times New Roman" w:hAnsi="Times New Roman" w:eastAsia="黑体"/>
          <w:kern w:val="44"/>
          <w:sz w:val="32"/>
        </w:rPr>
        <w:t>总则</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黑体" w:hAnsi="黑体" w:eastAsia="黑体"/>
          <w:bCs/>
          <w:sz w:val="32"/>
          <w:szCs w:val="32"/>
        </w:rPr>
        <w:t>第一条</w:t>
      </w:r>
      <w:r>
        <w:rPr>
          <w:rFonts w:ascii="Times New Roman" w:hAnsi="Times New Roman" w:eastAsia="仿宋"/>
          <w:b/>
          <w:bCs/>
          <w:sz w:val="32"/>
          <w:szCs w:val="32"/>
        </w:rPr>
        <w:t xml:space="preserve">  </w:t>
      </w:r>
      <w:r>
        <w:rPr>
          <w:rFonts w:ascii="Times New Roman" w:hAnsi="Times New Roman" w:eastAsia="仿宋"/>
          <w:sz w:val="32"/>
          <w:szCs w:val="32"/>
        </w:rPr>
        <w:t>为规范北京证券交易所（以下简称本所）股票做市</w:t>
      </w:r>
      <w:r>
        <w:rPr>
          <w:rFonts w:hint="eastAsia" w:ascii="Times New Roman" w:hAnsi="Times New Roman" w:eastAsia="仿宋"/>
          <w:sz w:val="32"/>
          <w:szCs w:val="32"/>
        </w:rPr>
        <w:t>交易</w:t>
      </w:r>
      <w:r>
        <w:rPr>
          <w:rFonts w:ascii="Times New Roman" w:hAnsi="Times New Roman" w:eastAsia="仿宋"/>
          <w:sz w:val="32"/>
          <w:szCs w:val="32"/>
        </w:rPr>
        <w:t>业务，</w:t>
      </w:r>
      <w:r>
        <w:rPr>
          <w:rFonts w:ascii="Times New Roman" w:hAnsi="Times New Roman" w:eastAsia="仿宋"/>
          <w:bCs/>
          <w:sz w:val="32"/>
          <w:szCs w:val="32"/>
        </w:rPr>
        <w:t>保护投资者合法权益，维护证券市场运行秩序，根据</w:t>
      </w:r>
      <w:r>
        <w:rPr>
          <w:rFonts w:hint="eastAsia" w:ascii="Times New Roman" w:hAnsi="Times New Roman" w:eastAsia="仿宋"/>
          <w:bCs/>
          <w:sz w:val="32"/>
          <w:szCs w:val="32"/>
        </w:rPr>
        <w:t>《中华人民共和国证券法》（</w:t>
      </w:r>
      <w:r>
        <w:rPr>
          <w:rFonts w:ascii="Times New Roman" w:hAnsi="Times New Roman" w:eastAsia="仿宋"/>
          <w:bCs/>
          <w:sz w:val="32"/>
          <w:szCs w:val="32"/>
        </w:rPr>
        <w:t>以下简称《</w:t>
      </w:r>
      <w:r>
        <w:rPr>
          <w:rFonts w:hint="eastAsia" w:ascii="Times New Roman" w:hAnsi="Times New Roman" w:eastAsia="仿宋"/>
          <w:bCs/>
          <w:sz w:val="32"/>
          <w:szCs w:val="32"/>
        </w:rPr>
        <w:t>证券法</w:t>
      </w:r>
      <w:r>
        <w:rPr>
          <w:rFonts w:ascii="Times New Roman" w:hAnsi="Times New Roman" w:eastAsia="仿宋"/>
          <w:bCs/>
          <w:sz w:val="32"/>
          <w:szCs w:val="32"/>
        </w:rPr>
        <w:t>》）</w:t>
      </w:r>
      <w:r>
        <w:rPr>
          <w:rFonts w:hint="eastAsia" w:ascii="Times New Roman" w:hAnsi="Times New Roman" w:eastAsia="仿宋"/>
          <w:bCs/>
          <w:sz w:val="32"/>
          <w:szCs w:val="32"/>
        </w:rPr>
        <w:t>、</w:t>
      </w:r>
      <w:r>
        <w:rPr>
          <w:rFonts w:ascii="Times New Roman" w:hAnsi="Times New Roman" w:eastAsia="仿宋"/>
          <w:bCs/>
          <w:sz w:val="32"/>
          <w:szCs w:val="32"/>
        </w:rPr>
        <w:t>《北京证券交易所交易规则（试行）》（以下简称《交易规则》）</w:t>
      </w:r>
      <w:r>
        <w:rPr>
          <w:rFonts w:hint="eastAsia" w:ascii="Times New Roman" w:hAnsi="Times New Roman" w:eastAsia="仿宋"/>
          <w:bCs/>
          <w:sz w:val="32"/>
          <w:szCs w:val="32"/>
        </w:rPr>
        <w:t>及其他相关规定</w:t>
      </w:r>
      <w:r>
        <w:rPr>
          <w:rFonts w:ascii="Times New Roman" w:hAnsi="Times New Roman" w:eastAsia="仿宋"/>
          <w:bCs/>
          <w:sz w:val="32"/>
          <w:szCs w:val="32"/>
        </w:rPr>
        <w:t>，制定本细则。</w:t>
      </w:r>
    </w:p>
    <w:p>
      <w:pPr>
        <w:suppressAutoHyphens w:val="0"/>
        <w:autoSpaceDE w:val="0"/>
        <w:autoSpaceDN w:val="0"/>
        <w:adjustRightInd w:val="0"/>
        <w:snapToGrid w:val="0"/>
        <w:spacing w:line="600" w:lineRule="exact"/>
        <w:ind w:firstLine="640" w:firstLineChars="200"/>
        <w:rPr>
          <w:rFonts w:ascii="Times New Roman" w:hAnsi="Times New Roman" w:eastAsia="仿宋"/>
          <w:b/>
          <w:bCs/>
          <w:sz w:val="32"/>
          <w:szCs w:val="32"/>
        </w:rPr>
      </w:pPr>
      <w:r>
        <w:rPr>
          <w:rFonts w:ascii="黑体" w:hAnsi="黑体" w:eastAsia="黑体"/>
          <w:bCs/>
          <w:sz w:val="32"/>
          <w:szCs w:val="32"/>
        </w:rPr>
        <w:t>第二条</w:t>
      </w:r>
      <w:r>
        <w:rPr>
          <w:rFonts w:ascii="Times New Roman" w:hAnsi="Times New Roman" w:eastAsia="仿宋"/>
          <w:b/>
          <w:bCs/>
          <w:sz w:val="32"/>
          <w:szCs w:val="32"/>
        </w:rPr>
        <w:t xml:space="preserve">  </w:t>
      </w:r>
      <w:r>
        <w:rPr>
          <w:rFonts w:ascii="Times New Roman" w:hAnsi="Times New Roman" w:eastAsia="仿宋"/>
          <w:bCs/>
          <w:sz w:val="32"/>
          <w:szCs w:val="32"/>
        </w:rPr>
        <w:t>本所上市公司股票的做市</w:t>
      </w:r>
      <w:r>
        <w:rPr>
          <w:rFonts w:hint="eastAsia" w:ascii="Times New Roman" w:hAnsi="Times New Roman" w:eastAsia="仿宋"/>
          <w:bCs/>
          <w:sz w:val="32"/>
          <w:szCs w:val="32"/>
        </w:rPr>
        <w:t>交易</w:t>
      </w:r>
      <w:r>
        <w:rPr>
          <w:rFonts w:ascii="Times New Roman" w:hAnsi="Times New Roman" w:eastAsia="仿宋"/>
          <w:bCs/>
          <w:sz w:val="32"/>
          <w:szCs w:val="32"/>
        </w:rPr>
        <w:t>业务，适用本细则。本细则未作规定的，适用本所其他有关规则的规定。</w:t>
      </w:r>
    </w:p>
    <w:p>
      <w:pPr>
        <w:suppressAutoHyphens w:val="0"/>
        <w:autoSpaceDE w:val="0"/>
        <w:autoSpaceDN w:val="0"/>
        <w:adjustRightInd w:val="0"/>
        <w:snapToGrid w:val="0"/>
        <w:spacing w:line="600" w:lineRule="exact"/>
        <w:ind w:firstLine="640" w:firstLineChars="200"/>
        <w:rPr>
          <w:rFonts w:ascii="Times New Roman" w:hAnsi="Times New Roman" w:eastAsia="仿宋"/>
          <w:b/>
          <w:bCs/>
          <w:sz w:val="32"/>
          <w:szCs w:val="32"/>
        </w:rPr>
      </w:pPr>
      <w:r>
        <w:rPr>
          <w:rFonts w:ascii="黑体" w:hAnsi="黑体" w:eastAsia="黑体"/>
          <w:bCs/>
          <w:sz w:val="32"/>
          <w:szCs w:val="32"/>
        </w:rPr>
        <w:t>第三条</w:t>
      </w:r>
      <w:r>
        <w:rPr>
          <w:rFonts w:ascii="Times New Roman" w:hAnsi="Times New Roman" w:eastAsia="仿宋"/>
          <w:b/>
          <w:bCs/>
          <w:sz w:val="32"/>
          <w:szCs w:val="32"/>
        </w:rPr>
        <w:t xml:space="preserve">  </w:t>
      </w:r>
      <w:r>
        <w:rPr>
          <w:rFonts w:ascii="Times New Roman" w:hAnsi="Times New Roman" w:eastAsia="仿宋"/>
          <w:bCs/>
          <w:sz w:val="32"/>
          <w:szCs w:val="32"/>
        </w:rPr>
        <w:t>本所</w:t>
      </w:r>
      <w:r>
        <w:rPr>
          <w:rFonts w:ascii="Times New Roman" w:hAnsi="Times New Roman" w:eastAsia="仿宋"/>
          <w:sz w:val="32"/>
          <w:szCs w:val="32"/>
        </w:rPr>
        <w:t>上市公司股票</w:t>
      </w:r>
      <w:r>
        <w:rPr>
          <w:rFonts w:hint="eastAsia" w:ascii="Times New Roman" w:hAnsi="Times New Roman" w:eastAsia="仿宋"/>
          <w:sz w:val="32"/>
          <w:szCs w:val="32"/>
        </w:rPr>
        <w:t>做市交易业务</w:t>
      </w:r>
      <w:r>
        <w:rPr>
          <w:rFonts w:ascii="Times New Roman" w:hAnsi="Times New Roman" w:eastAsia="仿宋"/>
          <w:sz w:val="32"/>
          <w:szCs w:val="32"/>
        </w:rPr>
        <w:t>，是指</w:t>
      </w:r>
      <w:r>
        <w:rPr>
          <w:rFonts w:hint="eastAsia" w:ascii="Times New Roman" w:hAnsi="Times New Roman" w:eastAsia="仿宋"/>
          <w:sz w:val="32"/>
          <w:szCs w:val="32"/>
        </w:rPr>
        <w:t>符合条件的</w:t>
      </w:r>
      <w:r>
        <w:rPr>
          <w:rFonts w:ascii="Times New Roman" w:hAnsi="Times New Roman" w:eastAsia="仿宋"/>
          <w:sz w:val="32"/>
          <w:szCs w:val="32"/>
        </w:rPr>
        <w:t>证券公司</w:t>
      </w:r>
      <w:r>
        <w:rPr>
          <w:rFonts w:hint="eastAsia" w:ascii="Times New Roman" w:hAnsi="Times New Roman" w:eastAsia="仿宋"/>
          <w:sz w:val="32"/>
          <w:szCs w:val="32"/>
        </w:rPr>
        <w:t>（以下简称做市商）</w:t>
      </w:r>
      <w:r>
        <w:rPr>
          <w:rFonts w:ascii="Times New Roman" w:hAnsi="Times New Roman" w:eastAsia="仿宋"/>
          <w:sz w:val="32"/>
          <w:szCs w:val="32"/>
        </w:rPr>
        <w:t>，按照本细则规定</w:t>
      </w:r>
      <w:r>
        <w:rPr>
          <w:rFonts w:ascii="Times New Roman" w:hAnsi="Times New Roman" w:eastAsia="方正仿宋简体"/>
          <w:sz w:val="32"/>
          <w:szCs w:val="28"/>
        </w:rPr>
        <w:t>和做市协议约定</w:t>
      </w:r>
      <w:r>
        <w:rPr>
          <w:rFonts w:ascii="Times New Roman" w:hAnsi="Times New Roman" w:eastAsia="仿宋"/>
          <w:sz w:val="32"/>
          <w:szCs w:val="32"/>
        </w:rPr>
        <w:t>在上市公司股票竞价交易中提供持续双向报价等流动性服务</w:t>
      </w:r>
      <w:r>
        <w:rPr>
          <w:rFonts w:hint="eastAsia" w:ascii="Times New Roman" w:hAnsi="Times New Roman" w:eastAsia="仿宋"/>
          <w:sz w:val="32"/>
          <w:szCs w:val="32"/>
        </w:rPr>
        <w:t>（以下简称做市服务）</w:t>
      </w:r>
      <w:r>
        <w:rPr>
          <w:rFonts w:ascii="Times New Roman" w:hAnsi="Times New Roman" w:eastAsia="仿宋"/>
          <w:sz w:val="32"/>
          <w:szCs w:val="32"/>
        </w:rPr>
        <w:t>的业务。</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bCs/>
          <w:sz w:val="32"/>
          <w:szCs w:val="32"/>
        </w:rPr>
        <w:t>第四条</w:t>
      </w:r>
      <w:r>
        <w:rPr>
          <w:rFonts w:ascii="Times New Roman" w:hAnsi="Times New Roman" w:eastAsia="仿宋"/>
          <w:b/>
          <w:bCs/>
          <w:sz w:val="32"/>
          <w:szCs w:val="32"/>
        </w:rPr>
        <w:t xml:space="preserve">  </w:t>
      </w:r>
      <w:r>
        <w:rPr>
          <w:rFonts w:ascii="Times New Roman" w:hAnsi="Times New Roman" w:eastAsia="仿宋"/>
          <w:sz w:val="32"/>
          <w:szCs w:val="32"/>
        </w:rPr>
        <w:t>做市商开展股票</w:t>
      </w:r>
      <w:r>
        <w:rPr>
          <w:rFonts w:hint="eastAsia" w:ascii="Times New Roman" w:hAnsi="Times New Roman" w:eastAsia="仿宋"/>
          <w:sz w:val="32"/>
          <w:szCs w:val="32"/>
        </w:rPr>
        <w:t>做市交易业务</w:t>
      </w:r>
      <w:r>
        <w:rPr>
          <w:rFonts w:ascii="Times New Roman" w:hAnsi="Times New Roman" w:eastAsia="仿宋"/>
          <w:sz w:val="32"/>
          <w:szCs w:val="32"/>
        </w:rPr>
        <w:t>，应当严格遵守法律</w:t>
      </w:r>
      <w:r>
        <w:rPr>
          <w:rFonts w:hint="eastAsia" w:ascii="Times New Roman" w:hAnsi="Times New Roman" w:eastAsia="仿宋"/>
          <w:sz w:val="32"/>
          <w:szCs w:val="32"/>
        </w:rPr>
        <w:t>、行政</w:t>
      </w:r>
      <w:r>
        <w:rPr>
          <w:rFonts w:ascii="Times New Roman" w:hAnsi="Times New Roman" w:eastAsia="仿宋"/>
          <w:sz w:val="32"/>
          <w:szCs w:val="32"/>
        </w:rPr>
        <w:t>法规、部门规章、规范性文件</w:t>
      </w:r>
      <w:r>
        <w:rPr>
          <w:rFonts w:hint="eastAsia" w:ascii="Times New Roman" w:hAnsi="Times New Roman" w:eastAsia="仿宋"/>
          <w:sz w:val="32"/>
          <w:szCs w:val="32"/>
        </w:rPr>
        <w:t>（以下简称法律法规）、</w:t>
      </w:r>
      <w:r>
        <w:rPr>
          <w:rFonts w:ascii="Times New Roman" w:hAnsi="Times New Roman" w:eastAsia="仿宋"/>
          <w:sz w:val="32"/>
          <w:szCs w:val="32"/>
        </w:rPr>
        <w:t>本所业务规则</w:t>
      </w:r>
      <w:r>
        <w:rPr>
          <w:rFonts w:hint="eastAsia" w:ascii="Times New Roman" w:hAnsi="Times New Roman" w:eastAsia="仿宋"/>
          <w:sz w:val="32"/>
          <w:szCs w:val="32"/>
        </w:rPr>
        <w:t>的规定和做市协议约定</w:t>
      </w:r>
      <w:r>
        <w:rPr>
          <w:rFonts w:ascii="Times New Roman" w:hAnsi="Times New Roman" w:eastAsia="仿宋"/>
          <w:sz w:val="32"/>
          <w:szCs w:val="32"/>
        </w:rPr>
        <w:t>，不得利用</w:t>
      </w:r>
      <w:r>
        <w:rPr>
          <w:rFonts w:hint="eastAsia" w:ascii="Times New Roman" w:hAnsi="Times New Roman" w:eastAsia="仿宋"/>
          <w:sz w:val="32"/>
          <w:szCs w:val="32"/>
        </w:rPr>
        <w:t>做市交易业务</w:t>
      </w:r>
      <w:r>
        <w:rPr>
          <w:rFonts w:ascii="Times New Roman" w:hAnsi="Times New Roman" w:eastAsia="仿宋"/>
          <w:sz w:val="32"/>
          <w:szCs w:val="32"/>
        </w:rPr>
        <w:t>进行内幕交易、操纵市场等违法违规行为或者谋取其他不正当利益</w:t>
      </w:r>
      <w:r>
        <w:rPr>
          <w:rFonts w:hint="eastAsia" w:ascii="Times New Roman" w:hAnsi="Times New Roman" w:eastAsia="仿宋"/>
          <w:sz w:val="32"/>
          <w:szCs w:val="32"/>
        </w:rPr>
        <w:t>，不得利用未公开信息进行交易</w:t>
      </w:r>
      <w:r>
        <w:rPr>
          <w:rFonts w:ascii="Times New Roman" w:hAnsi="Times New Roman" w:eastAsia="仿宋"/>
          <w:sz w:val="32"/>
          <w:szCs w:val="32"/>
        </w:rPr>
        <w:t>。</w:t>
      </w:r>
    </w:p>
    <w:p>
      <w:pPr>
        <w:suppressAutoHyphens w:val="0"/>
        <w:autoSpaceDE w:val="0"/>
        <w:autoSpaceDN w:val="0"/>
        <w:adjustRightInd w:val="0"/>
        <w:snapToGrid w:val="0"/>
        <w:spacing w:before="240" w:after="240" w:line="600" w:lineRule="exact"/>
        <w:jc w:val="center"/>
        <w:outlineLvl w:val="0"/>
        <w:rPr>
          <w:rFonts w:ascii="Times New Roman" w:hAnsi="Times New Roman" w:eastAsia="黑体"/>
          <w:kern w:val="44"/>
          <w:sz w:val="32"/>
        </w:rPr>
      </w:pPr>
      <w:r>
        <w:rPr>
          <w:rFonts w:ascii="Times New Roman" w:hAnsi="Times New Roman" w:eastAsia="黑体"/>
          <w:kern w:val="44"/>
          <w:sz w:val="32"/>
        </w:rPr>
        <w:t>第二章  做市</w:t>
      </w:r>
      <w:r>
        <w:rPr>
          <w:rFonts w:hint="eastAsia" w:ascii="Times New Roman" w:hAnsi="Times New Roman" w:eastAsia="黑体"/>
          <w:kern w:val="44"/>
          <w:sz w:val="32"/>
        </w:rPr>
        <w:t>服务申请与终止</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黑体" w:hAnsi="黑体" w:eastAsia="黑体"/>
          <w:bCs/>
          <w:sz w:val="32"/>
          <w:szCs w:val="32"/>
        </w:rPr>
        <w:t>第五条</w:t>
      </w:r>
      <w:r>
        <w:rPr>
          <w:rFonts w:ascii="Times New Roman" w:hAnsi="Times New Roman" w:eastAsia="仿宋"/>
          <w:bCs/>
          <w:sz w:val="32"/>
          <w:szCs w:val="32"/>
        </w:rPr>
        <w:t xml:space="preserve">  本所会员经</w:t>
      </w:r>
      <w:r>
        <w:rPr>
          <w:rFonts w:ascii="Times New Roman" w:hAnsi="Times New Roman" w:eastAsia="仿宋"/>
          <w:sz w:val="32"/>
          <w:szCs w:val="32"/>
        </w:rPr>
        <w:t>中国证券监督管理委员会（以下简称中国证监会）核准取得上市证券</w:t>
      </w:r>
      <w:r>
        <w:rPr>
          <w:rFonts w:hint="eastAsia" w:ascii="Times New Roman" w:hAnsi="Times New Roman" w:eastAsia="仿宋"/>
          <w:sz w:val="32"/>
          <w:szCs w:val="32"/>
        </w:rPr>
        <w:t>做市交易业务</w:t>
      </w:r>
      <w:r>
        <w:rPr>
          <w:rFonts w:ascii="Times New Roman" w:hAnsi="Times New Roman" w:eastAsia="仿宋"/>
          <w:sz w:val="32"/>
          <w:szCs w:val="32"/>
        </w:rPr>
        <w:t>资格的，</w:t>
      </w:r>
      <w:r>
        <w:rPr>
          <w:rFonts w:hint="eastAsia" w:ascii="Times New Roman" w:hAnsi="Times New Roman" w:eastAsia="仿宋"/>
          <w:sz w:val="32"/>
          <w:szCs w:val="32"/>
        </w:rPr>
        <w:t>开通</w:t>
      </w:r>
      <w:r>
        <w:rPr>
          <w:rFonts w:ascii="Times New Roman" w:hAnsi="Times New Roman" w:eastAsia="仿宋"/>
          <w:sz w:val="32"/>
          <w:szCs w:val="32"/>
        </w:rPr>
        <w:t>本所做市交易权限</w:t>
      </w:r>
      <w:r>
        <w:rPr>
          <w:rFonts w:hint="eastAsia" w:ascii="Times New Roman" w:hAnsi="Times New Roman" w:eastAsia="仿宋"/>
          <w:sz w:val="32"/>
          <w:szCs w:val="32"/>
        </w:rPr>
        <w:t>后，可以向本所备案为特定股票提供做市服务</w:t>
      </w:r>
      <w:r>
        <w:rPr>
          <w:rFonts w:ascii="Times New Roman" w:hAnsi="Times New Roman" w:eastAsia="仿宋"/>
          <w:sz w:val="32"/>
          <w:szCs w:val="32"/>
        </w:rPr>
        <w:t>。</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黑体" w:hAnsi="黑体" w:eastAsia="黑体"/>
          <w:bCs/>
          <w:sz w:val="32"/>
          <w:szCs w:val="32"/>
        </w:rPr>
        <w:t>第六条</w:t>
      </w:r>
      <w:r>
        <w:rPr>
          <w:rFonts w:ascii="Times New Roman" w:hAnsi="Times New Roman" w:eastAsia="仿宋"/>
          <w:bCs/>
          <w:sz w:val="32"/>
          <w:szCs w:val="32"/>
        </w:rPr>
        <w:t xml:space="preserve">  </w:t>
      </w:r>
      <w:r>
        <w:rPr>
          <w:rFonts w:hint="eastAsia" w:ascii="Times New Roman" w:hAnsi="Times New Roman" w:eastAsia="仿宋"/>
          <w:bCs/>
          <w:sz w:val="32"/>
          <w:szCs w:val="32"/>
        </w:rPr>
        <w:t>鼓励具备上市证券做市交易业务资格的保荐机构或者实际控制该保荐机构的证券公司在持续督导期间为其保荐股票提供做市服务。</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黑体" w:hAnsi="黑体" w:eastAsia="黑体"/>
          <w:bCs/>
          <w:sz w:val="32"/>
          <w:szCs w:val="32"/>
        </w:rPr>
        <w:t>第</w:t>
      </w:r>
      <w:r>
        <w:rPr>
          <w:rFonts w:hint="eastAsia" w:ascii="黑体" w:hAnsi="黑体" w:eastAsia="黑体"/>
          <w:bCs/>
          <w:sz w:val="32"/>
          <w:szCs w:val="32"/>
        </w:rPr>
        <w:t>七</w:t>
      </w:r>
      <w:r>
        <w:rPr>
          <w:rFonts w:ascii="黑体" w:hAnsi="黑体" w:eastAsia="黑体"/>
          <w:bCs/>
          <w:sz w:val="32"/>
          <w:szCs w:val="32"/>
        </w:rPr>
        <w:t>条</w:t>
      </w:r>
      <w:r>
        <w:rPr>
          <w:rFonts w:ascii="Times New Roman" w:hAnsi="Times New Roman" w:eastAsia="仿宋"/>
          <w:bCs/>
          <w:sz w:val="32"/>
          <w:szCs w:val="32"/>
        </w:rPr>
        <w:t xml:space="preserve">  会员</w:t>
      </w:r>
      <w:r>
        <w:rPr>
          <w:rFonts w:hint="eastAsia" w:ascii="Times New Roman" w:hAnsi="Times New Roman" w:eastAsia="仿宋"/>
          <w:bCs/>
          <w:sz w:val="32"/>
          <w:szCs w:val="32"/>
        </w:rPr>
        <w:t>拟开通</w:t>
      </w:r>
      <w:r>
        <w:rPr>
          <w:rFonts w:ascii="Times New Roman" w:hAnsi="Times New Roman" w:eastAsia="仿宋"/>
          <w:bCs/>
          <w:sz w:val="32"/>
          <w:szCs w:val="32"/>
        </w:rPr>
        <w:t>本所做市交易权限的，需向本所提交下列材料：</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（一）做市交易权限</w:t>
      </w:r>
      <w:r>
        <w:rPr>
          <w:rFonts w:hint="eastAsia" w:ascii="Times New Roman" w:hAnsi="Times New Roman" w:eastAsia="仿宋"/>
          <w:sz w:val="32"/>
          <w:szCs w:val="32"/>
        </w:rPr>
        <w:t>开通</w:t>
      </w:r>
      <w:r>
        <w:rPr>
          <w:rFonts w:ascii="Times New Roman" w:hAnsi="Times New Roman" w:eastAsia="仿宋"/>
          <w:sz w:val="32"/>
          <w:szCs w:val="32"/>
        </w:rPr>
        <w:t>申请书</w:t>
      </w:r>
      <w:r>
        <w:rPr>
          <w:rFonts w:hint="eastAsia" w:ascii="Times New Roman" w:hAnsi="Times New Roman" w:eastAsia="仿宋"/>
          <w:sz w:val="32"/>
          <w:szCs w:val="32"/>
        </w:rPr>
        <w:t>；</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w:t>
      </w:r>
      <w:r>
        <w:rPr>
          <w:rFonts w:hint="eastAsia" w:ascii="Times New Roman" w:hAnsi="Times New Roman" w:eastAsia="仿宋"/>
          <w:sz w:val="32"/>
          <w:szCs w:val="32"/>
        </w:rPr>
        <w:t>经</w:t>
      </w:r>
      <w:r>
        <w:rPr>
          <w:rFonts w:ascii="Times New Roman" w:hAnsi="Times New Roman" w:eastAsia="仿宋"/>
          <w:sz w:val="32"/>
          <w:szCs w:val="32"/>
        </w:rPr>
        <w:t>中国证监会核准</w:t>
      </w:r>
      <w:r>
        <w:rPr>
          <w:rFonts w:hint="eastAsia" w:ascii="Times New Roman" w:hAnsi="Times New Roman" w:eastAsia="仿宋"/>
          <w:sz w:val="32"/>
          <w:szCs w:val="32"/>
        </w:rPr>
        <w:t>取得上市</w:t>
      </w:r>
      <w:r>
        <w:rPr>
          <w:rFonts w:ascii="Times New Roman" w:hAnsi="Times New Roman" w:eastAsia="仿宋"/>
          <w:sz w:val="32"/>
          <w:szCs w:val="32"/>
        </w:rPr>
        <w:t>证券做市交易业务</w:t>
      </w:r>
      <w:r>
        <w:rPr>
          <w:rFonts w:hint="eastAsia" w:ascii="Times New Roman" w:hAnsi="Times New Roman" w:eastAsia="仿宋"/>
          <w:sz w:val="32"/>
          <w:szCs w:val="32"/>
        </w:rPr>
        <w:t>资格</w:t>
      </w:r>
      <w:r>
        <w:rPr>
          <w:rFonts w:ascii="Times New Roman" w:hAnsi="Times New Roman" w:eastAsia="仿宋"/>
          <w:sz w:val="32"/>
          <w:szCs w:val="32"/>
        </w:rPr>
        <w:t>的证明文件</w:t>
      </w:r>
      <w:r>
        <w:rPr>
          <w:rFonts w:hint="eastAsia" w:ascii="Times New Roman" w:hAnsi="Times New Roman" w:eastAsia="仿宋"/>
          <w:sz w:val="32"/>
          <w:szCs w:val="32"/>
        </w:rPr>
        <w:t>复印件</w:t>
      </w:r>
      <w:r>
        <w:rPr>
          <w:rFonts w:ascii="Times New Roman" w:hAnsi="Times New Roman" w:eastAsia="仿宋"/>
          <w:sz w:val="32"/>
          <w:szCs w:val="32"/>
        </w:rPr>
        <w:t>；</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（三）做市专用证券账户、做市部门使用的自营证券账户信息；</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w:t>
      </w:r>
      <w:r>
        <w:rPr>
          <w:rFonts w:ascii="Times New Roman" w:hAnsi="Times New Roman" w:eastAsia="仿宋"/>
          <w:sz w:val="32"/>
          <w:szCs w:val="32"/>
        </w:rPr>
        <w:t>本所要求提交的其他材料。</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八</w:t>
      </w:r>
      <w:r>
        <w:rPr>
          <w:rFonts w:ascii="黑体" w:hAnsi="黑体" w:eastAsia="黑体"/>
          <w:bCs/>
          <w:sz w:val="32"/>
          <w:szCs w:val="32"/>
        </w:rPr>
        <w:t>条</w:t>
      </w:r>
      <w:r>
        <w:rPr>
          <w:rFonts w:ascii="Times New Roman" w:hAnsi="Times New Roman" w:eastAsia="仿宋"/>
          <w:b/>
          <w:sz w:val="32"/>
          <w:szCs w:val="32"/>
        </w:rPr>
        <w:t xml:space="preserve">  </w:t>
      </w:r>
      <w:r>
        <w:rPr>
          <w:rFonts w:hint="eastAsia" w:ascii="Times New Roman" w:hAnsi="Times New Roman" w:eastAsia="仿宋"/>
          <w:sz w:val="32"/>
          <w:szCs w:val="32"/>
        </w:rPr>
        <w:t>会员提交的</w:t>
      </w:r>
      <w:r>
        <w:rPr>
          <w:rFonts w:ascii="Times New Roman" w:hAnsi="Times New Roman" w:eastAsia="仿宋"/>
          <w:sz w:val="32"/>
          <w:szCs w:val="32"/>
        </w:rPr>
        <w:t>做市交易权限</w:t>
      </w:r>
      <w:r>
        <w:rPr>
          <w:rFonts w:hint="eastAsia" w:ascii="Times New Roman" w:hAnsi="Times New Roman" w:eastAsia="仿宋"/>
          <w:sz w:val="32"/>
          <w:szCs w:val="32"/>
        </w:rPr>
        <w:t>开通材料齐备且</w:t>
      </w:r>
      <w:r>
        <w:rPr>
          <w:rFonts w:ascii="Times New Roman" w:hAnsi="Times New Roman" w:eastAsia="仿宋"/>
          <w:sz w:val="32"/>
          <w:szCs w:val="32"/>
        </w:rPr>
        <w:t>符合</w:t>
      </w:r>
      <w:r>
        <w:rPr>
          <w:rFonts w:hint="eastAsia" w:ascii="Times New Roman" w:hAnsi="Times New Roman" w:eastAsia="仿宋"/>
          <w:sz w:val="32"/>
          <w:szCs w:val="32"/>
        </w:rPr>
        <w:t>要求</w:t>
      </w:r>
      <w:r>
        <w:rPr>
          <w:rFonts w:ascii="Times New Roman" w:hAnsi="Times New Roman" w:eastAsia="仿宋"/>
          <w:sz w:val="32"/>
          <w:szCs w:val="32"/>
        </w:rPr>
        <w:t>的，本所自受理之日起5个交易日内通知申请人签订做市协议，明确开展做市交易业务的相关权利和义务。做市协议签订后，本所为</w:t>
      </w:r>
      <w:r>
        <w:rPr>
          <w:rFonts w:hint="eastAsia" w:ascii="Times New Roman" w:hAnsi="Times New Roman" w:eastAsia="仿宋"/>
          <w:sz w:val="32"/>
          <w:szCs w:val="32"/>
        </w:rPr>
        <w:t>申请人</w:t>
      </w:r>
      <w:r>
        <w:rPr>
          <w:rFonts w:ascii="Times New Roman" w:hAnsi="Times New Roman" w:eastAsia="仿宋"/>
          <w:sz w:val="32"/>
          <w:szCs w:val="32"/>
        </w:rPr>
        <w:t>开通做市交易权限，并向市场公告。</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做市交易权限</w:t>
      </w:r>
      <w:r>
        <w:rPr>
          <w:rFonts w:hint="eastAsia" w:ascii="Times New Roman" w:hAnsi="Times New Roman" w:eastAsia="仿宋"/>
          <w:sz w:val="32"/>
          <w:szCs w:val="32"/>
        </w:rPr>
        <w:t>开通材料</w:t>
      </w:r>
      <w:r>
        <w:rPr>
          <w:rFonts w:ascii="Times New Roman" w:hAnsi="Times New Roman" w:eastAsia="仿宋"/>
          <w:sz w:val="32"/>
          <w:szCs w:val="32"/>
        </w:rPr>
        <w:t>不齐备</w:t>
      </w:r>
      <w:r>
        <w:rPr>
          <w:rFonts w:hint="eastAsia" w:ascii="Times New Roman" w:hAnsi="Times New Roman" w:eastAsia="仿宋"/>
          <w:sz w:val="32"/>
          <w:szCs w:val="32"/>
        </w:rPr>
        <w:t>或</w:t>
      </w:r>
      <w:r>
        <w:rPr>
          <w:rFonts w:ascii="Times New Roman" w:hAnsi="Times New Roman" w:eastAsia="仿宋"/>
          <w:sz w:val="32"/>
          <w:szCs w:val="32"/>
        </w:rPr>
        <w:t>不符合</w:t>
      </w:r>
      <w:r>
        <w:rPr>
          <w:rFonts w:hint="eastAsia" w:ascii="Times New Roman" w:hAnsi="Times New Roman" w:eastAsia="仿宋"/>
          <w:sz w:val="32"/>
          <w:szCs w:val="32"/>
        </w:rPr>
        <w:t>要求的</w:t>
      </w:r>
      <w:r>
        <w:rPr>
          <w:rFonts w:ascii="Times New Roman" w:hAnsi="Times New Roman" w:eastAsia="仿宋"/>
          <w:sz w:val="32"/>
          <w:szCs w:val="32"/>
        </w:rPr>
        <w:t>，本所不予办理</w:t>
      </w:r>
      <w:r>
        <w:rPr>
          <w:rFonts w:hint="eastAsia" w:ascii="Times New Roman" w:hAnsi="Times New Roman" w:eastAsia="仿宋"/>
          <w:sz w:val="32"/>
          <w:szCs w:val="32"/>
        </w:rPr>
        <w:t>，并</w:t>
      </w:r>
      <w:r>
        <w:rPr>
          <w:rFonts w:ascii="Times New Roman" w:hAnsi="Times New Roman" w:eastAsia="仿宋"/>
          <w:sz w:val="32"/>
          <w:szCs w:val="32"/>
        </w:rPr>
        <w:t>在</w:t>
      </w:r>
      <w:r>
        <w:rPr>
          <w:rFonts w:hint="eastAsia" w:ascii="Times New Roman" w:hAnsi="Times New Roman" w:eastAsia="仿宋"/>
          <w:sz w:val="32"/>
          <w:szCs w:val="32"/>
        </w:rPr>
        <w:t>5</w:t>
      </w:r>
      <w:r>
        <w:rPr>
          <w:rFonts w:ascii="Times New Roman" w:hAnsi="Times New Roman" w:eastAsia="仿宋"/>
          <w:sz w:val="32"/>
          <w:szCs w:val="32"/>
        </w:rPr>
        <w:t>个交易日</w:t>
      </w:r>
      <w:r>
        <w:rPr>
          <w:rFonts w:hint="eastAsia" w:ascii="Times New Roman" w:hAnsi="Times New Roman" w:eastAsia="仿宋"/>
          <w:sz w:val="32"/>
          <w:szCs w:val="32"/>
        </w:rPr>
        <w:t>内告知申请人</w:t>
      </w:r>
      <w:r>
        <w:rPr>
          <w:rFonts w:ascii="Times New Roman" w:hAnsi="Times New Roman" w:eastAsia="仿宋"/>
          <w:sz w:val="32"/>
          <w:szCs w:val="32"/>
        </w:rPr>
        <w:t>。</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黑体"/>
          <w:bCs/>
          <w:sz w:val="32"/>
          <w:szCs w:val="32"/>
        </w:rPr>
        <w:t>第</w:t>
      </w:r>
      <w:r>
        <w:rPr>
          <w:rFonts w:hint="eastAsia" w:ascii="Times New Roman" w:hAnsi="Times New Roman" w:eastAsia="黑体"/>
          <w:bCs/>
          <w:sz w:val="32"/>
          <w:szCs w:val="32"/>
        </w:rPr>
        <w:t>九</w:t>
      </w:r>
      <w:r>
        <w:rPr>
          <w:rFonts w:ascii="Times New Roman" w:hAnsi="Times New Roman" w:eastAsia="黑体"/>
          <w:bCs/>
          <w:sz w:val="32"/>
          <w:szCs w:val="32"/>
        </w:rPr>
        <w:t>条</w:t>
      </w:r>
      <w:r>
        <w:rPr>
          <w:rFonts w:ascii="Times New Roman" w:hAnsi="Times New Roman" w:eastAsia="仿宋"/>
          <w:b/>
          <w:sz w:val="32"/>
          <w:szCs w:val="32"/>
        </w:rPr>
        <w:t xml:space="preserve">  </w:t>
      </w:r>
      <w:r>
        <w:rPr>
          <w:rFonts w:ascii="Times New Roman" w:hAnsi="Times New Roman" w:eastAsia="仿宋"/>
          <w:sz w:val="32"/>
          <w:szCs w:val="32"/>
        </w:rPr>
        <w:t>做市商主动申请取消本所做市交易权限的，应当至少提前15个交易日书面通知本所，经本所确认后做市交易权限关闭。</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黑体"/>
          <w:bCs/>
          <w:sz w:val="32"/>
          <w:szCs w:val="32"/>
        </w:rPr>
        <w:t>第</w:t>
      </w:r>
      <w:r>
        <w:rPr>
          <w:rFonts w:hint="eastAsia" w:ascii="Times New Roman" w:hAnsi="Times New Roman" w:eastAsia="黑体"/>
          <w:bCs/>
          <w:sz w:val="32"/>
          <w:szCs w:val="32"/>
        </w:rPr>
        <w:t>十</w:t>
      </w:r>
      <w:r>
        <w:rPr>
          <w:rFonts w:ascii="Times New Roman" w:hAnsi="Times New Roman" w:eastAsia="黑体"/>
          <w:bCs/>
          <w:sz w:val="32"/>
          <w:szCs w:val="32"/>
        </w:rPr>
        <w:t>条</w:t>
      </w:r>
      <w:r>
        <w:rPr>
          <w:rFonts w:ascii="Times New Roman" w:hAnsi="Times New Roman" w:eastAsia="仿宋"/>
          <w:b/>
          <w:sz w:val="32"/>
          <w:szCs w:val="32"/>
        </w:rPr>
        <w:t xml:space="preserve">  </w:t>
      </w:r>
      <w:r>
        <w:rPr>
          <w:rFonts w:ascii="Times New Roman" w:hAnsi="Times New Roman" w:eastAsia="仿宋"/>
          <w:bCs/>
          <w:sz w:val="32"/>
          <w:szCs w:val="32"/>
        </w:rPr>
        <w:t>做市商有下列情形之一的，本所可以取消其做市交易权限，并向市场公告：</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（一）不再具备上市证券做市交易业务资格；</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（二）出现严重违法违规行为；</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（三）本所规定或者做市协议约定的其他情形。</w:t>
      </w:r>
    </w:p>
    <w:p>
      <w:pPr>
        <w:suppressAutoHyphens w:val="0"/>
        <w:autoSpaceDE w:val="0"/>
        <w:autoSpaceDN w:val="0"/>
        <w:adjustRightInd w:val="0"/>
        <w:snapToGrid w:val="0"/>
        <w:spacing w:line="600" w:lineRule="exact"/>
        <w:ind w:firstLine="640" w:firstLineChars="200"/>
        <w:rPr>
          <w:rFonts w:ascii="Times New Roman" w:hAnsi="Times New Roman" w:eastAsia="方正仿宋简体"/>
          <w:bCs/>
          <w:sz w:val="32"/>
          <w:szCs w:val="28"/>
        </w:rPr>
      </w:pPr>
      <w:r>
        <w:rPr>
          <w:rFonts w:ascii="Times New Roman" w:hAnsi="Times New Roman" w:eastAsia="仿宋"/>
          <w:bCs/>
          <w:sz w:val="32"/>
          <w:szCs w:val="32"/>
        </w:rPr>
        <w:t>做市商被取消本所做市交易权限的，1年内不得重新申请开通。</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黑体"/>
          <w:bCs/>
          <w:sz w:val="32"/>
          <w:szCs w:val="32"/>
        </w:rPr>
        <w:t>第十</w:t>
      </w:r>
      <w:r>
        <w:rPr>
          <w:rFonts w:hint="eastAsia" w:ascii="Times New Roman" w:hAnsi="Times New Roman" w:eastAsia="黑体"/>
          <w:bCs/>
          <w:sz w:val="32"/>
          <w:szCs w:val="32"/>
        </w:rPr>
        <w:t>一</w:t>
      </w:r>
      <w:r>
        <w:rPr>
          <w:rFonts w:ascii="Times New Roman" w:hAnsi="Times New Roman" w:eastAsia="黑体"/>
          <w:bCs/>
          <w:sz w:val="32"/>
          <w:szCs w:val="32"/>
        </w:rPr>
        <w:t>条</w:t>
      </w:r>
      <w:r>
        <w:rPr>
          <w:rFonts w:ascii="Times New Roman" w:hAnsi="Times New Roman" w:eastAsia="方正仿宋简体"/>
          <w:b/>
          <w:sz w:val="32"/>
          <w:szCs w:val="28"/>
        </w:rPr>
        <w:t xml:space="preserve">  </w:t>
      </w:r>
      <w:r>
        <w:rPr>
          <w:rFonts w:ascii="Times New Roman" w:hAnsi="Times New Roman" w:eastAsia="仿宋"/>
          <w:sz w:val="32"/>
          <w:szCs w:val="32"/>
        </w:rPr>
        <w:t>做市商拟加入为特定股票做市的，应当事先向本所提交申请表等本所规定的备案材料。备案材料齐备且符合要求的，本所在</w:t>
      </w:r>
      <w:r>
        <w:rPr>
          <w:rFonts w:hint="eastAsia" w:ascii="Times New Roman" w:hAnsi="Times New Roman" w:eastAsia="仿宋"/>
          <w:sz w:val="32"/>
          <w:szCs w:val="32"/>
        </w:rPr>
        <w:t>3</w:t>
      </w:r>
      <w:r>
        <w:rPr>
          <w:rFonts w:ascii="Times New Roman" w:hAnsi="Times New Roman" w:eastAsia="仿宋"/>
          <w:sz w:val="32"/>
          <w:szCs w:val="32"/>
        </w:rPr>
        <w:t>个交易日内予以备案，并通知申请人。申请人应当于收到本所备案通知当日在符合《证券法》规定的信息披露平台（以下简称规定信息披露平台）公告，自公告的次一交易日起可以为相关股票做市。</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备案材料不齐备或不符合要求的，本所不予备案，并在</w:t>
      </w:r>
      <w:r>
        <w:rPr>
          <w:rFonts w:hint="eastAsia" w:ascii="Times New Roman" w:hAnsi="Times New Roman" w:eastAsia="仿宋"/>
          <w:sz w:val="32"/>
          <w:szCs w:val="32"/>
        </w:rPr>
        <w:t>3</w:t>
      </w:r>
      <w:r>
        <w:rPr>
          <w:rFonts w:ascii="Times New Roman" w:hAnsi="Times New Roman" w:eastAsia="仿宋"/>
          <w:sz w:val="32"/>
          <w:szCs w:val="32"/>
        </w:rPr>
        <w:t>个交易日内告知申请人。</w:t>
      </w:r>
    </w:p>
    <w:p>
      <w:pPr>
        <w:suppressAutoHyphens w:val="0"/>
        <w:spacing w:line="64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在本所上市前采取做市交易方式的股票，原做市商未申请退出做市且具有经中国证监会核准的上市证券做市交易业务资格、取得本所做市交易权限的，于该股票在本所上市后继续为其提供做市服务。相关做市商应当在股票上市前一交易日在规定信息披露平台公告。</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hint="eastAsia" w:ascii="黑体" w:hAnsi="黑体" w:eastAsia="黑体"/>
          <w:bCs/>
          <w:sz w:val="32"/>
          <w:szCs w:val="32"/>
        </w:rPr>
        <w:t>第十二条</w:t>
      </w:r>
      <w:r>
        <w:rPr>
          <w:rFonts w:hint="eastAsia" w:ascii="Times New Roman" w:hAnsi="Times New Roman" w:eastAsia="仿宋"/>
          <w:b/>
          <w:bCs/>
          <w:sz w:val="32"/>
          <w:szCs w:val="32"/>
        </w:rPr>
        <w:t xml:space="preserve">  </w:t>
      </w:r>
      <w:r>
        <w:rPr>
          <w:rFonts w:hint="eastAsia" w:ascii="Times New Roman" w:hAnsi="Times New Roman" w:eastAsia="仿宋"/>
          <w:sz w:val="32"/>
          <w:szCs w:val="32"/>
        </w:rPr>
        <w:t>做市商拟主动退出为特定股票做市的，应当至少提前2个交易日通知</w:t>
      </w:r>
      <w:r>
        <w:rPr>
          <w:rFonts w:ascii="Times New Roman" w:hAnsi="Times New Roman" w:eastAsia="仿宋"/>
          <w:sz w:val="32"/>
          <w:szCs w:val="32"/>
        </w:rPr>
        <w:t>本所</w:t>
      </w:r>
      <w:r>
        <w:rPr>
          <w:rFonts w:hint="eastAsia" w:ascii="Times New Roman" w:hAnsi="Times New Roman" w:eastAsia="仿宋"/>
          <w:sz w:val="32"/>
          <w:szCs w:val="32"/>
        </w:rPr>
        <w:t>，并于收到本所确认通知当日在规定信息披露平台公告，自公告的次一交易日起可以退出为相关股票做市。</w:t>
      </w:r>
    </w:p>
    <w:p>
      <w:pPr>
        <w:suppressAutoHyphens w:val="0"/>
        <w:autoSpaceDE w:val="0"/>
        <w:autoSpaceDN w:val="0"/>
        <w:adjustRightInd w:val="0"/>
        <w:snapToGrid w:val="0"/>
        <w:spacing w:line="600" w:lineRule="exact"/>
        <w:ind w:firstLine="640" w:firstLineChars="200"/>
        <w:rPr>
          <w:rFonts w:ascii="Times New Roman" w:hAnsi="Times New Roman" w:eastAsia="方正仿宋简体" w:cs="黑体"/>
          <w:sz w:val="32"/>
          <w:szCs w:val="28"/>
        </w:rPr>
      </w:pPr>
      <w:r>
        <w:rPr>
          <w:rFonts w:ascii="Times New Roman" w:hAnsi="Times New Roman" w:eastAsia="仿宋"/>
          <w:sz w:val="32"/>
          <w:szCs w:val="32"/>
        </w:rPr>
        <w:t>做市商主动申请</w:t>
      </w:r>
      <w:r>
        <w:rPr>
          <w:rFonts w:hint="eastAsia" w:ascii="Times New Roman" w:hAnsi="Times New Roman" w:eastAsia="仿宋"/>
          <w:sz w:val="32"/>
          <w:szCs w:val="32"/>
        </w:rPr>
        <w:t>退出</w:t>
      </w:r>
      <w:r>
        <w:rPr>
          <w:rFonts w:ascii="Times New Roman" w:hAnsi="Times New Roman" w:eastAsia="仿宋"/>
          <w:sz w:val="32"/>
          <w:szCs w:val="32"/>
        </w:rPr>
        <w:t>为特定股票</w:t>
      </w:r>
      <w:r>
        <w:rPr>
          <w:rFonts w:hint="eastAsia" w:ascii="Times New Roman" w:hAnsi="Times New Roman" w:eastAsia="仿宋"/>
          <w:sz w:val="32"/>
          <w:szCs w:val="32"/>
        </w:rPr>
        <w:t>做市</w:t>
      </w:r>
      <w:r>
        <w:rPr>
          <w:rFonts w:ascii="Times New Roman" w:hAnsi="Times New Roman" w:eastAsia="仿宋"/>
          <w:sz w:val="32"/>
          <w:szCs w:val="32"/>
        </w:rPr>
        <w:t>的，退出后6个月内不得重新申请为同一只股票做市</w:t>
      </w:r>
      <w:r>
        <w:rPr>
          <w:rFonts w:hint="eastAsia" w:ascii="Times New Roman" w:hAnsi="Times New Roman" w:eastAsia="仿宋"/>
          <w:sz w:val="32"/>
          <w:szCs w:val="32"/>
        </w:rPr>
        <w:t>；</w:t>
      </w:r>
      <w:r>
        <w:rPr>
          <w:rFonts w:ascii="Times New Roman" w:hAnsi="Times New Roman" w:eastAsia="仿宋"/>
          <w:sz w:val="32"/>
          <w:szCs w:val="32"/>
        </w:rPr>
        <w:t>做市商主动申请</w:t>
      </w:r>
      <w:r>
        <w:rPr>
          <w:rFonts w:hint="eastAsia" w:ascii="Times New Roman" w:hAnsi="Times New Roman" w:eastAsia="仿宋"/>
          <w:sz w:val="32"/>
          <w:szCs w:val="32"/>
        </w:rPr>
        <w:t>退出</w:t>
      </w:r>
      <w:r>
        <w:rPr>
          <w:rFonts w:ascii="Times New Roman" w:hAnsi="Times New Roman" w:eastAsia="仿宋"/>
          <w:sz w:val="32"/>
          <w:szCs w:val="32"/>
        </w:rPr>
        <w:t>为所有股票做市的，退出后1年内不得重新申请为本所任一股票做市。</w:t>
      </w:r>
    </w:p>
    <w:p>
      <w:pPr>
        <w:numPr>
          <w:ilvl w:val="0"/>
          <w:numId w:val="2"/>
        </w:numPr>
        <w:suppressAutoHyphens w:val="0"/>
        <w:autoSpaceDE w:val="0"/>
        <w:autoSpaceDN w:val="0"/>
        <w:adjustRightInd w:val="0"/>
        <w:snapToGrid w:val="0"/>
        <w:spacing w:line="600" w:lineRule="exact"/>
        <w:ind w:firstLine="642" w:firstLineChars="200"/>
        <w:rPr>
          <w:rFonts w:ascii="Times New Roman" w:hAnsi="Times New Roman" w:eastAsia="仿宋"/>
          <w:sz w:val="32"/>
          <w:szCs w:val="32"/>
        </w:rPr>
      </w:pPr>
      <w:r>
        <w:rPr>
          <w:rFonts w:ascii="Times New Roman" w:hAnsi="Times New Roman" w:eastAsia="仿宋"/>
          <w:b/>
          <w:bCs/>
          <w:sz w:val="32"/>
          <w:szCs w:val="32"/>
        </w:rPr>
        <w:t xml:space="preserve"> </w:t>
      </w:r>
      <w:r>
        <w:rPr>
          <w:rFonts w:hint="eastAsia" w:ascii="Times New Roman" w:hAnsi="Times New Roman" w:eastAsia="仿宋"/>
          <w:sz w:val="32"/>
          <w:szCs w:val="32"/>
        </w:rPr>
        <w:t>做市商加入或退出为特定股票做市的，应当按照本所和证券登记结算机构的规定，及时办理股票在做市专用证券账户和自营账户之间的划转。</w:t>
      </w:r>
    </w:p>
    <w:p>
      <w:pPr>
        <w:suppressAutoHyphens w:val="0"/>
        <w:autoSpaceDE w:val="0"/>
        <w:autoSpaceDN w:val="0"/>
        <w:adjustRightInd w:val="0"/>
        <w:snapToGrid w:val="0"/>
        <w:spacing w:before="240" w:after="240" w:line="600" w:lineRule="exact"/>
        <w:jc w:val="center"/>
        <w:outlineLvl w:val="0"/>
        <w:rPr>
          <w:rFonts w:ascii="Times New Roman" w:hAnsi="Times New Roman" w:eastAsia="黑体"/>
          <w:kern w:val="44"/>
          <w:sz w:val="32"/>
        </w:rPr>
      </w:pPr>
      <w:r>
        <w:rPr>
          <w:rFonts w:ascii="Times New Roman" w:hAnsi="Times New Roman" w:eastAsia="黑体"/>
          <w:kern w:val="44"/>
          <w:sz w:val="32"/>
        </w:rPr>
        <w:t xml:space="preserve">第三章  </w:t>
      </w:r>
      <w:r>
        <w:rPr>
          <w:rFonts w:hint="eastAsia" w:ascii="Times New Roman" w:hAnsi="Times New Roman" w:eastAsia="黑体"/>
          <w:kern w:val="44"/>
          <w:sz w:val="32"/>
        </w:rPr>
        <w:t>做市商权利与义务</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w:t>
      </w:r>
      <w:r>
        <w:rPr>
          <w:rFonts w:hint="eastAsia" w:ascii="黑体" w:hAnsi="黑体" w:eastAsia="黑体"/>
          <w:sz w:val="32"/>
          <w:szCs w:val="28"/>
        </w:rPr>
        <w:t>十四</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做市商开展</w:t>
      </w:r>
      <w:r>
        <w:rPr>
          <w:rFonts w:hint="eastAsia" w:ascii="Times New Roman" w:hAnsi="Times New Roman" w:eastAsia="仿宋"/>
          <w:sz w:val="32"/>
          <w:szCs w:val="32"/>
        </w:rPr>
        <w:t>做市交易业务</w:t>
      </w:r>
      <w:r>
        <w:rPr>
          <w:rFonts w:ascii="Times New Roman" w:hAnsi="Times New Roman" w:eastAsia="仿宋"/>
          <w:sz w:val="32"/>
          <w:szCs w:val="32"/>
        </w:rPr>
        <w:t>，应当通过专用证券账户和专用交易单元进行。做市专用证券账户应当向本所报备。</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做市商不得利用做市专用证券账户开展非</w:t>
      </w:r>
      <w:r>
        <w:rPr>
          <w:rFonts w:hint="eastAsia" w:ascii="Times New Roman" w:hAnsi="Times New Roman" w:eastAsia="仿宋"/>
          <w:sz w:val="32"/>
          <w:szCs w:val="32"/>
        </w:rPr>
        <w:t>做市交易业务，中国证监会及本所另有规定的除外。</w:t>
      </w:r>
    </w:p>
    <w:p>
      <w:pPr>
        <w:suppressAutoHyphens w:val="0"/>
        <w:autoSpaceDE w:val="0"/>
        <w:autoSpaceDN w:val="0"/>
        <w:adjustRightInd w:val="0"/>
        <w:snapToGrid w:val="0"/>
        <w:spacing w:line="600" w:lineRule="exact"/>
        <w:ind w:firstLine="640" w:firstLineChars="200"/>
        <w:rPr>
          <w:rFonts w:ascii="Times New Roman" w:hAnsi="Times New Roman" w:eastAsia="方正仿宋简体" w:cs="黑体"/>
          <w:strike/>
          <w:sz w:val="32"/>
          <w:szCs w:val="28"/>
        </w:rPr>
      </w:pPr>
      <w:r>
        <w:rPr>
          <w:rFonts w:ascii="黑体" w:hAnsi="黑体" w:eastAsia="黑体"/>
          <w:sz w:val="32"/>
          <w:szCs w:val="28"/>
        </w:rPr>
        <w:t>第十</w:t>
      </w:r>
      <w:r>
        <w:rPr>
          <w:rFonts w:hint="eastAsia" w:ascii="黑体" w:hAnsi="黑体" w:eastAsia="黑体"/>
          <w:sz w:val="32"/>
          <w:szCs w:val="28"/>
        </w:rPr>
        <w:t>五</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本所可以根据业务开展情况和市场需求，规定特定股票做市商数量和做市商最低做市期限。</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第十</w:t>
      </w:r>
      <w:r>
        <w:rPr>
          <w:rFonts w:hint="eastAsia" w:ascii="黑体" w:hAnsi="黑体" w:eastAsia="黑体"/>
          <w:sz w:val="32"/>
          <w:szCs w:val="28"/>
        </w:rPr>
        <w:t>六</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做市商</w:t>
      </w:r>
      <w:r>
        <w:rPr>
          <w:rFonts w:hint="eastAsia" w:ascii="Times New Roman" w:hAnsi="Times New Roman" w:eastAsia="仿宋"/>
          <w:sz w:val="32"/>
          <w:szCs w:val="32"/>
        </w:rPr>
        <w:t>开展做市交易业务，可</w:t>
      </w:r>
      <w:r>
        <w:rPr>
          <w:rFonts w:ascii="Times New Roman" w:hAnsi="Times New Roman" w:eastAsia="仿宋"/>
          <w:sz w:val="32"/>
          <w:szCs w:val="32"/>
        </w:rPr>
        <w:t>使用自有股票、</w:t>
      </w:r>
      <w:r>
        <w:rPr>
          <w:rFonts w:hint="eastAsia" w:ascii="Times New Roman" w:hAnsi="Times New Roman" w:eastAsia="仿宋"/>
          <w:sz w:val="32"/>
          <w:szCs w:val="32"/>
        </w:rPr>
        <w:t>从中国证券金融股份有限公司</w:t>
      </w:r>
      <w:r>
        <w:rPr>
          <w:rFonts w:ascii="Times New Roman" w:hAnsi="Times New Roman" w:eastAsia="仿宋"/>
          <w:sz w:val="32"/>
          <w:szCs w:val="32"/>
        </w:rPr>
        <w:t>借入的股票或者</w:t>
      </w:r>
      <w:r>
        <w:rPr>
          <w:rFonts w:hint="eastAsia" w:ascii="Times New Roman" w:hAnsi="Times New Roman" w:eastAsia="仿宋"/>
          <w:sz w:val="32"/>
          <w:szCs w:val="32"/>
        </w:rPr>
        <w:t>其他有权处分的股票</w:t>
      </w:r>
      <w:r>
        <w:rPr>
          <w:rFonts w:ascii="Times New Roman" w:hAnsi="Times New Roman" w:eastAsia="仿宋"/>
          <w:sz w:val="32"/>
          <w:szCs w:val="32"/>
        </w:rPr>
        <w:t>。</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第十</w:t>
      </w:r>
      <w:r>
        <w:rPr>
          <w:rFonts w:hint="eastAsia" w:ascii="黑体" w:hAnsi="黑体" w:eastAsia="黑体"/>
          <w:sz w:val="32"/>
          <w:szCs w:val="28"/>
        </w:rPr>
        <w:t>七</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做市商通过做市专用证券账户持有的上市公司股份原则上应当不超过上市公司已发行股份的5%。</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做市商通过做市专用证券账户持有的股份，参照自营持有股份，纳入证券公司持有同一上市公司股份数量合并计算</w:t>
      </w:r>
      <w:r>
        <w:rPr>
          <w:rFonts w:hint="eastAsia" w:ascii="Times New Roman" w:hAnsi="Times New Roman" w:eastAsia="仿宋"/>
          <w:sz w:val="32"/>
          <w:szCs w:val="32"/>
        </w:rPr>
        <w:t>，适用权益变动披露及短线交易等相关规定</w:t>
      </w:r>
      <w:r>
        <w:rPr>
          <w:rFonts w:ascii="Times New Roman" w:hAnsi="Times New Roman" w:eastAsia="仿宋"/>
          <w:sz w:val="32"/>
          <w:szCs w:val="32"/>
        </w:rPr>
        <w:t>。</w:t>
      </w:r>
    </w:p>
    <w:p>
      <w:pPr>
        <w:suppressAutoHyphens w:val="0"/>
        <w:autoSpaceDE w:val="0"/>
        <w:autoSpaceDN w:val="0"/>
        <w:adjustRightInd w:val="0"/>
        <w:snapToGrid w:val="0"/>
        <w:spacing w:line="600" w:lineRule="exact"/>
        <w:ind w:firstLine="640" w:firstLineChars="200"/>
        <w:rPr>
          <w:rFonts w:ascii="Times New Roman" w:hAnsi="Times New Roman" w:eastAsia="仿宋"/>
          <w:b/>
          <w:bCs/>
          <w:sz w:val="32"/>
          <w:szCs w:val="32"/>
        </w:rPr>
      </w:pPr>
      <w:r>
        <w:rPr>
          <w:rFonts w:ascii="黑体" w:hAnsi="黑体" w:eastAsia="黑体"/>
          <w:sz w:val="32"/>
          <w:szCs w:val="28"/>
        </w:rPr>
        <w:t>第十</w:t>
      </w:r>
      <w:r>
        <w:rPr>
          <w:rFonts w:hint="eastAsia" w:ascii="黑体" w:hAnsi="黑体" w:eastAsia="黑体"/>
          <w:sz w:val="32"/>
          <w:szCs w:val="28"/>
        </w:rPr>
        <w:t>八</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做市商可以采用限价申报和市价申报的方式进行做市报价。</w:t>
      </w:r>
    </w:p>
    <w:p>
      <w:pPr>
        <w:suppressAutoHyphens w:val="0"/>
        <w:autoSpaceDE w:val="0"/>
        <w:autoSpaceDN w:val="0"/>
        <w:adjustRightInd w:val="0"/>
        <w:snapToGrid w:val="0"/>
        <w:spacing w:line="600" w:lineRule="exact"/>
        <w:ind w:firstLine="640" w:firstLineChars="200"/>
        <w:rPr>
          <w:rFonts w:ascii="Times New Roman" w:hAnsi="Times New Roman" w:eastAsia="仿宋"/>
          <w:b/>
          <w:bCs/>
          <w:sz w:val="32"/>
          <w:szCs w:val="32"/>
        </w:rPr>
      </w:pPr>
      <w:r>
        <w:rPr>
          <w:rFonts w:ascii="黑体" w:hAnsi="黑体" w:eastAsia="黑体"/>
          <w:sz w:val="32"/>
          <w:szCs w:val="28"/>
        </w:rPr>
        <w:t>第十</w:t>
      </w:r>
      <w:r>
        <w:rPr>
          <w:rFonts w:hint="eastAsia" w:ascii="黑体" w:hAnsi="黑体" w:eastAsia="黑体"/>
          <w:sz w:val="32"/>
          <w:szCs w:val="28"/>
        </w:rPr>
        <w:t>九</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做市商买卖双向各自累计申报数量应当不低于1000股。</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w:t>
      </w:r>
      <w:r>
        <w:rPr>
          <w:rFonts w:hint="eastAsia" w:ascii="黑体" w:hAnsi="黑体" w:eastAsia="黑体"/>
          <w:sz w:val="32"/>
          <w:szCs w:val="28"/>
        </w:rPr>
        <w:t>二十</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连续竞价时段，做市商在符合最低申报数量的报价上的买卖价差应不超过2%或两个最小价格变动单位（孰高为准）。集合竞价时段，做市商在符合最低申报数量的报价上的买卖价差应不超过3%或两个最小价格变动单位（孰高为准）。</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买卖价差的计算公式为：买卖价差=（符合最低申报数量的卖出价格-符合最低申报数量的买入价格）/符合最低申报数量的卖出价格×100%。</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黑体"/>
          <w:sz w:val="32"/>
          <w:szCs w:val="28"/>
        </w:rPr>
        <w:t>第二十</w:t>
      </w:r>
      <w:r>
        <w:rPr>
          <w:rFonts w:hint="eastAsia" w:ascii="Times New Roman" w:hAnsi="Times New Roman" w:eastAsia="黑体"/>
          <w:sz w:val="32"/>
          <w:szCs w:val="28"/>
        </w:rPr>
        <w:t>一</w:t>
      </w:r>
      <w:r>
        <w:rPr>
          <w:rFonts w:ascii="Times New Roman" w:hAnsi="Times New Roman"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做市商参与开盘集合竞价，应当于9:20前发布有效报价。开盘集合竞价时段做市商的有效报价参与天数应当不少于该只股票当月可交易天数的50%。</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做市商参与收盘集合竞价，应当于14:58前发布有效报价。收盘集合竞价时段做市商的有效报价参与天数应当不少于该只股票当月可交易天数的70%。</w:t>
      </w:r>
    </w:p>
    <w:p>
      <w:pPr>
        <w:suppressAutoHyphens w:val="0"/>
        <w:autoSpaceDE w:val="0"/>
        <w:autoSpaceDN w:val="0"/>
        <w:adjustRightInd w:val="0"/>
        <w:snapToGrid w:val="0"/>
        <w:spacing w:line="600" w:lineRule="exact"/>
        <w:ind w:firstLine="640" w:firstLineChars="200"/>
        <w:rPr>
          <w:rFonts w:ascii="Times New Roman" w:hAnsi="Times New Roman" w:eastAsia="方正仿宋简体"/>
          <w:szCs w:val="21"/>
        </w:rPr>
      </w:pPr>
      <w:r>
        <w:rPr>
          <w:rFonts w:ascii="Times New Roman" w:hAnsi="Times New Roman" w:eastAsia="仿宋"/>
          <w:sz w:val="32"/>
          <w:szCs w:val="32"/>
        </w:rPr>
        <w:t>连续竞价期间，做市商有效报价时长应当不低于连续竞价交易时长的90%。做市商成交后报价不符合有效报价要求，但在2分钟内恢复有效报价的，补充报价时间计入有效报价时长。</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黑体" w:hAnsi="黑体" w:eastAsia="黑体"/>
          <w:sz w:val="32"/>
          <w:szCs w:val="28"/>
        </w:rPr>
        <w:t>第二十</w:t>
      </w:r>
      <w:r>
        <w:rPr>
          <w:rFonts w:hint="eastAsia" w:ascii="黑体" w:hAnsi="黑体" w:eastAsia="黑体"/>
          <w:sz w:val="32"/>
          <w:szCs w:val="28"/>
        </w:rPr>
        <w:t>二</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bCs/>
          <w:sz w:val="32"/>
          <w:szCs w:val="32"/>
        </w:rPr>
        <w:t>本所可以根据市场情况，对第</w:t>
      </w:r>
      <w:r>
        <w:rPr>
          <w:rFonts w:hint="eastAsia" w:ascii="Times New Roman" w:hAnsi="Times New Roman" w:eastAsia="仿宋"/>
          <w:bCs/>
          <w:sz w:val="32"/>
          <w:szCs w:val="32"/>
        </w:rPr>
        <w:t>十九</w:t>
      </w:r>
      <w:r>
        <w:rPr>
          <w:rFonts w:ascii="Times New Roman" w:hAnsi="Times New Roman" w:eastAsia="仿宋"/>
          <w:bCs/>
          <w:sz w:val="32"/>
          <w:szCs w:val="32"/>
        </w:rPr>
        <w:t>条至第</w:t>
      </w:r>
      <w:r>
        <w:rPr>
          <w:rFonts w:hint="eastAsia" w:ascii="Times New Roman" w:hAnsi="Times New Roman" w:eastAsia="仿宋"/>
          <w:bCs/>
          <w:sz w:val="32"/>
          <w:szCs w:val="32"/>
        </w:rPr>
        <w:t>二十一</w:t>
      </w:r>
      <w:r>
        <w:rPr>
          <w:rFonts w:ascii="Times New Roman" w:hAnsi="Times New Roman" w:eastAsia="仿宋"/>
          <w:bCs/>
          <w:sz w:val="32"/>
          <w:szCs w:val="32"/>
        </w:rPr>
        <w:t>条的做市报价指标进行调整。</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黑体" w:hAnsi="黑体" w:eastAsia="黑体"/>
          <w:sz w:val="32"/>
          <w:szCs w:val="28"/>
        </w:rPr>
        <w:t>第二十</w:t>
      </w:r>
      <w:r>
        <w:rPr>
          <w:rFonts w:hint="eastAsia" w:ascii="黑体" w:hAnsi="黑体" w:eastAsia="黑体"/>
          <w:sz w:val="32"/>
          <w:szCs w:val="28"/>
        </w:rPr>
        <w:t>三</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bCs/>
          <w:sz w:val="32"/>
          <w:szCs w:val="32"/>
        </w:rPr>
        <w:t>出现下列情形之一的，相应豁免做市商的做市报价义务：</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（一）最优买价为涨停价或最优卖价为跌停价的；</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（二）股票处于盘中临时停牌期间的；</w:t>
      </w:r>
    </w:p>
    <w:p>
      <w:pPr>
        <w:suppressAutoHyphens w:val="0"/>
        <w:autoSpaceDE w:val="0"/>
        <w:autoSpaceDN w:val="0"/>
        <w:adjustRightInd w:val="0"/>
        <w:snapToGrid w:val="0"/>
        <w:spacing w:line="600" w:lineRule="exact"/>
        <w:ind w:firstLine="640" w:firstLineChars="200"/>
        <w:rPr>
          <w:rFonts w:ascii="Times New Roman" w:hAnsi="Times New Roman"/>
          <w:color w:val="000000"/>
          <w:kern w:val="0"/>
          <w:sz w:val="32"/>
          <w:szCs w:val="32"/>
        </w:rPr>
      </w:pPr>
      <w:r>
        <w:rPr>
          <w:rFonts w:ascii="Times New Roman" w:hAnsi="Times New Roman" w:eastAsia="仿宋"/>
          <w:bCs/>
          <w:sz w:val="32"/>
          <w:szCs w:val="32"/>
        </w:rPr>
        <w:t>（三）</w:t>
      </w:r>
      <w:r>
        <w:rPr>
          <w:rFonts w:hint="eastAsia" w:ascii="仿宋" w:hAnsi="仿宋" w:eastAsia="仿宋"/>
          <w:color w:val="000000"/>
          <w:sz w:val="32"/>
          <w:szCs w:val="32"/>
        </w:rPr>
        <w:t>公开发行股票采用超额配售选择权的，被授权的主承销商自股票在本所上市之日起</w:t>
      </w:r>
      <w:r>
        <w:rPr>
          <w:rFonts w:ascii="Times New Roman" w:hAnsi="Times New Roman" w:eastAsia="方正仿宋简体"/>
          <w:color w:val="000000"/>
          <w:sz w:val="32"/>
          <w:szCs w:val="32"/>
        </w:rPr>
        <w:t>30</w:t>
      </w:r>
      <w:r>
        <w:rPr>
          <w:rFonts w:hint="eastAsia" w:ascii="仿宋" w:hAnsi="仿宋" w:eastAsia="仿宋"/>
          <w:color w:val="000000"/>
          <w:sz w:val="32"/>
          <w:szCs w:val="32"/>
        </w:rPr>
        <w:t>个自然日内免于履行报价义务,已披露累计购回股票数量达到采用超额配售选择权发行股票数量限额公告的除外；</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（四）做市商持有库存股票不足最低报价数量要求的，可以免于履行卖出报价义务，但应在该情形发生后的次一交易日内恢复双向报价；</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（五）本所认定的其他情形。</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前款第（一）项至第（三）项情形消失后，做市商应当立即恢复做市报价。</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第二十</w:t>
      </w:r>
      <w:r>
        <w:rPr>
          <w:rFonts w:hint="eastAsia" w:ascii="黑体" w:hAnsi="黑体" w:eastAsia="黑体"/>
          <w:sz w:val="32"/>
          <w:szCs w:val="28"/>
        </w:rPr>
        <w:t>四</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发生下列情形之一的，本所可根据市场情况或做市商申请，相应豁免做市商做市报价义务：</w:t>
      </w:r>
    </w:p>
    <w:p>
      <w:pPr>
        <w:numPr>
          <w:ilvl w:val="0"/>
          <w:numId w:val="3"/>
        </w:num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发生上市公司就可能被实施退市风险警示、可能被终止上市或主动终止上市等情形作出相关公告，或本所对上市公司股票实施退市风险警示等情形时，本所可以根据做市商申请决定豁免做市商做市报价义务；</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sz w:val="32"/>
          <w:szCs w:val="32"/>
        </w:rPr>
        <w:t>（二）做市商因系统升级等导致无法履行做市报价义务的，应提前至少1个交易日向本所提出申请，</w:t>
      </w:r>
      <w:r>
        <w:rPr>
          <w:rFonts w:ascii="Times New Roman" w:hAnsi="Times New Roman" w:eastAsia="仿宋"/>
          <w:bCs/>
          <w:sz w:val="32"/>
          <w:szCs w:val="32"/>
        </w:rPr>
        <w:t>本所可以根据做市商申请决定豁免做市商报价义务；</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（三）因不可抗力、意外事件或者重大技术故障等导致做市商无法继续履行做市报价义务，本所可以根据做市商申请或市场情况决定豁免做市商做市报价义务。</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做市商因上述情形豁免</w:t>
      </w:r>
      <w:r>
        <w:rPr>
          <w:rFonts w:ascii="Times New Roman" w:hAnsi="Times New Roman" w:eastAsia="仿宋"/>
          <w:sz w:val="32"/>
          <w:szCs w:val="32"/>
        </w:rPr>
        <w:t>做市报价义务的，</w:t>
      </w:r>
      <w:r>
        <w:rPr>
          <w:rFonts w:ascii="Times New Roman" w:hAnsi="Times New Roman" w:eastAsia="仿宋"/>
          <w:bCs/>
          <w:sz w:val="32"/>
          <w:szCs w:val="32"/>
        </w:rPr>
        <w:t>应于接到本所通知后，通过</w:t>
      </w:r>
      <w:r>
        <w:rPr>
          <w:rFonts w:ascii="Times New Roman" w:hAnsi="Times New Roman" w:eastAsia="仿宋"/>
          <w:sz w:val="32"/>
          <w:szCs w:val="32"/>
        </w:rPr>
        <w:t>规定信息披露平台</w:t>
      </w:r>
      <w:r>
        <w:rPr>
          <w:rFonts w:ascii="Times New Roman" w:hAnsi="Times New Roman" w:eastAsia="仿宋"/>
          <w:bCs/>
          <w:sz w:val="32"/>
          <w:szCs w:val="32"/>
        </w:rPr>
        <w:t>向市场公告。上述情形消失后，做市商应当立即恢复做市报价。</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第二十</w:t>
      </w:r>
      <w:r>
        <w:rPr>
          <w:rFonts w:hint="eastAsia" w:ascii="黑体" w:hAnsi="黑体" w:eastAsia="黑体"/>
          <w:sz w:val="32"/>
          <w:szCs w:val="28"/>
        </w:rPr>
        <w:t>五</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本所根据做市指标、做市绩效和监管合规等情况，定期开展做市商评价，并向市场公告。市场出现剧烈波动或者其他特殊情况的，本所可以决定在特定周期内不对做市商的做市情况进行评价，并向市场公告。</w:t>
      </w:r>
    </w:p>
    <w:p>
      <w:pPr>
        <w:suppressAutoHyphens w:val="0"/>
        <w:autoSpaceDE w:val="0"/>
        <w:autoSpaceDN w:val="0"/>
        <w:adjustRightInd w:val="0"/>
        <w:snapToGrid w:val="0"/>
        <w:spacing w:line="600" w:lineRule="exact"/>
        <w:ind w:firstLine="640" w:firstLineChars="200"/>
        <w:rPr>
          <w:rFonts w:ascii="Times New Roman" w:hAnsi="Times New Roman" w:eastAsia="仿宋"/>
          <w:bCs/>
          <w:sz w:val="32"/>
          <w:szCs w:val="32"/>
        </w:rPr>
      </w:pPr>
      <w:r>
        <w:rPr>
          <w:rFonts w:ascii="黑体" w:hAnsi="黑体" w:eastAsia="黑体"/>
          <w:sz w:val="32"/>
          <w:szCs w:val="28"/>
        </w:rPr>
        <w:t>第二十</w:t>
      </w:r>
      <w:r>
        <w:rPr>
          <w:rFonts w:hint="eastAsia" w:ascii="黑体" w:hAnsi="黑体" w:eastAsia="黑体"/>
          <w:sz w:val="32"/>
          <w:szCs w:val="28"/>
        </w:rPr>
        <w:t>六</w:t>
      </w:r>
      <w:r>
        <w:rPr>
          <w:rFonts w:ascii="黑体" w:hAnsi="黑体" w:eastAsia="黑体"/>
          <w:sz w:val="32"/>
          <w:szCs w:val="28"/>
        </w:rPr>
        <w:t>条</w:t>
      </w:r>
      <w:r>
        <w:rPr>
          <w:rFonts w:ascii="Times New Roman" w:hAnsi="Times New Roman" w:eastAsia="仿宋"/>
          <w:b/>
          <w:bCs/>
          <w:sz w:val="32"/>
          <w:szCs w:val="32"/>
        </w:rPr>
        <w:t xml:space="preserve">  </w:t>
      </w:r>
      <w:r>
        <w:rPr>
          <w:rFonts w:hint="eastAsia" w:ascii="Times New Roman" w:hAnsi="Times New Roman" w:eastAsia="仿宋"/>
          <w:bCs/>
          <w:sz w:val="32"/>
          <w:szCs w:val="32"/>
        </w:rPr>
        <w:t>本所可以根据做市商评价结果，对积极开展做市交易业务的做市商给予适当的交易费用减免和激励。</w:t>
      </w:r>
    </w:p>
    <w:p>
      <w:pPr>
        <w:suppressAutoHyphens w:val="0"/>
        <w:autoSpaceDE w:val="0"/>
        <w:autoSpaceDN w:val="0"/>
        <w:adjustRightInd w:val="0"/>
        <w:snapToGrid w:val="0"/>
        <w:spacing w:before="240" w:after="240" w:line="600" w:lineRule="exact"/>
        <w:jc w:val="center"/>
        <w:outlineLvl w:val="0"/>
        <w:rPr>
          <w:rFonts w:ascii="Times New Roman" w:hAnsi="Times New Roman" w:eastAsia="黑体"/>
          <w:kern w:val="44"/>
          <w:sz w:val="32"/>
        </w:rPr>
      </w:pPr>
      <w:r>
        <w:rPr>
          <w:rFonts w:ascii="Times New Roman" w:hAnsi="Times New Roman" w:eastAsia="黑体"/>
          <w:kern w:val="44"/>
          <w:sz w:val="32"/>
        </w:rPr>
        <w:t>第四章  监督管理</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第二十</w:t>
      </w:r>
      <w:r>
        <w:rPr>
          <w:rFonts w:hint="eastAsia" w:ascii="黑体" w:hAnsi="黑体" w:eastAsia="黑体"/>
          <w:sz w:val="32"/>
          <w:szCs w:val="28"/>
        </w:rPr>
        <w:t>七</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做市商应当建立风险防范与业务隔离制度，将</w:t>
      </w:r>
      <w:r>
        <w:rPr>
          <w:rFonts w:hint="eastAsia" w:ascii="Times New Roman" w:hAnsi="Times New Roman" w:eastAsia="仿宋"/>
          <w:sz w:val="32"/>
          <w:szCs w:val="32"/>
        </w:rPr>
        <w:t>做市交易业务</w:t>
      </w:r>
      <w:r>
        <w:rPr>
          <w:rFonts w:ascii="Times New Roman" w:hAnsi="Times New Roman" w:eastAsia="仿宋"/>
          <w:sz w:val="32"/>
          <w:szCs w:val="32"/>
        </w:rPr>
        <w:t>与可能存在利益冲突的业务进行有效隔离，防止敏感信息的不当流动和滥用。做市商不得利用</w:t>
      </w:r>
      <w:r>
        <w:rPr>
          <w:rFonts w:hint="eastAsia" w:ascii="Times New Roman" w:hAnsi="Times New Roman" w:eastAsia="仿宋"/>
          <w:sz w:val="32"/>
          <w:szCs w:val="32"/>
        </w:rPr>
        <w:t>做市交易业务</w:t>
      </w:r>
      <w:r>
        <w:rPr>
          <w:rFonts w:ascii="Times New Roman" w:hAnsi="Times New Roman" w:eastAsia="仿宋"/>
          <w:sz w:val="32"/>
          <w:szCs w:val="32"/>
        </w:rPr>
        <w:t>谋取不正当利益、损害投资者合法权益。</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第二十</w:t>
      </w:r>
      <w:r>
        <w:rPr>
          <w:rFonts w:hint="eastAsia" w:ascii="黑体" w:hAnsi="黑体" w:eastAsia="黑体"/>
          <w:sz w:val="32"/>
          <w:szCs w:val="28"/>
        </w:rPr>
        <w:t>八</w:t>
      </w:r>
      <w:r>
        <w:rPr>
          <w:rFonts w:ascii="黑体" w:hAnsi="黑体" w:eastAsia="黑体"/>
          <w:sz w:val="32"/>
          <w:szCs w:val="28"/>
        </w:rPr>
        <w:t>条</w:t>
      </w:r>
      <w:r>
        <w:rPr>
          <w:rFonts w:hint="eastAsia" w:ascii="Times New Roman" w:hAnsi="Times New Roman" w:eastAsia="仿宋"/>
          <w:b/>
          <w:bCs/>
          <w:sz w:val="32"/>
          <w:szCs w:val="32"/>
        </w:rPr>
        <w:t xml:space="preserve">  </w:t>
      </w:r>
      <w:r>
        <w:rPr>
          <w:rFonts w:hint="eastAsia" w:ascii="Times New Roman" w:hAnsi="Times New Roman" w:eastAsia="仿宋"/>
          <w:sz w:val="32"/>
          <w:szCs w:val="32"/>
        </w:rPr>
        <w:t>做市商应当建立健全异常交易监控机制，制定完善成交金额占比控制、反向交易金额占比和撤单占比监控、委托价格限制、股价异常波动处理等措施，防止对市场稳定造成影响。</w:t>
      </w:r>
    </w:p>
    <w:p>
      <w:pPr>
        <w:suppressAutoHyphens w:val="0"/>
        <w:autoSpaceDE w:val="0"/>
        <w:autoSpaceDN w:val="0"/>
        <w:adjustRightInd w:val="0"/>
        <w:snapToGrid w:val="0"/>
        <w:spacing w:line="600" w:lineRule="exact"/>
        <w:ind w:firstLine="640" w:firstLineChars="200"/>
        <w:rPr>
          <w:rFonts w:ascii="Times New Roman" w:hAnsi="Times New Roman" w:eastAsia="仿宋"/>
          <w:b/>
          <w:bCs/>
          <w:sz w:val="32"/>
          <w:szCs w:val="32"/>
        </w:rPr>
      </w:pPr>
      <w:r>
        <w:rPr>
          <w:rFonts w:ascii="黑体" w:hAnsi="黑体" w:eastAsia="黑体"/>
          <w:sz w:val="32"/>
          <w:szCs w:val="28"/>
        </w:rPr>
        <w:t>第</w:t>
      </w:r>
      <w:r>
        <w:rPr>
          <w:rFonts w:hint="eastAsia" w:ascii="黑体" w:hAnsi="黑体" w:eastAsia="黑体"/>
          <w:sz w:val="32"/>
          <w:szCs w:val="28"/>
        </w:rPr>
        <w:t>二十九</w:t>
      </w:r>
      <w:r>
        <w:rPr>
          <w:rFonts w:ascii="黑体" w:hAnsi="黑体" w:eastAsia="黑体"/>
          <w:sz w:val="32"/>
          <w:szCs w:val="28"/>
        </w:rPr>
        <w:t>条</w:t>
      </w:r>
      <w:r>
        <w:rPr>
          <w:rFonts w:ascii="Times New Roman" w:hAnsi="Times New Roman" w:eastAsia="仿宋"/>
          <w:b/>
          <w:bCs/>
          <w:sz w:val="32"/>
          <w:szCs w:val="32"/>
        </w:rPr>
        <w:t xml:space="preserve">  </w:t>
      </w:r>
      <w:r>
        <w:rPr>
          <w:rFonts w:hint="eastAsia" w:ascii="Times New Roman" w:hAnsi="Times New Roman" w:eastAsia="仿宋"/>
          <w:bCs/>
          <w:sz w:val="32"/>
          <w:szCs w:val="32"/>
        </w:rPr>
        <w:t>做市商应当向本所报送股票做市交易业务月度报告、年度报告和季度压力测试报告，以及中国证监会和本所规定的其他材料。</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做市商发生</w:t>
      </w:r>
      <w:r>
        <w:rPr>
          <w:rFonts w:hint="eastAsia" w:ascii="Times New Roman" w:hAnsi="Times New Roman" w:eastAsia="仿宋"/>
          <w:sz w:val="32"/>
          <w:szCs w:val="32"/>
        </w:rPr>
        <w:t>无法正常</w:t>
      </w:r>
      <w:r>
        <w:rPr>
          <w:rFonts w:ascii="Times New Roman" w:hAnsi="Times New Roman" w:eastAsia="仿宋"/>
          <w:sz w:val="32"/>
          <w:szCs w:val="32"/>
        </w:rPr>
        <w:t>履行做市报价义务、出现重大业务差错</w:t>
      </w:r>
      <w:r>
        <w:rPr>
          <w:rFonts w:hint="eastAsia" w:ascii="Times New Roman" w:hAnsi="Times New Roman" w:eastAsia="仿宋"/>
          <w:sz w:val="32"/>
          <w:szCs w:val="32"/>
        </w:rPr>
        <w:t>、负责做市交易业务</w:t>
      </w:r>
      <w:r>
        <w:rPr>
          <w:rFonts w:ascii="Times New Roman" w:hAnsi="Times New Roman" w:eastAsia="仿宋"/>
          <w:sz w:val="32"/>
          <w:szCs w:val="32"/>
        </w:rPr>
        <w:t>的</w:t>
      </w:r>
      <w:r>
        <w:rPr>
          <w:rFonts w:hint="eastAsia" w:ascii="Times New Roman" w:hAnsi="Times New Roman" w:eastAsia="仿宋"/>
          <w:sz w:val="32"/>
          <w:szCs w:val="32"/>
        </w:rPr>
        <w:t>高级管理</w:t>
      </w:r>
      <w:r>
        <w:rPr>
          <w:rFonts w:ascii="Times New Roman" w:hAnsi="Times New Roman" w:eastAsia="仿宋"/>
          <w:sz w:val="32"/>
          <w:szCs w:val="32"/>
        </w:rPr>
        <w:t>人员</w:t>
      </w:r>
      <w:r>
        <w:rPr>
          <w:rFonts w:hint="eastAsia" w:ascii="Times New Roman" w:hAnsi="Times New Roman" w:eastAsia="仿宋"/>
          <w:sz w:val="32"/>
          <w:szCs w:val="32"/>
        </w:rPr>
        <w:t>变动</w:t>
      </w:r>
      <w:r>
        <w:rPr>
          <w:rFonts w:ascii="Times New Roman" w:hAnsi="Times New Roman" w:eastAsia="仿宋"/>
          <w:sz w:val="32"/>
          <w:szCs w:val="32"/>
        </w:rPr>
        <w:t>等与</w:t>
      </w:r>
      <w:r>
        <w:rPr>
          <w:rFonts w:hint="eastAsia" w:ascii="Times New Roman" w:hAnsi="Times New Roman" w:eastAsia="仿宋"/>
          <w:sz w:val="32"/>
          <w:szCs w:val="32"/>
        </w:rPr>
        <w:t>做市交易业务</w:t>
      </w:r>
      <w:r>
        <w:rPr>
          <w:rFonts w:ascii="Times New Roman" w:hAnsi="Times New Roman" w:eastAsia="仿宋"/>
          <w:sz w:val="32"/>
          <w:szCs w:val="32"/>
        </w:rPr>
        <w:t>相关的重大变化，应当及时向本所报告。</w:t>
      </w:r>
    </w:p>
    <w:p>
      <w:pPr>
        <w:suppressAutoHyphens w:val="0"/>
        <w:autoSpaceDE w:val="0"/>
        <w:autoSpaceDN w:val="0"/>
        <w:adjustRightInd w:val="0"/>
        <w:snapToGrid w:val="0"/>
        <w:spacing w:line="600" w:lineRule="exact"/>
        <w:ind w:firstLine="640" w:firstLineChars="200"/>
        <w:jc w:val="left"/>
        <w:rPr>
          <w:rFonts w:ascii="Times New Roman" w:hAnsi="Times New Roman" w:eastAsia="仿宋"/>
          <w:sz w:val="32"/>
          <w:szCs w:val="32"/>
        </w:rPr>
      </w:pPr>
      <w:r>
        <w:rPr>
          <w:rFonts w:ascii="黑体" w:hAnsi="黑体" w:eastAsia="黑体"/>
          <w:sz w:val="32"/>
          <w:szCs w:val="28"/>
        </w:rPr>
        <w:t>第</w:t>
      </w:r>
      <w:r>
        <w:rPr>
          <w:rFonts w:hint="eastAsia" w:ascii="黑体" w:hAnsi="黑体" w:eastAsia="黑体"/>
          <w:sz w:val="32"/>
          <w:szCs w:val="28"/>
        </w:rPr>
        <w:t>三十</w:t>
      </w:r>
      <w:r>
        <w:rPr>
          <w:rFonts w:ascii="黑体" w:hAnsi="黑体" w:eastAsia="黑体"/>
          <w:sz w:val="32"/>
          <w:szCs w:val="28"/>
        </w:rPr>
        <w:t>条</w:t>
      </w:r>
      <w:r>
        <w:rPr>
          <w:rFonts w:ascii="Times New Roman" w:hAnsi="Times New Roman" w:eastAsia="仿宋"/>
          <w:b/>
          <w:sz w:val="32"/>
          <w:szCs w:val="32"/>
        </w:rPr>
        <w:t xml:space="preserve">  </w:t>
      </w:r>
      <w:r>
        <w:rPr>
          <w:rFonts w:ascii="Times New Roman" w:hAnsi="Times New Roman" w:eastAsia="仿宋"/>
          <w:sz w:val="32"/>
          <w:szCs w:val="32"/>
        </w:rPr>
        <w:t>本所可以根据做市商做市表现和监管需要，对做市商开展现场或非现场检查，做市商应当积极配合，如实提供相关材料和说明。</w:t>
      </w:r>
    </w:p>
    <w:p>
      <w:pPr>
        <w:suppressAutoHyphens w:val="0"/>
        <w:autoSpaceDE w:val="0"/>
        <w:autoSpaceDN w:val="0"/>
        <w:adjustRightInd w:val="0"/>
        <w:snapToGrid w:val="0"/>
        <w:spacing w:line="600" w:lineRule="exact"/>
        <w:ind w:firstLine="640" w:firstLineChars="200"/>
        <w:jc w:val="left"/>
        <w:rPr>
          <w:rFonts w:ascii="Times New Roman" w:hAnsi="Times New Roman" w:eastAsia="仿宋"/>
          <w:bCs/>
          <w:sz w:val="32"/>
          <w:szCs w:val="32"/>
        </w:rPr>
      </w:pPr>
      <w:r>
        <w:rPr>
          <w:rFonts w:ascii="黑体" w:hAnsi="黑体" w:eastAsia="黑体"/>
          <w:sz w:val="32"/>
          <w:szCs w:val="28"/>
        </w:rPr>
        <w:t>第三十</w:t>
      </w:r>
      <w:r>
        <w:rPr>
          <w:rFonts w:hint="eastAsia" w:ascii="黑体" w:hAnsi="黑体" w:eastAsia="黑体"/>
          <w:sz w:val="32"/>
          <w:szCs w:val="28"/>
        </w:rPr>
        <w:t>一</w:t>
      </w:r>
      <w:r>
        <w:rPr>
          <w:rFonts w:ascii="黑体" w:hAnsi="黑体" w:eastAsia="黑体"/>
          <w:sz w:val="32"/>
          <w:szCs w:val="28"/>
        </w:rPr>
        <w:t>条</w:t>
      </w:r>
      <w:r>
        <w:rPr>
          <w:rFonts w:ascii="Times New Roman" w:hAnsi="Times New Roman" w:eastAsia="仿宋"/>
          <w:b/>
          <w:sz w:val="32"/>
          <w:szCs w:val="32"/>
        </w:rPr>
        <w:t xml:space="preserve">  </w:t>
      </w:r>
      <w:r>
        <w:rPr>
          <w:rFonts w:ascii="Times New Roman" w:hAnsi="Times New Roman" w:eastAsia="仿宋"/>
          <w:bCs/>
          <w:sz w:val="32"/>
          <w:szCs w:val="32"/>
        </w:rPr>
        <w:t>做市商开展</w:t>
      </w:r>
      <w:r>
        <w:rPr>
          <w:rFonts w:hint="eastAsia" w:ascii="Times New Roman" w:hAnsi="Times New Roman" w:eastAsia="仿宋"/>
          <w:bCs/>
          <w:sz w:val="32"/>
          <w:szCs w:val="32"/>
        </w:rPr>
        <w:t>做市交易业务</w:t>
      </w:r>
      <w:r>
        <w:rPr>
          <w:rFonts w:ascii="Times New Roman" w:hAnsi="Times New Roman" w:eastAsia="仿宋"/>
          <w:bCs/>
          <w:sz w:val="32"/>
          <w:szCs w:val="32"/>
        </w:rPr>
        <w:t>，应当遵守本所业务规则的规定，不得实施异常交易行为，影响股票正常交易秩序。</w:t>
      </w:r>
    </w:p>
    <w:p>
      <w:pPr>
        <w:suppressAutoHyphens w:val="0"/>
        <w:autoSpaceDE w:val="0"/>
        <w:autoSpaceDN w:val="0"/>
        <w:adjustRightInd w:val="0"/>
        <w:snapToGrid w:val="0"/>
        <w:spacing w:line="600" w:lineRule="exact"/>
        <w:ind w:firstLine="640" w:firstLineChars="200"/>
        <w:jc w:val="left"/>
        <w:rPr>
          <w:rFonts w:ascii="Times New Roman" w:hAnsi="Times New Roman" w:eastAsia="仿宋"/>
          <w:bCs/>
          <w:sz w:val="32"/>
          <w:szCs w:val="32"/>
        </w:rPr>
      </w:pPr>
      <w:r>
        <w:rPr>
          <w:rFonts w:ascii="Times New Roman" w:hAnsi="Times New Roman" w:eastAsia="仿宋"/>
          <w:bCs/>
          <w:sz w:val="32"/>
          <w:szCs w:val="32"/>
        </w:rPr>
        <w:t>本所根据业务规则规定的异常交易行为类型，结合做市商交易行为、市场影响、做市报价义务要求等因素进行分析，对做市商异常交易行为进行认定。</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第三十</w:t>
      </w:r>
      <w:r>
        <w:rPr>
          <w:rFonts w:hint="eastAsia" w:ascii="黑体" w:hAnsi="黑体" w:eastAsia="黑体"/>
          <w:sz w:val="32"/>
          <w:szCs w:val="28"/>
        </w:rPr>
        <w:t>二</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做市商违反本细则或者本所其他相关业务规则的，本所可以根据《交易规则》《北京证券交易所会员管理规则（试行）》及相关规定对其采取相应自律监管措施或纪律处分；涉嫌违反法律法规的，向中国证监会报告。</w:t>
      </w:r>
    </w:p>
    <w:p>
      <w:pPr>
        <w:suppressAutoHyphens w:val="0"/>
        <w:autoSpaceDE w:val="0"/>
        <w:autoSpaceDN w:val="0"/>
        <w:adjustRightInd w:val="0"/>
        <w:snapToGrid w:val="0"/>
        <w:spacing w:before="240" w:after="240" w:line="600" w:lineRule="exact"/>
        <w:jc w:val="center"/>
        <w:outlineLvl w:val="0"/>
        <w:rPr>
          <w:rFonts w:ascii="Times New Roman" w:hAnsi="Times New Roman" w:eastAsia="黑体"/>
          <w:kern w:val="44"/>
          <w:sz w:val="32"/>
        </w:rPr>
      </w:pPr>
      <w:r>
        <w:rPr>
          <w:rFonts w:ascii="Times New Roman" w:hAnsi="Times New Roman" w:eastAsia="黑体"/>
          <w:kern w:val="44"/>
          <w:sz w:val="32"/>
        </w:rPr>
        <w:t>第五章  附则</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ascii="黑体" w:hAnsi="黑体" w:eastAsia="黑体"/>
          <w:sz w:val="32"/>
          <w:szCs w:val="28"/>
        </w:rPr>
        <w:t>第三十</w:t>
      </w:r>
      <w:r>
        <w:rPr>
          <w:rFonts w:hint="eastAsia" w:ascii="黑体" w:hAnsi="黑体" w:eastAsia="黑体"/>
          <w:sz w:val="32"/>
          <w:szCs w:val="28"/>
        </w:rPr>
        <w:t>三</w:t>
      </w:r>
      <w:r>
        <w:rPr>
          <w:rFonts w:ascii="黑体" w:hAnsi="黑体" w:eastAsia="黑体"/>
          <w:sz w:val="32"/>
          <w:szCs w:val="28"/>
        </w:rPr>
        <w:t>条</w:t>
      </w:r>
      <w:r>
        <w:rPr>
          <w:rFonts w:ascii="Times New Roman" w:hAnsi="Times New Roman" w:eastAsia="仿宋"/>
          <w:b/>
          <w:bCs/>
          <w:sz w:val="32"/>
          <w:szCs w:val="32"/>
        </w:rPr>
        <w:t xml:space="preserve">  </w:t>
      </w:r>
      <w:r>
        <w:rPr>
          <w:rFonts w:ascii="Times New Roman" w:hAnsi="Times New Roman" w:eastAsia="仿宋"/>
          <w:sz w:val="32"/>
          <w:szCs w:val="32"/>
        </w:rPr>
        <w:t>本细则由本所负责解释。</w:t>
      </w:r>
    </w:p>
    <w:p>
      <w:pPr>
        <w:suppressAutoHyphens w:val="0"/>
        <w:autoSpaceDE w:val="0"/>
        <w:autoSpaceDN w:val="0"/>
        <w:adjustRightInd w:val="0"/>
        <w:snapToGrid w:val="0"/>
        <w:spacing w:line="600" w:lineRule="exact"/>
        <w:ind w:firstLine="640" w:firstLineChars="200"/>
        <w:rPr>
          <w:rFonts w:ascii="Times New Roman" w:hAnsi="Times New Roman" w:eastAsia="仿宋"/>
          <w:sz w:val="32"/>
          <w:szCs w:val="32"/>
        </w:rPr>
      </w:pPr>
      <w:r>
        <w:rPr>
          <w:rFonts w:hint="eastAsia" w:ascii="黑体" w:hAnsi="黑体" w:eastAsia="黑体"/>
          <w:sz w:val="32"/>
          <w:szCs w:val="28"/>
        </w:rPr>
        <w:t>第</w:t>
      </w:r>
      <w:r>
        <w:rPr>
          <w:rFonts w:ascii="黑体" w:hAnsi="黑体" w:eastAsia="黑体"/>
          <w:sz w:val="32"/>
          <w:szCs w:val="28"/>
        </w:rPr>
        <w:t>三十</w:t>
      </w:r>
      <w:r>
        <w:rPr>
          <w:rFonts w:hint="eastAsia" w:ascii="黑体" w:hAnsi="黑体" w:eastAsia="黑体"/>
          <w:sz w:val="32"/>
          <w:szCs w:val="28"/>
        </w:rPr>
        <w:t>四条</w:t>
      </w:r>
      <w:r>
        <w:rPr>
          <w:rFonts w:ascii="Times New Roman" w:hAnsi="Times New Roman" w:eastAsia="仿宋"/>
          <w:b/>
          <w:bCs/>
          <w:sz w:val="32"/>
          <w:szCs w:val="32"/>
        </w:rPr>
        <w:t xml:space="preserve">  </w:t>
      </w:r>
      <w:r>
        <w:rPr>
          <w:rFonts w:ascii="Times New Roman" w:hAnsi="Times New Roman" w:eastAsia="仿宋"/>
          <w:sz w:val="32"/>
          <w:szCs w:val="32"/>
        </w:rPr>
        <w:t>本细则自</w:t>
      </w:r>
      <w:r>
        <w:rPr>
          <w:rFonts w:hint="eastAsia" w:ascii="Times New Roman" w:hAnsi="Times New Roman" w:eastAsia="仿宋"/>
          <w:sz w:val="32"/>
          <w:szCs w:val="32"/>
        </w:rPr>
        <w:t>发布</w:t>
      </w:r>
      <w:r>
        <w:rPr>
          <w:rFonts w:ascii="Times New Roman" w:hAnsi="Times New Roman" w:eastAsia="仿宋"/>
          <w:sz w:val="32"/>
          <w:szCs w:val="32"/>
        </w:rPr>
        <w:t>之日起施行。</w:t>
      </w:r>
    </w:p>
    <w:p>
      <w:pPr>
        <w:suppressAutoHyphens w:val="0"/>
        <w:rPr>
          <w:rFonts w:ascii="Times New Roman" w:hAnsi="Times New Roman" w:eastAsia="仿宋"/>
          <w:sz w:val="32"/>
          <w:szCs w:val="32"/>
        </w:rPr>
      </w:pPr>
    </w:p>
    <w:p>
      <w:pPr>
        <w:rPr>
          <w:rFonts w:ascii="Times New Roman" w:hAnsi="Times New Roman" w:eastAsia="仿宋_GB2312"/>
          <w:sz w:val="28"/>
          <w:szCs w:val="28"/>
        </w:rPr>
      </w:pPr>
    </w:p>
    <w:sectPr>
      <w:headerReference r:id="rId3" w:type="default"/>
      <w:footerReference r:id="rId4" w:type="default"/>
      <w:footerReference r:id="rId5" w:type="even"/>
      <w:type w:val="continuous"/>
      <w:pgSz w:w="11907" w:h="16839"/>
      <w:pgMar w:top="2098" w:right="1531" w:bottom="1985" w:left="1531" w:header="850"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黑体_GBK">
    <w:panose1 w:val="02000000000000000000"/>
    <w:charset w:val="86"/>
    <w:family w:val="auto"/>
    <w:pitch w:val="default"/>
    <w:sig w:usb0="00000001" w:usb1="08000000" w:usb2="00000000" w:usb3="00000000" w:csb0="00040000" w:csb1="00000000"/>
  </w:font>
  <w:font w:name="Cambria">
    <w:altName w:val="Noto Sans Syriac Eastern"/>
    <w:panose1 w:val="02040503050406030204"/>
    <w:charset w:val="00"/>
    <w:family w:val="roman"/>
    <w:pitch w:val="default"/>
    <w:sig w:usb0="00000000" w:usb1="00000000" w:usb2="00000000" w:usb3="00000000" w:csb0="0000019F" w:csb1="00000000"/>
  </w:font>
  <w:font w:name="仿宋_GB2312">
    <w:altName w:val="仿宋"/>
    <w:panose1 w:val="02010609030101010101"/>
    <w:charset w:val="86"/>
    <w:family w:val="auto"/>
    <w:pitch w:val="default"/>
    <w:sig w:usb0="00000000" w:usb1="00000000" w:usb2="00000000" w:usb3="00000000" w:csb0="00040000" w:csb1="00000000"/>
  </w:font>
  <w:font w:name="Liberation Sans">
    <w:altName w:val="汉仪君黑-35简"/>
    <w:panose1 w:val="020B0604020202020204"/>
    <w:charset w:val="00"/>
    <w:family w:val="swiss"/>
    <w:pitch w:val="default"/>
    <w:sig w:usb0="00000000" w:usb1="00000000" w:usb2="00000000" w:usb3="00000000" w:csb0="6000009F" w:csb1="DFD70000"/>
  </w:font>
  <w:font w:name="Noto Sans CJK SC Regular">
    <w:panose1 w:val="020B0500000000000000"/>
    <w:charset w:val="86"/>
    <w:family w:val="auto"/>
    <w:pitch w:val="default"/>
    <w:sig w:usb0="30000003" w:usb1="2BDF3C10" w:usb2="00000016" w:usb3="00000000" w:csb0="602E0107" w:csb1="00000000"/>
  </w:font>
  <w:font w:name="宋体@...艀.">
    <w:altName w:val="方正书宋_GBK"/>
    <w:panose1 w:val="00000000000000000000"/>
    <w:charset w:val="00"/>
    <w:family w:val="roman"/>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00"/>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仿宋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3041985"/>
      <w:docPartObj>
        <w:docPartGallery w:val="autotext"/>
      </w:docPartObj>
    </w:sdtPr>
    <w:sdtEndPr>
      <w:rPr>
        <w:rFonts w:asciiTheme="minorEastAsia" w:hAnsiTheme="minorEastAsia" w:eastAsiaTheme="minorEastAsia"/>
        <w:sz w:val="28"/>
        <w:szCs w:val="28"/>
      </w:rPr>
    </w:sdtEndPr>
    <w:sdtContent>
      <w:p>
        <w:pPr>
          <w:pStyle w:val="8"/>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sz w:val="28"/>
        <w:szCs w:val="28"/>
      </w:rPr>
      <w:id w:val="688415080"/>
      <w:docPartObj>
        <w:docPartGallery w:val="autotext"/>
      </w:docPartObj>
    </w:sdtPr>
    <w:sdtEndPr>
      <w:rPr>
        <w:rFonts w:asciiTheme="minorEastAsia" w:hAnsiTheme="minorEastAsia" w:eastAsiaTheme="minorEastAsia"/>
        <w:sz w:val="28"/>
        <w:szCs w:val="28"/>
      </w:rPr>
    </w:sdtEndPr>
    <w:sdtContent>
      <w:p>
        <w:pPr>
          <w:pStyle w:val="8"/>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20 -</w:t>
        </w:r>
        <w:r>
          <w:rPr>
            <w:rFonts w:asciiTheme="minorEastAsia" w:hAnsiTheme="minorEastAsia" w:eastAsiaTheme="minorEastAsia"/>
            <w:sz w:val="28"/>
            <w:szCs w:val="28"/>
          </w:rPr>
          <w:fldChar w:fldCharType="end"/>
        </w:r>
      </w:p>
    </w:sdtContent>
  </w:sdt>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6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785EF"/>
    <w:multiLevelType w:val="singleLevel"/>
    <w:tmpl w:val="EEF785EF"/>
    <w:lvl w:ilvl="0" w:tentative="0">
      <w:start w:val="13"/>
      <w:numFmt w:val="chineseCounting"/>
      <w:suff w:val="space"/>
      <w:lvlText w:val="第%1条"/>
      <w:lvlJc w:val="left"/>
      <w:rPr>
        <w:rFonts w:hint="eastAsia" w:ascii="黑体" w:hAnsi="黑体" w:eastAsia="黑体" w:cs="黑体"/>
        <w:b/>
        <w:bCs/>
      </w:rPr>
    </w:lvl>
  </w:abstractNum>
  <w:abstractNum w:abstractNumId="1">
    <w:nsid w:val="354F7B00"/>
    <w:multiLevelType w:val="singleLevel"/>
    <w:tmpl w:val="354F7B00"/>
    <w:lvl w:ilvl="0" w:tentative="0">
      <w:start w:val="1"/>
      <w:numFmt w:val="chineseCounting"/>
      <w:suff w:val="space"/>
      <w:lvlText w:val="第%1章"/>
      <w:lvlJc w:val="left"/>
      <w:rPr>
        <w:rFonts w:hint="eastAsia"/>
      </w:rPr>
    </w:lvl>
  </w:abstractNum>
  <w:abstractNum w:abstractNumId="2">
    <w:nsid w:val="5ECD3D3C"/>
    <w:multiLevelType w:val="singleLevel"/>
    <w:tmpl w:val="5ECD3D3C"/>
    <w:lvl w:ilvl="0" w:tentative="0">
      <w:start w:val="1"/>
      <w:numFmt w:val="chineseCounting"/>
      <w:suff w:val="nothing"/>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true"/>
  <w:bordersDoNotSurroundHeader w:val="true"/>
  <w:bordersDoNotSurroundFooter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75E"/>
    <w:rsid w:val="00003AF7"/>
    <w:rsid w:val="00016174"/>
    <w:rsid w:val="00021FEA"/>
    <w:rsid w:val="0003425C"/>
    <w:rsid w:val="00050730"/>
    <w:rsid w:val="00051583"/>
    <w:rsid w:val="00052E60"/>
    <w:rsid w:val="00065AAF"/>
    <w:rsid w:val="00083056"/>
    <w:rsid w:val="00097DA2"/>
    <w:rsid w:val="000A57ED"/>
    <w:rsid w:val="000B0699"/>
    <w:rsid w:val="000B6FFA"/>
    <w:rsid w:val="000D3AA1"/>
    <w:rsid w:val="000E70C6"/>
    <w:rsid w:val="000F66D5"/>
    <w:rsid w:val="001201C4"/>
    <w:rsid w:val="00122098"/>
    <w:rsid w:val="001378AA"/>
    <w:rsid w:val="00141C08"/>
    <w:rsid w:val="00170B99"/>
    <w:rsid w:val="00185856"/>
    <w:rsid w:val="00195AEE"/>
    <w:rsid w:val="001A4622"/>
    <w:rsid w:val="001A6603"/>
    <w:rsid w:val="001B773F"/>
    <w:rsid w:val="001C1422"/>
    <w:rsid w:val="001D00EF"/>
    <w:rsid w:val="001E40D3"/>
    <w:rsid w:val="001F321D"/>
    <w:rsid w:val="002100EE"/>
    <w:rsid w:val="00212663"/>
    <w:rsid w:val="0021558B"/>
    <w:rsid w:val="00222406"/>
    <w:rsid w:val="00224FF0"/>
    <w:rsid w:val="00256249"/>
    <w:rsid w:val="00270B49"/>
    <w:rsid w:val="00273D19"/>
    <w:rsid w:val="00286A7E"/>
    <w:rsid w:val="00292098"/>
    <w:rsid w:val="002A0A7A"/>
    <w:rsid w:val="002A5363"/>
    <w:rsid w:val="002C0534"/>
    <w:rsid w:val="002E2F07"/>
    <w:rsid w:val="002E397D"/>
    <w:rsid w:val="0030238F"/>
    <w:rsid w:val="00312DDF"/>
    <w:rsid w:val="00316E7E"/>
    <w:rsid w:val="0032011E"/>
    <w:rsid w:val="003363FC"/>
    <w:rsid w:val="00356488"/>
    <w:rsid w:val="003638AB"/>
    <w:rsid w:val="003B0080"/>
    <w:rsid w:val="003C683C"/>
    <w:rsid w:val="003E06F3"/>
    <w:rsid w:val="003F368F"/>
    <w:rsid w:val="003F742F"/>
    <w:rsid w:val="003F7500"/>
    <w:rsid w:val="00403975"/>
    <w:rsid w:val="004050E9"/>
    <w:rsid w:val="00426880"/>
    <w:rsid w:val="0047201C"/>
    <w:rsid w:val="004B158E"/>
    <w:rsid w:val="004B265D"/>
    <w:rsid w:val="004D5775"/>
    <w:rsid w:val="004F126F"/>
    <w:rsid w:val="0050264F"/>
    <w:rsid w:val="005375B5"/>
    <w:rsid w:val="0056379D"/>
    <w:rsid w:val="00583E67"/>
    <w:rsid w:val="005A34AD"/>
    <w:rsid w:val="005C10CE"/>
    <w:rsid w:val="005E7BFB"/>
    <w:rsid w:val="005F1F67"/>
    <w:rsid w:val="005F32CE"/>
    <w:rsid w:val="005F4BF5"/>
    <w:rsid w:val="0060375E"/>
    <w:rsid w:val="006438A2"/>
    <w:rsid w:val="006475B0"/>
    <w:rsid w:val="00647F4A"/>
    <w:rsid w:val="00675AD5"/>
    <w:rsid w:val="00697020"/>
    <w:rsid w:val="006A0010"/>
    <w:rsid w:val="006F3A73"/>
    <w:rsid w:val="006F6E3C"/>
    <w:rsid w:val="006F771E"/>
    <w:rsid w:val="00702D4F"/>
    <w:rsid w:val="00706015"/>
    <w:rsid w:val="00730633"/>
    <w:rsid w:val="00764140"/>
    <w:rsid w:val="00770FE6"/>
    <w:rsid w:val="007712DF"/>
    <w:rsid w:val="007772BD"/>
    <w:rsid w:val="00786643"/>
    <w:rsid w:val="007951AA"/>
    <w:rsid w:val="007A6CCD"/>
    <w:rsid w:val="007B75A8"/>
    <w:rsid w:val="007D2A34"/>
    <w:rsid w:val="00804AC0"/>
    <w:rsid w:val="00805B60"/>
    <w:rsid w:val="008151D6"/>
    <w:rsid w:val="0082345F"/>
    <w:rsid w:val="00827B9C"/>
    <w:rsid w:val="0084143C"/>
    <w:rsid w:val="00842775"/>
    <w:rsid w:val="00863CDA"/>
    <w:rsid w:val="00867C19"/>
    <w:rsid w:val="008A658B"/>
    <w:rsid w:val="008C479A"/>
    <w:rsid w:val="008D2C7A"/>
    <w:rsid w:val="008E51CA"/>
    <w:rsid w:val="008E552B"/>
    <w:rsid w:val="008E5F65"/>
    <w:rsid w:val="008F0DB0"/>
    <w:rsid w:val="008F6B74"/>
    <w:rsid w:val="008F6DE5"/>
    <w:rsid w:val="009068D4"/>
    <w:rsid w:val="00921850"/>
    <w:rsid w:val="00927BB1"/>
    <w:rsid w:val="009302AF"/>
    <w:rsid w:val="00955334"/>
    <w:rsid w:val="00965EAB"/>
    <w:rsid w:val="00994BAE"/>
    <w:rsid w:val="009A5A37"/>
    <w:rsid w:val="009A5D85"/>
    <w:rsid w:val="009C0928"/>
    <w:rsid w:val="009C35EE"/>
    <w:rsid w:val="009E2B3D"/>
    <w:rsid w:val="009F02B5"/>
    <w:rsid w:val="00A04D06"/>
    <w:rsid w:val="00A0511E"/>
    <w:rsid w:val="00A148B6"/>
    <w:rsid w:val="00A267C4"/>
    <w:rsid w:val="00A42E52"/>
    <w:rsid w:val="00A54ECC"/>
    <w:rsid w:val="00A6133A"/>
    <w:rsid w:val="00A749DE"/>
    <w:rsid w:val="00AA35A8"/>
    <w:rsid w:val="00AC4FBD"/>
    <w:rsid w:val="00AE135E"/>
    <w:rsid w:val="00AE40B1"/>
    <w:rsid w:val="00AF31A8"/>
    <w:rsid w:val="00AF7B4B"/>
    <w:rsid w:val="00B0577B"/>
    <w:rsid w:val="00B120AF"/>
    <w:rsid w:val="00B23EDF"/>
    <w:rsid w:val="00B73BF8"/>
    <w:rsid w:val="00B93848"/>
    <w:rsid w:val="00BA089F"/>
    <w:rsid w:val="00BB3A18"/>
    <w:rsid w:val="00BC7744"/>
    <w:rsid w:val="00BE39A8"/>
    <w:rsid w:val="00BF6655"/>
    <w:rsid w:val="00BF6F43"/>
    <w:rsid w:val="00C00D71"/>
    <w:rsid w:val="00C25AAD"/>
    <w:rsid w:val="00C34D57"/>
    <w:rsid w:val="00C41BC5"/>
    <w:rsid w:val="00C4607C"/>
    <w:rsid w:val="00C73526"/>
    <w:rsid w:val="00C94E7E"/>
    <w:rsid w:val="00C95D5F"/>
    <w:rsid w:val="00CB265E"/>
    <w:rsid w:val="00CD1587"/>
    <w:rsid w:val="00CD2B7E"/>
    <w:rsid w:val="00CE3C89"/>
    <w:rsid w:val="00CF7B4B"/>
    <w:rsid w:val="00D0037E"/>
    <w:rsid w:val="00D050A8"/>
    <w:rsid w:val="00D209ED"/>
    <w:rsid w:val="00D24C45"/>
    <w:rsid w:val="00D42C0C"/>
    <w:rsid w:val="00D50961"/>
    <w:rsid w:val="00D772B9"/>
    <w:rsid w:val="00D8568F"/>
    <w:rsid w:val="00D91A6A"/>
    <w:rsid w:val="00D92A6E"/>
    <w:rsid w:val="00DA200B"/>
    <w:rsid w:val="00DA4F2D"/>
    <w:rsid w:val="00DD3EF1"/>
    <w:rsid w:val="00DD6EAA"/>
    <w:rsid w:val="00E06C0A"/>
    <w:rsid w:val="00E13874"/>
    <w:rsid w:val="00E163A1"/>
    <w:rsid w:val="00E21B92"/>
    <w:rsid w:val="00E22779"/>
    <w:rsid w:val="00E27C4F"/>
    <w:rsid w:val="00E42B7E"/>
    <w:rsid w:val="00E577AE"/>
    <w:rsid w:val="00E61194"/>
    <w:rsid w:val="00E64B22"/>
    <w:rsid w:val="00E67C93"/>
    <w:rsid w:val="00E82B17"/>
    <w:rsid w:val="00E857C1"/>
    <w:rsid w:val="00EA41A2"/>
    <w:rsid w:val="00EB0F36"/>
    <w:rsid w:val="00EC08D3"/>
    <w:rsid w:val="00ED0FFD"/>
    <w:rsid w:val="00EE1C44"/>
    <w:rsid w:val="00EE5ED5"/>
    <w:rsid w:val="00EF0EA5"/>
    <w:rsid w:val="00F030C1"/>
    <w:rsid w:val="00F06488"/>
    <w:rsid w:val="00F074DC"/>
    <w:rsid w:val="00F31C38"/>
    <w:rsid w:val="00F53AD4"/>
    <w:rsid w:val="00F61AD3"/>
    <w:rsid w:val="00F908E4"/>
    <w:rsid w:val="00F927A9"/>
    <w:rsid w:val="00FA07B1"/>
    <w:rsid w:val="00FC3CF6"/>
    <w:rsid w:val="00FF65F5"/>
    <w:rsid w:val="0A7D102C"/>
    <w:rsid w:val="0AFE5C8F"/>
    <w:rsid w:val="0B6D7AEF"/>
    <w:rsid w:val="0CC3E2AB"/>
    <w:rsid w:val="12BFE5A5"/>
    <w:rsid w:val="13FFC503"/>
    <w:rsid w:val="1BB9B584"/>
    <w:rsid w:val="1E6CA7C9"/>
    <w:rsid w:val="1F5F494B"/>
    <w:rsid w:val="1FD59CD5"/>
    <w:rsid w:val="1FEB7BAF"/>
    <w:rsid w:val="1FFDB11B"/>
    <w:rsid w:val="1FFF3BEF"/>
    <w:rsid w:val="21BAA5EF"/>
    <w:rsid w:val="25FD2302"/>
    <w:rsid w:val="28FF1605"/>
    <w:rsid w:val="29BED8E6"/>
    <w:rsid w:val="2DCF0064"/>
    <w:rsid w:val="2EBD4790"/>
    <w:rsid w:val="2ED6FD60"/>
    <w:rsid w:val="2F7F5AF8"/>
    <w:rsid w:val="2FF84866"/>
    <w:rsid w:val="2FFD048C"/>
    <w:rsid w:val="32603F20"/>
    <w:rsid w:val="339F7A90"/>
    <w:rsid w:val="33F72190"/>
    <w:rsid w:val="34D47AF1"/>
    <w:rsid w:val="34EE0B3E"/>
    <w:rsid w:val="35DB5E06"/>
    <w:rsid w:val="375C184A"/>
    <w:rsid w:val="37CFC306"/>
    <w:rsid w:val="37DC7C90"/>
    <w:rsid w:val="37FB7683"/>
    <w:rsid w:val="37FFFE74"/>
    <w:rsid w:val="385F3689"/>
    <w:rsid w:val="38FFE1FC"/>
    <w:rsid w:val="39FCDC62"/>
    <w:rsid w:val="3AF79250"/>
    <w:rsid w:val="3BF67D51"/>
    <w:rsid w:val="3D6CF4D5"/>
    <w:rsid w:val="3D8475D9"/>
    <w:rsid w:val="3DBDFEBC"/>
    <w:rsid w:val="3DE95E0A"/>
    <w:rsid w:val="3E1F767B"/>
    <w:rsid w:val="3E7B913E"/>
    <w:rsid w:val="3E7E5E62"/>
    <w:rsid w:val="3EF55386"/>
    <w:rsid w:val="3F6F995F"/>
    <w:rsid w:val="3F77A952"/>
    <w:rsid w:val="3F7B4091"/>
    <w:rsid w:val="3F9196D3"/>
    <w:rsid w:val="3F973416"/>
    <w:rsid w:val="3FBAF646"/>
    <w:rsid w:val="3FBF28D5"/>
    <w:rsid w:val="3FD45C12"/>
    <w:rsid w:val="3FF36BD5"/>
    <w:rsid w:val="3FFE8B69"/>
    <w:rsid w:val="40DAFBD7"/>
    <w:rsid w:val="475BA0BB"/>
    <w:rsid w:val="4AFBBDF9"/>
    <w:rsid w:val="4CBCC7F1"/>
    <w:rsid w:val="4DBB7163"/>
    <w:rsid w:val="4EFD1720"/>
    <w:rsid w:val="4F3F06C8"/>
    <w:rsid w:val="4FFBECE7"/>
    <w:rsid w:val="4FFE379B"/>
    <w:rsid w:val="53CF453D"/>
    <w:rsid w:val="53E98F23"/>
    <w:rsid w:val="553F815D"/>
    <w:rsid w:val="56FF0B6E"/>
    <w:rsid w:val="575F9F2D"/>
    <w:rsid w:val="59777D55"/>
    <w:rsid w:val="597FB51C"/>
    <w:rsid w:val="59FF87B0"/>
    <w:rsid w:val="5BDF6BCB"/>
    <w:rsid w:val="5BFB4D7E"/>
    <w:rsid w:val="5C9FDF22"/>
    <w:rsid w:val="5CBF15A2"/>
    <w:rsid w:val="5D53F20C"/>
    <w:rsid w:val="5D7079C1"/>
    <w:rsid w:val="5DA27DC1"/>
    <w:rsid w:val="5DF9EEF9"/>
    <w:rsid w:val="5DFB88D1"/>
    <w:rsid w:val="5EBFF903"/>
    <w:rsid w:val="5EFDFEDA"/>
    <w:rsid w:val="5F7312A2"/>
    <w:rsid w:val="5F7DEBA0"/>
    <w:rsid w:val="5F933C1D"/>
    <w:rsid w:val="5F97D45F"/>
    <w:rsid w:val="5FBEB5B3"/>
    <w:rsid w:val="5FBFDB8B"/>
    <w:rsid w:val="5FFE1FFF"/>
    <w:rsid w:val="5FFF291C"/>
    <w:rsid w:val="5FFF811A"/>
    <w:rsid w:val="5FFFF700"/>
    <w:rsid w:val="60BF3B0F"/>
    <w:rsid w:val="636F58E0"/>
    <w:rsid w:val="65AB99DE"/>
    <w:rsid w:val="65FD7C6A"/>
    <w:rsid w:val="66AFFE4C"/>
    <w:rsid w:val="66DFC815"/>
    <w:rsid w:val="679F36EE"/>
    <w:rsid w:val="67BBD683"/>
    <w:rsid w:val="67DC3207"/>
    <w:rsid w:val="67DF632C"/>
    <w:rsid w:val="67FF1759"/>
    <w:rsid w:val="67FF188B"/>
    <w:rsid w:val="69FF9D6E"/>
    <w:rsid w:val="6A7B1E3B"/>
    <w:rsid w:val="6B0F4CA6"/>
    <w:rsid w:val="6B7FC45B"/>
    <w:rsid w:val="6BC3C9F2"/>
    <w:rsid w:val="6BD70C2C"/>
    <w:rsid w:val="6BDBDE61"/>
    <w:rsid w:val="6BFD2A86"/>
    <w:rsid w:val="6D2D75E5"/>
    <w:rsid w:val="6D5F0B4E"/>
    <w:rsid w:val="6D7BE48C"/>
    <w:rsid w:val="6DFEB3B0"/>
    <w:rsid w:val="6DFF81A6"/>
    <w:rsid w:val="6F9BB31E"/>
    <w:rsid w:val="6FAF0007"/>
    <w:rsid w:val="6FAF9ACB"/>
    <w:rsid w:val="6FBA8022"/>
    <w:rsid w:val="6FD7DE96"/>
    <w:rsid w:val="6FDCE583"/>
    <w:rsid w:val="6FF7DB6E"/>
    <w:rsid w:val="6FFF74DA"/>
    <w:rsid w:val="7175B532"/>
    <w:rsid w:val="733F06D4"/>
    <w:rsid w:val="73AD8498"/>
    <w:rsid w:val="73FF7CBC"/>
    <w:rsid w:val="73FFBE46"/>
    <w:rsid w:val="747FBF1D"/>
    <w:rsid w:val="759C61B1"/>
    <w:rsid w:val="75AD0A1F"/>
    <w:rsid w:val="768ACC0E"/>
    <w:rsid w:val="76CFC3FE"/>
    <w:rsid w:val="76ED63D9"/>
    <w:rsid w:val="7730203B"/>
    <w:rsid w:val="774FE649"/>
    <w:rsid w:val="777CEE12"/>
    <w:rsid w:val="77BBC879"/>
    <w:rsid w:val="77E680E5"/>
    <w:rsid w:val="77EB08DD"/>
    <w:rsid w:val="77F7543F"/>
    <w:rsid w:val="77F95AEA"/>
    <w:rsid w:val="77F9AC43"/>
    <w:rsid w:val="77FF3FB7"/>
    <w:rsid w:val="77FF6B9D"/>
    <w:rsid w:val="77FF81FA"/>
    <w:rsid w:val="78B59611"/>
    <w:rsid w:val="793F1D12"/>
    <w:rsid w:val="7965287B"/>
    <w:rsid w:val="799F5391"/>
    <w:rsid w:val="7ABFE064"/>
    <w:rsid w:val="7B3F4B3A"/>
    <w:rsid w:val="7B665FB1"/>
    <w:rsid w:val="7B6F1DDE"/>
    <w:rsid w:val="7B76BE5B"/>
    <w:rsid w:val="7BB726D8"/>
    <w:rsid w:val="7BBFE938"/>
    <w:rsid w:val="7BC62380"/>
    <w:rsid w:val="7BE82EFF"/>
    <w:rsid w:val="7BFB4701"/>
    <w:rsid w:val="7BFF9A73"/>
    <w:rsid w:val="7C5D4849"/>
    <w:rsid w:val="7CDD3994"/>
    <w:rsid w:val="7CF78EA0"/>
    <w:rsid w:val="7CFF68F9"/>
    <w:rsid w:val="7D3F1E4B"/>
    <w:rsid w:val="7D4DB512"/>
    <w:rsid w:val="7D6B443C"/>
    <w:rsid w:val="7DBAC508"/>
    <w:rsid w:val="7DBD4FE3"/>
    <w:rsid w:val="7DFD9A01"/>
    <w:rsid w:val="7DFE9A6A"/>
    <w:rsid w:val="7E57D8CD"/>
    <w:rsid w:val="7E675AC5"/>
    <w:rsid w:val="7E7BEB72"/>
    <w:rsid w:val="7E7D97D9"/>
    <w:rsid w:val="7ECC1F26"/>
    <w:rsid w:val="7EDDA881"/>
    <w:rsid w:val="7EDFE4B4"/>
    <w:rsid w:val="7EEB6481"/>
    <w:rsid w:val="7EF162A6"/>
    <w:rsid w:val="7EF2443D"/>
    <w:rsid w:val="7EF43A1C"/>
    <w:rsid w:val="7EFBAF7D"/>
    <w:rsid w:val="7EFE5E11"/>
    <w:rsid w:val="7EFF1D7D"/>
    <w:rsid w:val="7EFF9CBE"/>
    <w:rsid w:val="7F1B752C"/>
    <w:rsid w:val="7F1E9C90"/>
    <w:rsid w:val="7F33C660"/>
    <w:rsid w:val="7F35B7EA"/>
    <w:rsid w:val="7F36A466"/>
    <w:rsid w:val="7F373F9D"/>
    <w:rsid w:val="7F37F308"/>
    <w:rsid w:val="7F3F7261"/>
    <w:rsid w:val="7F433D88"/>
    <w:rsid w:val="7F579839"/>
    <w:rsid w:val="7F5E5EAF"/>
    <w:rsid w:val="7F5F1850"/>
    <w:rsid w:val="7F5F1918"/>
    <w:rsid w:val="7F6B32B7"/>
    <w:rsid w:val="7F6E8FBC"/>
    <w:rsid w:val="7F76CEAD"/>
    <w:rsid w:val="7F7734E1"/>
    <w:rsid w:val="7F77631B"/>
    <w:rsid w:val="7F7FA870"/>
    <w:rsid w:val="7F973C88"/>
    <w:rsid w:val="7FB7665D"/>
    <w:rsid w:val="7FBA0438"/>
    <w:rsid w:val="7FBF96DA"/>
    <w:rsid w:val="7FCA2718"/>
    <w:rsid w:val="7FD7DAC9"/>
    <w:rsid w:val="7FDC94AE"/>
    <w:rsid w:val="7FDE8F1D"/>
    <w:rsid w:val="7FDEB93C"/>
    <w:rsid w:val="7FDFA786"/>
    <w:rsid w:val="7FDFD0C9"/>
    <w:rsid w:val="7FE5F5C4"/>
    <w:rsid w:val="7FE784B0"/>
    <w:rsid w:val="7FEE77B1"/>
    <w:rsid w:val="7FEF0348"/>
    <w:rsid w:val="7FEF2F1A"/>
    <w:rsid w:val="7FEFBB5C"/>
    <w:rsid w:val="7FEFD7DC"/>
    <w:rsid w:val="7FF64E87"/>
    <w:rsid w:val="7FF67504"/>
    <w:rsid w:val="7FF712D8"/>
    <w:rsid w:val="7FFB35CA"/>
    <w:rsid w:val="7FFD8A13"/>
    <w:rsid w:val="7FFE50A2"/>
    <w:rsid w:val="7FFEEDA9"/>
    <w:rsid w:val="7FFF2A9F"/>
    <w:rsid w:val="83FEBC13"/>
    <w:rsid w:val="8EDF38C4"/>
    <w:rsid w:val="8EFEE165"/>
    <w:rsid w:val="8F6EAA06"/>
    <w:rsid w:val="973592C8"/>
    <w:rsid w:val="97F35B1E"/>
    <w:rsid w:val="99775AF8"/>
    <w:rsid w:val="9BBF42A0"/>
    <w:rsid w:val="9D4EB13D"/>
    <w:rsid w:val="9E7B7A72"/>
    <w:rsid w:val="9EBC6DD6"/>
    <w:rsid w:val="9EF74A1B"/>
    <w:rsid w:val="9FAFE419"/>
    <w:rsid w:val="9FFBE8EB"/>
    <w:rsid w:val="A5D37FC1"/>
    <w:rsid w:val="A7FE5AF1"/>
    <w:rsid w:val="A7FF73DC"/>
    <w:rsid w:val="AD43BA36"/>
    <w:rsid w:val="AD7F35DA"/>
    <w:rsid w:val="ADFE7CD5"/>
    <w:rsid w:val="AEF5DEE5"/>
    <w:rsid w:val="AF0F179C"/>
    <w:rsid w:val="AF53A6B2"/>
    <w:rsid w:val="AF8E3E80"/>
    <w:rsid w:val="AFB79533"/>
    <w:rsid w:val="AFF9D9E5"/>
    <w:rsid w:val="B1BF1D16"/>
    <w:rsid w:val="B3EBFDE0"/>
    <w:rsid w:val="B5FFF8FF"/>
    <w:rsid w:val="B62F86EF"/>
    <w:rsid w:val="B6BF0EA6"/>
    <w:rsid w:val="B7FE9572"/>
    <w:rsid w:val="B93F34F9"/>
    <w:rsid w:val="BB257C6D"/>
    <w:rsid w:val="BB77F6FD"/>
    <w:rsid w:val="BE6CAF88"/>
    <w:rsid w:val="BEF5FB86"/>
    <w:rsid w:val="BF17D1EC"/>
    <w:rsid w:val="BF6F8FCD"/>
    <w:rsid w:val="BF8566C5"/>
    <w:rsid w:val="BFC30A6E"/>
    <w:rsid w:val="BFCC297E"/>
    <w:rsid w:val="BFD1AF4B"/>
    <w:rsid w:val="BFDB54DD"/>
    <w:rsid w:val="BFDF552B"/>
    <w:rsid w:val="BFF2C6DA"/>
    <w:rsid w:val="BFF53F51"/>
    <w:rsid w:val="BFF64DC7"/>
    <w:rsid w:val="BFFE8CC4"/>
    <w:rsid w:val="BFFF4ECE"/>
    <w:rsid w:val="BFFFC60B"/>
    <w:rsid w:val="C1FF9BB5"/>
    <w:rsid w:val="C4FAB16D"/>
    <w:rsid w:val="C67704A4"/>
    <w:rsid w:val="C69F3324"/>
    <w:rsid w:val="C74FC1A0"/>
    <w:rsid w:val="C7DB536C"/>
    <w:rsid w:val="C97F60C1"/>
    <w:rsid w:val="C9DE5DE7"/>
    <w:rsid w:val="CB5D9B83"/>
    <w:rsid w:val="CCF5F9C3"/>
    <w:rsid w:val="CD6E836E"/>
    <w:rsid w:val="CD6EB5A9"/>
    <w:rsid w:val="CE9B1651"/>
    <w:rsid w:val="CEBD4B68"/>
    <w:rsid w:val="CFCE5C95"/>
    <w:rsid w:val="CFFF52F4"/>
    <w:rsid w:val="D2BB50D6"/>
    <w:rsid w:val="D2E0C6D8"/>
    <w:rsid w:val="D3A14227"/>
    <w:rsid w:val="D3F67979"/>
    <w:rsid w:val="D3FFC01A"/>
    <w:rsid w:val="D4F8EC11"/>
    <w:rsid w:val="D56C9D14"/>
    <w:rsid w:val="D69E7BA2"/>
    <w:rsid w:val="D74FF77D"/>
    <w:rsid w:val="D77B595C"/>
    <w:rsid w:val="D77DE7C3"/>
    <w:rsid w:val="D7DFCFF4"/>
    <w:rsid w:val="D7F78D53"/>
    <w:rsid w:val="D7FBBAF7"/>
    <w:rsid w:val="D7FEF961"/>
    <w:rsid w:val="D7FF769F"/>
    <w:rsid w:val="D9EFD6E2"/>
    <w:rsid w:val="DA7742B9"/>
    <w:rsid w:val="DAEB8BE9"/>
    <w:rsid w:val="DB1F6E07"/>
    <w:rsid w:val="DBBB2EF1"/>
    <w:rsid w:val="DBF7488C"/>
    <w:rsid w:val="DBFE12E0"/>
    <w:rsid w:val="DCEC66F5"/>
    <w:rsid w:val="DDBB8E16"/>
    <w:rsid w:val="DDEFA60E"/>
    <w:rsid w:val="DDFEA398"/>
    <w:rsid w:val="DDFF2D7B"/>
    <w:rsid w:val="DEBF2331"/>
    <w:rsid w:val="DEEF9419"/>
    <w:rsid w:val="DEFF40FC"/>
    <w:rsid w:val="DF4D34C8"/>
    <w:rsid w:val="DF7B30F1"/>
    <w:rsid w:val="DF9D4B2F"/>
    <w:rsid w:val="DFBF6CE6"/>
    <w:rsid w:val="DFBF7070"/>
    <w:rsid w:val="DFEBE753"/>
    <w:rsid w:val="DFF2FD5A"/>
    <w:rsid w:val="DFF65F13"/>
    <w:rsid w:val="DFFBFFE4"/>
    <w:rsid w:val="DFFEB48A"/>
    <w:rsid w:val="DFFF0C48"/>
    <w:rsid w:val="E1BF4932"/>
    <w:rsid w:val="E1EE5CB0"/>
    <w:rsid w:val="E37FF64B"/>
    <w:rsid w:val="E3F5539D"/>
    <w:rsid w:val="E3F9323E"/>
    <w:rsid w:val="E5FB23D7"/>
    <w:rsid w:val="E77508D4"/>
    <w:rsid w:val="E7DFB417"/>
    <w:rsid w:val="E7EBE4CE"/>
    <w:rsid w:val="E7FF042F"/>
    <w:rsid w:val="E87FC41C"/>
    <w:rsid w:val="E90F73A3"/>
    <w:rsid w:val="E9EC415D"/>
    <w:rsid w:val="EA6E6063"/>
    <w:rsid w:val="EAF30DFF"/>
    <w:rsid w:val="EB7FA226"/>
    <w:rsid w:val="EBD7ED77"/>
    <w:rsid w:val="EBFD0ABE"/>
    <w:rsid w:val="EDBB3903"/>
    <w:rsid w:val="EDF3ED4A"/>
    <w:rsid w:val="EDF70583"/>
    <w:rsid w:val="EEC78129"/>
    <w:rsid w:val="EEFD32F4"/>
    <w:rsid w:val="EF3F7469"/>
    <w:rsid w:val="EF7C4DD3"/>
    <w:rsid w:val="EFBFCED9"/>
    <w:rsid w:val="EFD2D6D5"/>
    <w:rsid w:val="EFDE74EB"/>
    <w:rsid w:val="EFEAA161"/>
    <w:rsid w:val="EFEE3E3A"/>
    <w:rsid w:val="EFEE8DC5"/>
    <w:rsid w:val="EFF0ACEB"/>
    <w:rsid w:val="EFF12BA3"/>
    <w:rsid w:val="EFF6D188"/>
    <w:rsid w:val="EFFC353B"/>
    <w:rsid w:val="EFFFF99D"/>
    <w:rsid w:val="F0DE6CE1"/>
    <w:rsid w:val="F0FF2433"/>
    <w:rsid w:val="F1793240"/>
    <w:rsid w:val="F1879BB6"/>
    <w:rsid w:val="F1B76D36"/>
    <w:rsid w:val="F27F6591"/>
    <w:rsid w:val="F2B3FCBA"/>
    <w:rsid w:val="F2BB54DD"/>
    <w:rsid w:val="F3550E2D"/>
    <w:rsid w:val="F3B2C22B"/>
    <w:rsid w:val="F3BDC468"/>
    <w:rsid w:val="F3EAA69D"/>
    <w:rsid w:val="F3FB71C8"/>
    <w:rsid w:val="F3FE352D"/>
    <w:rsid w:val="F4D3C081"/>
    <w:rsid w:val="F4F70518"/>
    <w:rsid w:val="F5C73DB1"/>
    <w:rsid w:val="F5C9D567"/>
    <w:rsid w:val="F5CD2484"/>
    <w:rsid w:val="F5E704CA"/>
    <w:rsid w:val="F5E792D0"/>
    <w:rsid w:val="F65F156F"/>
    <w:rsid w:val="F67F637B"/>
    <w:rsid w:val="F6AB18FC"/>
    <w:rsid w:val="F6F9A437"/>
    <w:rsid w:val="F6FD859F"/>
    <w:rsid w:val="F7BD9F7F"/>
    <w:rsid w:val="F7BFCC57"/>
    <w:rsid w:val="F7D7AFE7"/>
    <w:rsid w:val="F7F4436D"/>
    <w:rsid w:val="F7FC0CEB"/>
    <w:rsid w:val="F7FC33F1"/>
    <w:rsid w:val="F7FF7C3E"/>
    <w:rsid w:val="F7FFF942"/>
    <w:rsid w:val="F97F00A5"/>
    <w:rsid w:val="F9EBFC7E"/>
    <w:rsid w:val="FB364376"/>
    <w:rsid w:val="FB5D7FA2"/>
    <w:rsid w:val="FB6E2688"/>
    <w:rsid w:val="FB7EF6F5"/>
    <w:rsid w:val="FB9EB588"/>
    <w:rsid w:val="FBB89E96"/>
    <w:rsid w:val="FBD3B6AD"/>
    <w:rsid w:val="FBD7C58E"/>
    <w:rsid w:val="FBEB2CCA"/>
    <w:rsid w:val="FBF790F6"/>
    <w:rsid w:val="FC55B842"/>
    <w:rsid w:val="FCE76132"/>
    <w:rsid w:val="FCFE7656"/>
    <w:rsid w:val="FD1F8FE0"/>
    <w:rsid w:val="FD558528"/>
    <w:rsid w:val="FD68DCAB"/>
    <w:rsid w:val="FD6D0BBC"/>
    <w:rsid w:val="FD94BCEF"/>
    <w:rsid w:val="FDDABB5A"/>
    <w:rsid w:val="FDDFCB73"/>
    <w:rsid w:val="FDE53F8C"/>
    <w:rsid w:val="FDEB7EE1"/>
    <w:rsid w:val="FDECE522"/>
    <w:rsid w:val="FDF73047"/>
    <w:rsid w:val="FDFF9F21"/>
    <w:rsid w:val="FDFFAAAD"/>
    <w:rsid w:val="FE1F3F2B"/>
    <w:rsid w:val="FE3F36CA"/>
    <w:rsid w:val="FE5D4200"/>
    <w:rsid w:val="FE7FF564"/>
    <w:rsid w:val="FEBB04F0"/>
    <w:rsid w:val="FEBEADEB"/>
    <w:rsid w:val="FEDF8AB7"/>
    <w:rsid w:val="FEE3D831"/>
    <w:rsid w:val="FEFA8358"/>
    <w:rsid w:val="FEFF1996"/>
    <w:rsid w:val="FEFF4271"/>
    <w:rsid w:val="FEFFE7F0"/>
    <w:rsid w:val="FF1FA0C0"/>
    <w:rsid w:val="FF2DF112"/>
    <w:rsid w:val="FF3FD105"/>
    <w:rsid w:val="FF5BBC20"/>
    <w:rsid w:val="FF5D49AF"/>
    <w:rsid w:val="FF6F3EF9"/>
    <w:rsid w:val="FF7312D3"/>
    <w:rsid w:val="FF76DA9B"/>
    <w:rsid w:val="FF777FCA"/>
    <w:rsid w:val="FF7EFDFC"/>
    <w:rsid w:val="FF7F2354"/>
    <w:rsid w:val="FF7F5D3E"/>
    <w:rsid w:val="FF8B8717"/>
    <w:rsid w:val="FF9FDD7C"/>
    <w:rsid w:val="FFAB76FB"/>
    <w:rsid w:val="FFAF35D9"/>
    <w:rsid w:val="FFAFA3E0"/>
    <w:rsid w:val="FFB713A8"/>
    <w:rsid w:val="FFBAB3A8"/>
    <w:rsid w:val="FFBD0D08"/>
    <w:rsid w:val="FFBD5CD2"/>
    <w:rsid w:val="FFBE095F"/>
    <w:rsid w:val="FFBF5991"/>
    <w:rsid w:val="FFBF5C11"/>
    <w:rsid w:val="FFBF8452"/>
    <w:rsid w:val="FFC39147"/>
    <w:rsid w:val="FFC753A0"/>
    <w:rsid w:val="FFD5DBFB"/>
    <w:rsid w:val="FFD9C9FE"/>
    <w:rsid w:val="FFDB855C"/>
    <w:rsid w:val="FFDD8539"/>
    <w:rsid w:val="FFDFAA01"/>
    <w:rsid w:val="FFE4991A"/>
    <w:rsid w:val="FFE74D5F"/>
    <w:rsid w:val="FFE751DF"/>
    <w:rsid w:val="FFEC005E"/>
    <w:rsid w:val="FFEC7DBF"/>
    <w:rsid w:val="FFF57E82"/>
    <w:rsid w:val="FFFA51E6"/>
    <w:rsid w:val="FFFC4611"/>
    <w:rsid w:val="FFFD3501"/>
    <w:rsid w:val="FFFDA855"/>
    <w:rsid w:val="FFFE1266"/>
    <w:rsid w:val="FFFE241C"/>
    <w:rsid w:val="FFFEFB6A"/>
    <w:rsid w:val="FFFF161C"/>
    <w:rsid w:val="FFFF7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6" w:lineRule="auto"/>
      <w:outlineLvl w:val="0"/>
    </w:pPr>
    <w:rPr>
      <w:rFonts w:eastAsia="方正黑体_GBK" w:cs="宋体"/>
      <w:b/>
      <w:bCs/>
      <w:kern w:val="44"/>
      <w:sz w:val="32"/>
      <w:szCs w:val="44"/>
    </w:rPr>
  </w:style>
  <w:style w:type="paragraph" w:styleId="3">
    <w:name w:val="heading 2"/>
    <w:basedOn w:val="1"/>
    <w:next w:val="1"/>
    <w:qFormat/>
    <w:uiPriority w:val="9"/>
    <w:pPr>
      <w:keepNext/>
      <w:keepLines/>
      <w:spacing w:before="260" w:after="260" w:line="415" w:lineRule="auto"/>
      <w:outlineLvl w:val="1"/>
    </w:pPr>
    <w:rPr>
      <w:rFonts w:ascii="Cambria" w:hAnsi="Cambria" w:cs="宋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qFormat/>
    <w:uiPriority w:val="0"/>
    <w:pPr>
      <w:suppressLineNumbers/>
      <w:spacing w:before="120" w:after="120"/>
    </w:pPr>
    <w:rPr>
      <w:i/>
      <w:iCs/>
      <w:sz w:val="24"/>
    </w:rPr>
  </w:style>
  <w:style w:type="paragraph" w:styleId="5">
    <w:name w:val="annotation text"/>
    <w:basedOn w:val="1"/>
    <w:link w:val="21"/>
    <w:unhideWhenUsed/>
    <w:qFormat/>
    <w:uiPriority w:val="99"/>
    <w:pPr>
      <w:jc w:val="left"/>
    </w:pPr>
  </w:style>
  <w:style w:type="paragraph" w:styleId="6">
    <w:name w:val="Body Text"/>
    <w:basedOn w:val="1"/>
    <w:qFormat/>
    <w:uiPriority w:val="0"/>
    <w:pPr>
      <w:spacing w:after="140" w:line="276" w:lineRule="auto"/>
    </w:pPr>
  </w:style>
  <w:style w:type="paragraph" w:styleId="7">
    <w:name w:val="Balloon Text"/>
    <w:basedOn w:val="1"/>
    <w:link w:val="22"/>
    <w:qFormat/>
    <w:uiPriority w:val="0"/>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tabs>
        <w:tab w:val="right" w:leader="dot" w:pos="8296"/>
      </w:tabs>
      <w:spacing w:line="276" w:lineRule="auto"/>
    </w:pPr>
  </w:style>
  <w:style w:type="paragraph" w:styleId="11">
    <w:name w:val="index heading"/>
    <w:basedOn w:val="1"/>
    <w:next w:val="12"/>
    <w:qFormat/>
    <w:uiPriority w:val="0"/>
    <w:rPr>
      <w:rFonts w:ascii="Arial" w:hAnsi="Arial"/>
      <w:b/>
    </w:rPr>
  </w:style>
  <w:style w:type="paragraph" w:styleId="12">
    <w:name w:val="index 1"/>
    <w:basedOn w:val="1"/>
    <w:next w:val="1"/>
    <w:qFormat/>
    <w:uiPriority w:val="0"/>
    <w:rPr>
      <w:rFonts w:ascii="Times New Roman" w:hAnsi="Times New Roman"/>
    </w:rPr>
  </w:style>
  <w:style w:type="paragraph" w:styleId="13">
    <w:name w:val="List"/>
    <w:basedOn w:val="6"/>
    <w:qFormat/>
    <w:uiPriority w:val="0"/>
  </w:style>
  <w:style w:type="paragraph" w:styleId="14">
    <w:name w:val="toc 2"/>
    <w:basedOn w:val="1"/>
    <w:next w:val="1"/>
    <w:unhideWhenUsed/>
    <w:qFormat/>
    <w:uiPriority w:val="39"/>
    <w:pPr>
      <w:ind w:left="420" w:leftChars="200"/>
    </w:pPr>
  </w:style>
  <w:style w:type="paragraph" w:styleId="15">
    <w:name w:val="annotation subject"/>
    <w:basedOn w:val="5"/>
    <w:next w:val="5"/>
    <w:link w:val="24"/>
    <w:qFormat/>
    <w:uiPriority w:val="0"/>
    <w:rPr>
      <w:b/>
      <w:bCs/>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Hyperlink"/>
    <w:unhideWhenUsed/>
    <w:qFormat/>
    <w:uiPriority w:val="99"/>
    <w:rPr>
      <w:color w:val="0000FF"/>
      <w:u w:val="single"/>
    </w:rPr>
  </w:style>
  <w:style w:type="character" w:styleId="20">
    <w:name w:val="annotation reference"/>
    <w:qFormat/>
    <w:uiPriority w:val="0"/>
    <w:rPr>
      <w:sz w:val="21"/>
      <w:szCs w:val="21"/>
    </w:rPr>
  </w:style>
  <w:style w:type="character" w:customStyle="1" w:styleId="21">
    <w:name w:val="批注文字 Char"/>
    <w:link w:val="5"/>
    <w:qFormat/>
    <w:uiPriority w:val="99"/>
    <w:rPr>
      <w:rFonts w:ascii="Calibri" w:hAnsi="Calibri"/>
      <w:kern w:val="2"/>
      <w:sz w:val="21"/>
      <w:szCs w:val="24"/>
    </w:rPr>
  </w:style>
  <w:style w:type="character" w:customStyle="1" w:styleId="22">
    <w:name w:val="批注框文本 Char"/>
    <w:link w:val="7"/>
    <w:qFormat/>
    <w:uiPriority w:val="0"/>
    <w:rPr>
      <w:rFonts w:ascii="Calibri" w:hAnsi="Calibri"/>
      <w:kern w:val="2"/>
      <w:sz w:val="18"/>
      <w:szCs w:val="18"/>
    </w:rPr>
  </w:style>
  <w:style w:type="character" w:customStyle="1" w:styleId="23">
    <w:name w:val="页脚 Char"/>
    <w:link w:val="8"/>
    <w:qFormat/>
    <w:uiPriority w:val="99"/>
    <w:rPr>
      <w:rFonts w:ascii="Calibri" w:hAnsi="Calibri"/>
      <w:kern w:val="2"/>
      <w:sz w:val="18"/>
      <w:szCs w:val="18"/>
    </w:rPr>
  </w:style>
  <w:style w:type="character" w:customStyle="1" w:styleId="24">
    <w:name w:val="批注主题 Char"/>
    <w:link w:val="15"/>
    <w:qFormat/>
    <w:uiPriority w:val="0"/>
    <w:rPr>
      <w:rFonts w:ascii="Calibri" w:hAnsi="Calibri"/>
      <w:b/>
      <w:bCs/>
      <w:kern w:val="2"/>
      <w:sz w:val="21"/>
      <w:szCs w:val="24"/>
    </w:rPr>
  </w:style>
  <w:style w:type="character" w:customStyle="1" w:styleId="25">
    <w:name w:val="默认段落字体1"/>
    <w:qFormat/>
    <w:uiPriority w:val="0"/>
  </w:style>
  <w:style w:type="paragraph" w:customStyle="1" w:styleId="26">
    <w:name w:val="SSE表格文字"/>
    <w:basedOn w:val="1"/>
    <w:qFormat/>
    <w:uiPriority w:val="0"/>
    <w:pPr>
      <w:widowControl/>
      <w:jc w:val="center"/>
    </w:pPr>
    <w:rPr>
      <w:rFonts w:eastAsia="仿宋_GB2312"/>
      <w:color w:val="000000"/>
      <w:kern w:val="0"/>
      <w:sz w:val="24"/>
    </w:rPr>
  </w:style>
  <w:style w:type="paragraph" w:customStyle="1" w:styleId="27">
    <w:name w:val="列出段落1"/>
    <w:basedOn w:val="1"/>
    <w:qFormat/>
    <w:uiPriority w:val="0"/>
    <w:pPr>
      <w:ind w:firstLine="420" w:firstLineChars="200"/>
    </w:pPr>
  </w:style>
  <w:style w:type="paragraph" w:customStyle="1" w:styleId="28">
    <w:name w:val="Heading"/>
    <w:basedOn w:val="1"/>
    <w:next w:val="6"/>
    <w:qFormat/>
    <w:uiPriority w:val="0"/>
    <w:pPr>
      <w:keepNext/>
      <w:spacing w:before="240" w:after="120"/>
    </w:pPr>
    <w:rPr>
      <w:rFonts w:ascii="Liberation Sans" w:hAnsi="Liberation Sans" w:eastAsia="Noto Sans CJK SC Regular" w:cs="Noto Sans CJK SC Regular"/>
      <w:sz w:val="28"/>
      <w:szCs w:val="28"/>
    </w:rPr>
  </w:style>
  <w:style w:type="paragraph" w:customStyle="1" w:styleId="29">
    <w:name w:val="Default"/>
    <w:qFormat/>
    <w:uiPriority w:val="0"/>
    <w:pPr>
      <w:widowControl w:val="0"/>
      <w:autoSpaceDE w:val="0"/>
      <w:autoSpaceDN w:val="0"/>
      <w:adjustRightInd w:val="0"/>
    </w:pPr>
    <w:rPr>
      <w:rFonts w:ascii="宋体@...艀." w:hAnsi="Times New Roman" w:eastAsia="宋体@...艀." w:cs="宋体@...艀."/>
      <w:color w:val="000000"/>
      <w:sz w:val="24"/>
      <w:szCs w:val="24"/>
      <w:lang w:val="en-US" w:eastAsia="zh-CN" w:bidi="ar-SA"/>
    </w:rPr>
  </w:style>
  <w:style w:type="paragraph" w:customStyle="1" w:styleId="30">
    <w:name w:val="Index"/>
    <w:basedOn w:val="1"/>
    <w:qFormat/>
    <w:uiPriority w:val="0"/>
    <w:pPr>
      <w:suppressLineNumbers/>
    </w:pPr>
  </w:style>
  <w:style w:type="table" w:customStyle="1" w:styleId="31">
    <w:name w:val="网格型11"/>
    <w:basedOn w:val="16"/>
    <w:qFormat/>
    <w:uiPriority w:val="59"/>
    <w:rPr>
      <w:rFonts w:ascii="Calibri" w:hAnsi="Calibri"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2">
    <w:name w:val="修订1"/>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3690</Words>
  <Characters>3714</Characters>
  <Lines>68</Lines>
  <Paragraphs>19</Paragraphs>
  <TotalTime>2</TotalTime>
  <ScaleCrop>false</ScaleCrop>
  <LinksUpToDate>false</LinksUpToDate>
  <CharactersWithSpaces>3790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2023-09-01T20:47:00Z</dcterms:created>
  <dc:creator>bse</dc:creator>
  <cp:lastModifiedBy>mawx</cp:lastModifiedBy>
  <cp:lastPrinted>2023-09-01T20:47:00Z</cp:lastPrinted>
  <dcterms:modified xsi:type="dcterms:W3CDTF">2024-09-25T18:54:07Z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236AF00BD28A034EA8E76164D251E6F0</vt:lpwstr>
  </property>
</Properties>
</file>