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600" w:lineRule="exact"/>
        <w:jc w:val="center"/>
        <w:rPr>
          <w:rFonts w:ascii="Times New Roman" w:hAnsi="Times New Roman" w:eastAsia="方正仿宋简体"/>
          <w:sz w:val="30"/>
          <w:szCs w:val="30"/>
        </w:rPr>
      </w:pPr>
    </w:p>
    <w:p>
      <w:pPr>
        <w:snapToGrid w:val="0"/>
        <w:spacing w:line="600" w:lineRule="exact"/>
        <w:jc w:val="center"/>
        <w:textAlignment w:val="baseline"/>
        <w:outlineLvl w:val="0"/>
        <w:rPr>
          <w:rFonts w:ascii="Times New Roman" w:hAnsi="Times New Roman" w:eastAsia="方正大标宋简体"/>
          <w:sz w:val="44"/>
          <w:szCs w:val="44"/>
        </w:rPr>
      </w:pPr>
      <w:r>
        <w:rPr>
          <w:rFonts w:hint="eastAsia" w:ascii="Times New Roman" w:hAnsi="Times New Roman" w:eastAsia="方正大标宋简体"/>
          <w:sz w:val="44"/>
          <w:szCs w:val="44"/>
        </w:rPr>
        <w:t>全国中小企业股份转让系统优先股业务指引</w:t>
      </w:r>
    </w:p>
    <w:p>
      <w:pPr>
        <w:snapToGrid w:val="0"/>
        <w:spacing w:line="600" w:lineRule="exact"/>
        <w:jc w:val="center"/>
        <w:textAlignment w:val="baseline"/>
        <w:outlineLvl w:val="0"/>
        <w:rPr>
          <w:rFonts w:ascii="Times New Roman" w:hAnsi="Times New Roman" w:eastAsia="黑体"/>
          <w:sz w:val="44"/>
          <w:szCs w:val="44"/>
        </w:rPr>
      </w:pPr>
      <w:r>
        <w:rPr>
          <w:rFonts w:hint="eastAsia" w:ascii="Times New Roman" w:hAnsi="Times New Roman" w:eastAsia="方正大标宋简体"/>
          <w:sz w:val="44"/>
          <w:szCs w:val="44"/>
        </w:rPr>
        <w:t>第</w:t>
      </w:r>
      <w:r>
        <w:rPr>
          <w:rFonts w:ascii="Times New Roman" w:hAnsi="Times New Roman" w:eastAsia="方正大标宋简体"/>
          <w:sz w:val="44"/>
          <w:szCs w:val="44"/>
        </w:rPr>
        <w:t>3</w:t>
      </w:r>
      <w:r>
        <w:rPr>
          <w:rFonts w:hint="eastAsia" w:ascii="Times New Roman" w:hAnsi="Times New Roman" w:eastAsia="方正大标宋简体"/>
          <w:sz w:val="44"/>
          <w:szCs w:val="44"/>
        </w:rPr>
        <w:t>号——法律意见书的内容与格式</w:t>
      </w:r>
    </w:p>
    <w:p>
      <w:pPr>
        <w:tabs>
          <w:tab w:val="left" w:pos="1820"/>
        </w:tabs>
        <w:snapToGrid w:val="0"/>
        <w:spacing w:line="600" w:lineRule="exact"/>
        <w:ind w:firstLine="640" w:firstLineChars="200"/>
        <w:textAlignment w:val="baseline"/>
        <w:rPr>
          <w:rFonts w:ascii="Times New Roman" w:hAnsi="Times New Roman" w:eastAsia="仿宋"/>
          <w:sz w:val="32"/>
          <w:szCs w:val="32"/>
        </w:rPr>
      </w:pPr>
      <w:r>
        <w:rPr>
          <w:rFonts w:ascii="Times New Roman" w:hAnsi="Times New Roman" w:eastAsia="仿宋_GB2312"/>
          <w:sz w:val="32"/>
          <w:szCs w:val="32"/>
        </w:rPr>
        <w:t xml:space="preserve">               </w:t>
      </w:r>
    </w:p>
    <w:p>
      <w:pPr>
        <w:tabs>
          <w:tab w:val="left" w:pos="1820"/>
        </w:tabs>
        <w:snapToGrid w:val="0"/>
        <w:spacing w:line="600" w:lineRule="exact"/>
        <w:ind w:firstLine="640" w:firstLineChars="200"/>
        <w:textAlignment w:val="baseline"/>
        <w:rPr>
          <w:rFonts w:ascii="Times New Roman" w:hAnsi="Times New Roman" w:eastAsia="方正大标宋简体"/>
          <w:sz w:val="42"/>
          <w:szCs w:val="42"/>
        </w:rPr>
      </w:pPr>
      <w:r>
        <w:rPr>
          <w:rFonts w:hint="eastAsia" w:ascii="Times New Roman" w:hAnsi="Times New Roman" w:eastAsia="仿宋"/>
          <w:sz w:val="32"/>
          <w:szCs w:val="32"/>
        </w:rPr>
        <w:t>（</w:t>
      </w:r>
      <w:r>
        <w:rPr>
          <w:rFonts w:ascii="Times New Roman" w:hAnsi="Times New Roman" w:eastAsia="楷体"/>
          <w:sz w:val="32"/>
          <w:szCs w:val="32"/>
        </w:rPr>
        <w:t>2015</w:t>
      </w:r>
      <w:r>
        <w:rPr>
          <w:rFonts w:hint="eastAsia" w:ascii="Times New Roman" w:hAnsi="Times New Roman" w:eastAsia="楷体"/>
          <w:sz w:val="32"/>
          <w:szCs w:val="32"/>
        </w:rPr>
        <w:t>年</w:t>
      </w:r>
      <w:r>
        <w:rPr>
          <w:rFonts w:ascii="Times New Roman" w:hAnsi="Times New Roman" w:eastAsia="楷体"/>
          <w:sz w:val="32"/>
          <w:szCs w:val="32"/>
        </w:rPr>
        <w:t>9</w:t>
      </w:r>
      <w:r>
        <w:rPr>
          <w:rFonts w:hint="eastAsia" w:ascii="Times New Roman" w:hAnsi="Times New Roman" w:eastAsia="楷体"/>
          <w:sz w:val="32"/>
          <w:szCs w:val="32"/>
        </w:rPr>
        <w:t>月</w:t>
      </w:r>
      <w:r>
        <w:rPr>
          <w:rFonts w:ascii="Times New Roman" w:hAnsi="Times New Roman" w:eastAsia="仿宋"/>
          <w:kern w:val="0"/>
          <w:sz w:val="32"/>
          <w:szCs w:val="32"/>
        </w:rPr>
        <w:t>2</w:t>
      </w:r>
      <w:r>
        <w:rPr>
          <w:rFonts w:hint="eastAsia" w:ascii="Times New Roman" w:hAnsi="Times New Roman" w:eastAsia="仿宋"/>
          <w:kern w:val="0"/>
          <w:sz w:val="32"/>
          <w:szCs w:val="32"/>
        </w:rPr>
        <w:t>1</w:t>
      </w:r>
      <w:r>
        <w:rPr>
          <w:rFonts w:hint="eastAsia" w:ascii="Times New Roman" w:hAnsi="Times New Roman" w:eastAsia="楷体"/>
          <w:sz w:val="32"/>
          <w:szCs w:val="32"/>
        </w:rPr>
        <w:t>日发布《全国中小企业股份转让系统优先股业务指南第</w:t>
      </w:r>
      <w:r>
        <w:rPr>
          <w:rFonts w:ascii="Times New Roman" w:hAnsi="Times New Roman" w:eastAsia="楷体"/>
          <w:sz w:val="32"/>
          <w:szCs w:val="32"/>
        </w:rPr>
        <w:t>3</w:t>
      </w:r>
      <w:r>
        <w:rPr>
          <w:rFonts w:hint="eastAsia" w:ascii="Times New Roman" w:hAnsi="Times New Roman" w:eastAsia="楷体"/>
          <w:sz w:val="32"/>
          <w:szCs w:val="32"/>
        </w:rPr>
        <w:t>号——法律意见</w:t>
      </w:r>
      <w:bookmarkStart w:id="0" w:name="_GoBack"/>
      <w:bookmarkEnd w:id="0"/>
      <w:r>
        <w:rPr>
          <w:rFonts w:hint="eastAsia" w:ascii="Times New Roman" w:hAnsi="Times New Roman" w:eastAsia="楷体"/>
          <w:sz w:val="32"/>
          <w:szCs w:val="32"/>
        </w:rPr>
        <w:t>书的内容与格式》，2019年10月18日更名为《全国中小企业股份转让系统优先股业务指引第</w:t>
      </w:r>
      <w:r>
        <w:rPr>
          <w:rFonts w:ascii="Times New Roman" w:hAnsi="Times New Roman" w:eastAsia="楷体"/>
          <w:sz w:val="32"/>
          <w:szCs w:val="32"/>
        </w:rPr>
        <w:t>3</w:t>
      </w:r>
      <w:r>
        <w:rPr>
          <w:rFonts w:hint="eastAsia" w:ascii="Times New Roman" w:hAnsi="Times New Roman" w:eastAsia="楷体"/>
          <w:sz w:val="32"/>
          <w:szCs w:val="32"/>
        </w:rPr>
        <w:t>号——法律意见书的内容与格式》，</w:t>
      </w:r>
      <w:r>
        <w:rPr>
          <w:rFonts w:ascii="Times New Roman" w:hAnsi="Times New Roman" w:eastAsia="楷体"/>
          <w:sz w:val="32"/>
          <w:szCs w:val="32"/>
        </w:rPr>
        <w:t>202</w:t>
      </w:r>
      <w:r>
        <w:rPr>
          <w:rFonts w:hint="eastAsia" w:ascii="Times New Roman" w:hAnsi="Times New Roman" w:eastAsia="楷体"/>
          <w:sz w:val="32"/>
          <w:szCs w:val="32"/>
          <w:lang w:val="en-US" w:eastAsia="zh-CN"/>
        </w:rPr>
        <w:t>3</w:t>
      </w:r>
      <w:r>
        <w:rPr>
          <w:rFonts w:hint="eastAsia" w:ascii="Times New Roman" w:hAnsi="Times New Roman" w:eastAsia="楷体"/>
          <w:sz w:val="32"/>
          <w:szCs w:val="32"/>
        </w:rPr>
        <w:t>年2月17日第一次修订</w:t>
      </w:r>
      <w:r>
        <w:rPr>
          <w:rFonts w:hint="eastAsia" w:ascii="Times New Roman" w:hAnsi="Times New Roman" w:eastAsia="仿宋"/>
          <w:sz w:val="32"/>
          <w:szCs w:val="32"/>
        </w:rPr>
        <w:t>）</w:t>
      </w:r>
    </w:p>
    <w:p>
      <w:pPr>
        <w:snapToGrid w:val="0"/>
        <w:spacing w:before="240" w:after="240" w:line="600" w:lineRule="exact"/>
        <w:jc w:val="center"/>
        <w:outlineLvl w:val="0"/>
        <w:rPr>
          <w:rFonts w:ascii="Times New Roman" w:hAnsi="Times New Roman" w:eastAsia="黑体"/>
          <w:color w:val="000000" w:themeColor="text1"/>
          <w:sz w:val="32"/>
          <w:szCs w:val="32"/>
          <w14:textFill>
            <w14:solidFill>
              <w14:schemeClr w14:val="tx1"/>
            </w14:solidFill>
          </w14:textFill>
        </w:rPr>
      </w:pPr>
      <w:r>
        <w:rPr>
          <w:rFonts w:ascii="Times New Roman" w:hAnsi="Times New Roman" w:eastAsia="黑体"/>
          <w:color w:val="000000" w:themeColor="text1"/>
          <w:sz w:val="32"/>
          <w:szCs w:val="32"/>
          <w14:textFill>
            <w14:solidFill>
              <w14:schemeClr w14:val="tx1"/>
            </w14:solidFill>
          </w14:textFill>
        </w:rPr>
        <w:t>第一章  总则</w:t>
      </w:r>
    </w:p>
    <w:p>
      <w:pPr>
        <w:snapToGrid w:val="0"/>
        <w:spacing w:line="600" w:lineRule="exact"/>
        <w:ind w:firstLine="645"/>
        <w:rPr>
          <w:rFonts w:ascii="Times New Roman" w:hAnsi="Times New Roman" w:eastAsia="仿宋"/>
          <w:sz w:val="32"/>
          <w:szCs w:val="32"/>
        </w:rPr>
      </w:pPr>
      <w:r>
        <w:rPr>
          <w:rFonts w:ascii="Times New Roman" w:hAnsi="Times New Roman" w:eastAsia="黑体"/>
          <w:sz w:val="32"/>
          <w:szCs w:val="32"/>
        </w:rPr>
        <w:t xml:space="preserve">第一条 </w:t>
      </w:r>
      <w:r>
        <w:rPr>
          <w:rFonts w:ascii="Times New Roman" w:hAnsi="Times New Roman" w:eastAsia="仿宋"/>
          <w:sz w:val="32"/>
          <w:szCs w:val="32"/>
        </w:rPr>
        <w:t>为</w:t>
      </w:r>
      <w:r>
        <w:rPr>
          <w:rFonts w:hint="eastAsia" w:ascii="Times New Roman" w:hAnsi="Times New Roman" w:eastAsia="仿宋"/>
          <w:sz w:val="32"/>
          <w:szCs w:val="32"/>
        </w:rPr>
        <w:t>了</w:t>
      </w:r>
      <w:r>
        <w:rPr>
          <w:rFonts w:ascii="Times New Roman" w:hAnsi="Times New Roman" w:eastAsia="仿宋"/>
          <w:sz w:val="32"/>
          <w:szCs w:val="32"/>
        </w:rPr>
        <w:t>规范全国中小企业股份转让系统（以下简称全国股转系统）优先股法律意见书的编制与披露，根据《全国中小企业股份转让系统优先股业务</w:t>
      </w:r>
      <w:r>
        <w:rPr>
          <w:rFonts w:hint="eastAsia" w:ascii="Times New Roman" w:hAnsi="Times New Roman" w:eastAsia="仿宋"/>
          <w:sz w:val="32"/>
          <w:szCs w:val="32"/>
        </w:rPr>
        <w:t>细则</w:t>
      </w:r>
      <w:r>
        <w:rPr>
          <w:rFonts w:ascii="Times New Roman" w:hAnsi="Times New Roman" w:eastAsia="仿宋"/>
          <w:sz w:val="32"/>
          <w:szCs w:val="32"/>
        </w:rPr>
        <w:t>》（以下简称《业务</w:t>
      </w:r>
      <w:r>
        <w:rPr>
          <w:rFonts w:hint="eastAsia" w:ascii="Times New Roman" w:hAnsi="Times New Roman" w:eastAsia="仿宋"/>
          <w:sz w:val="32"/>
          <w:szCs w:val="32"/>
        </w:rPr>
        <w:t>细则</w:t>
      </w:r>
      <w:r>
        <w:rPr>
          <w:rFonts w:ascii="Times New Roman" w:hAnsi="Times New Roman" w:eastAsia="仿宋"/>
          <w:sz w:val="32"/>
          <w:szCs w:val="32"/>
        </w:rPr>
        <w:t>》）等业务规则，制定本指引。</w:t>
      </w:r>
    </w:p>
    <w:p>
      <w:pPr>
        <w:snapToGrid w:val="0"/>
        <w:spacing w:line="600" w:lineRule="exact"/>
        <w:ind w:firstLine="630"/>
        <w:rPr>
          <w:rFonts w:ascii="Times New Roman" w:hAnsi="Times New Roman" w:eastAsia="仿宋"/>
          <w:color w:val="FF0000"/>
          <w:sz w:val="32"/>
          <w:szCs w:val="32"/>
        </w:rPr>
      </w:pPr>
      <w:r>
        <w:rPr>
          <w:rFonts w:ascii="Times New Roman" w:hAnsi="Times New Roman" w:eastAsia="黑体"/>
          <w:sz w:val="32"/>
          <w:szCs w:val="32"/>
        </w:rPr>
        <w:t xml:space="preserve">第二条 </w:t>
      </w:r>
      <w:r>
        <w:rPr>
          <w:rFonts w:ascii="Times New Roman" w:hAnsi="Times New Roman" w:eastAsia="仿宋"/>
          <w:sz w:val="32"/>
          <w:szCs w:val="32"/>
        </w:rPr>
        <w:t>律师事务所根据《业务</w:t>
      </w:r>
      <w:r>
        <w:rPr>
          <w:rFonts w:hint="eastAsia" w:ascii="Times New Roman" w:hAnsi="Times New Roman" w:eastAsia="仿宋"/>
          <w:sz w:val="32"/>
          <w:szCs w:val="32"/>
        </w:rPr>
        <w:t>细则</w:t>
      </w:r>
      <w:r>
        <w:rPr>
          <w:rFonts w:ascii="Times New Roman" w:hAnsi="Times New Roman" w:eastAsia="仿宋"/>
          <w:sz w:val="32"/>
          <w:szCs w:val="32"/>
        </w:rPr>
        <w:t>》为优先股发行出具的法律意见书应当包括本指引第二章规定的内容。</w:t>
      </w:r>
    </w:p>
    <w:p>
      <w:pPr>
        <w:snapToGrid w:val="0"/>
        <w:spacing w:line="600" w:lineRule="exact"/>
        <w:ind w:firstLine="645"/>
        <w:rPr>
          <w:rFonts w:ascii="Times New Roman" w:hAnsi="Times New Roman" w:eastAsia="仿宋"/>
          <w:sz w:val="32"/>
          <w:szCs w:val="32"/>
        </w:rPr>
      </w:pPr>
      <w:r>
        <w:rPr>
          <w:rFonts w:ascii="Times New Roman" w:hAnsi="Times New Roman" w:eastAsia="黑体"/>
          <w:sz w:val="32"/>
          <w:szCs w:val="32"/>
        </w:rPr>
        <w:t>第三条</w:t>
      </w:r>
      <w:r>
        <w:rPr>
          <w:rFonts w:ascii="Times New Roman" w:hAnsi="Times New Roman" w:eastAsia="仿宋"/>
          <w:sz w:val="32"/>
          <w:szCs w:val="32"/>
        </w:rPr>
        <w:t xml:space="preserve"> 本指引对法律意见书的格式未明确规定的，可参照《</w:t>
      </w:r>
      <w:r>
        <w:rPr>
          <w:rFonts w:hint="eastAsia" w:ascii="Times New Roman" w:hAnsi="Times New Roman" w:eastAsia="仿宋"/>
          <w:sz w:val="32"/>
          <w:szCs w:val="32"/>
        </w:rPr>
        <w:t>非上市公众公司信息披露内容与格式准则第</w:t>
      </w:r>
      <w:r>
        <w:rPr>
          <w:rFonts w:ascii="Times New Roman" w:hAnsi="Times New Roman" w:eastAsia="仿宋"/>
          <w:sz w:val="32"/>
          <w:szCs w:val="32"/>
        </w:rPr>
        <w:t>3</w:t>
      </w:r>
      <w:r>
        <w:rPr>
          <w:rFonts w:hint="eastAsia" w:ascii="Times New Roman" w:hAnsi="Times New Roman" w:eastAsia="仿宋"/>
          <w:sz w:val="32"/>
          <w:szCs w:val="32"/>
        </w:rPr>
        <w:t>号——定向发行说明书和发行情况报告书》</w:t>
      </w:r>
      <w:r>
        <w:rPr>
          <w:rFonts w:ascii="Times New Roman" w:hAnsi="Times New Roman" w:eastAsia="仿宋"/>
          <w:sz w:val="32"/>
          <w:szCs w:val="32"/>
        </w:rPr>
        <w:t>的相关规定。</w:t>
      </w:r>
    </w:p>
    <w:p>
      <w:pPr>
        <w:snapToGrid w:val="0"/>
        <w:spacing w:line="600" w:lineRule="exact"/>
        <w:ind w:firstLine="645"/>
        <w:rPr>
          <w:rFonts w:ascii="Times New Roman" w:hAnsi="Times New Roman" w:eastAsia="仿宋"/>
          <w:sz w:val="32"/>
          <w:szCs w:val="32"/>
        </w:rPr>
      </w:pPr>
      <w:r>
        <w:rPr>
          <w:rFonts w:ascii="Times New Roman" w:hAnsi="Times New Roman" w:eastAsia="黑体"/>
          <w:sz w:val="32"/>
          <w:szCs w:val="32"/>
        </w:rPr>
        <w:t xml:space="preserve">第四条 </w:t>
      </w:r>
      <w:r>
        <w:rPr>
          <w:rFonts w:ascii="Times New Roman" w:hAnsi="Times New Roman" w:eastAsia="仿宋"/>
          <w:sz w:val="32"/>
          <w:szCs w:val="32"/>
        </w:rPr>
        <w:t>公司聘请的律师事务所及其委派的律师（以下</w:t>
      </w:r>
      <w:r>
        <w:rPr>
          <w:rFonts w:hint="eastAsia" w:ascii="Times New Roman" w:hAnsi="Times New Roman" w:eastAsia="仿宋"/>
          <w:sz w:val="32"/>
          <w:szCs w:val="32"/>
        </w:rPr>
        <w:t>“</w:t>
      </w:r>
      <w:r>
        <w:rPr>
          <w:rFonts w:ascii="Times New Roman" w:hAnsi="Times New Roman" w:eastAsia="仿宋"/>
          <w:sz w:val="32"/>
          <w:szCs w:val="32"/>
        </w:rPr>
        <w:t>律师</w:t>
      </w:r>
      <w:r>
        <w:rPr>
          <w:rFonts w:hint="eastAsia" w:ascii="Times New Roman" w:hAnsi="Times New Roman" w:eastAsia="仿宋"/>
          <w:sz w:val="32"/>
          <w:szCs w:val="32"/>
        </w:rPr>
        <w:t>”</w:t>
      </w:r>
      <w:r>
        <w:rPr>
          <w:rFonts w:ascii="Times New Roman" w:hAnsi="Times New Roman" w:eastAsia="仿宋"/>
          <w:sz w:val="32"/>
          <w:szCs w:val="32"/>
        </w:rPr>
        <w:t>均指签名律师及其所任职的律师事务所），应在尽职调查基础上，按本指引的要求出具法律意见书，对照本指引及有关规定逐项发表明确意见或结论。</w:t>
      </w:r>
    </w:p>
    <w:p>
      <w:pPr>
        <w:snapToGrid w:val="0"/>
        <w:spacing w:line="600" w:lineRule="exact"/>
        <w:ind w:firstLine="645"/>
        <w:rPr>
          <w:rFonts w:ascii="Times New Roman" w:hAnsi="Times New Roman" w:eastAsia="仿宋"/>
          <w:sz w:val="32"/>
          <w:szCs w:val="32"/>
        </w:rPr>
      </w:pPr>
      <w:r>
        <w:rPr>
          <w:rFonts w:ascii="Times New Roman" w:hAnsi="Times New Roman" w:eastAsia="仿宋"/>
          <w:sz w:val="32"/>
          <w:szCs w:val="32"/>
        </w:rPr>
        <w:t>本指引仅是对法律意见书内容的一般性要求，本指引未明确要求，但律师认为对优先股发行有重大影响的法律问题，律师应当发表意见。</w:t>
      </w:r>
    </w:p>
    <w:p>
      <w:pPr>
        <w:snapToGrid w:val="0"/>
        <w:spacing w:line="600" w:lineRule="exact"/>
        <w:ind w:firstLine="645"/>
        <w:rPr>
          <w:rFonts w:ascii="Times New Roman" w:hAnsi="Times New Roman" w:eastAsia="仿宋"/>
          <w:sz w:val="32"/>
          <w:szCs w:val="32"/>
        </w:rPr>
      </w:pPr>
      <w:r>
        <w:rPr>
          <w:rFonts w:ascii="Times New Roman" w:hAnsi="Times New Roman" w:eastAsia="黑体"/>
          <w:sz w:val="32"/>
          <w:szCs w:val="32"/>
        </w:rPr>
        <w:t xml:space="preserve">第五条 </w:t>
      </w:r>
      <w:r>
        <w:rPr>
          <w:rFonts w:ascii="Times New Roman" w:hAnsi="Times New Roman" w:eastAsia="仿宋"/>
          <w:sz w:val="32"/>
          <w:szCs w:val="32"/>
        </w:rPr>
        <w:t>律师应在法律意见书中详尽、完整地阐述所发表意见或结论的依据、进行有关核查验证的过程、所涉及的必要资料或文件。</w:t>
      </w:r>
    </w:p>
    <w:p>
      <w:pPr>
        <w:snapToGrid w:val="0"/>
        <w:spacing w:line="600" w:lineRule="exact"/>
        <w:ind w:firstLine="645"/>
        <w:rPr>
          <w:rFonts w:ascii="Times New Roman" w:hAnsi="Times New Roman" w:eastAsia="仿宋"/>
          <w:sz w:val="32"/>
          <w:szCs w:val="32"/>
        </w:rPr>
      </w:pPr>
      <w:r>
        <w:rPr>
          <w:rFonts w:ascii="Times New Roman" w:hAnsi="Times New Roman" w:eastAsia="黑体"/>
          <w:sz w:val="32"/>
          <w:szCs w:val="32"/>
        </w:rPr>
        <w:t xml:space="preserve">第六条 </w:t>
      </w:r>
      <w:r>
        <w:rPr>
          <w:rFonts w:ascii="Times New Roman" w:hAnsi="Times New Roman" w:eastAsia="仿宋"/>
          <w:sz w:val="32"/>
          <w:szCs w:val="32"/>
        </w:rPr>
        <w:t>对不符合有关法律、法规和中国证监会、全国中小企业股份转让系统有限责任公司（以下简称全国股转公司）有关规定的事项，或已勤勉尽责仍不能对其法律性质或其合法性作出准确判断的事项，律师应发表保留意见，并说明相应的理由。</w:t>
      </w:r>
    </w:p>
    <w:p>
      <w:pPr>
        <w:snapToGrid w:val="0"/>
        <w:spacing w:line="600" w:lineRule="exact"/>
        <w:ind w:firstLine="645"/>
        <w:rPr>
          <w:rFonts w:ascii="Times New Roman" w:hAnsi="Times New Roman" w:eastAsia="仿宋"/>
          <w:sz w:val="32"/>
          <w:szCs w:val="32"/>
        </w:rPr>
      </w:pPr>
      <w:r>
        <w:rPr>
          <w:rFonts w:ascii="Times New Roman" w:hAnsi="Times New Roman" w:eastAsia="黑体"/>
          <w:sz w:val="32"/>
          <w:szCs w:val="32"/>
        </w:rPr>
        <w:t xml:space="preserve">第七条 </w:t>
      </w:r>
      <w:r>
        <w:rPr>
          <w:rFonts w:ascii="Times New Roman" w:hAnsi="Times New Roman" w:eastAsia="仿宋"/>
          <w:sz w:val="32"/>
          <w:szCs w:val="32"/>
        </w:rPr>
        <w:t>法律意见书应由</w:t>
      </w:r>
      <w:r>
        <w:rPr>
          <w:rFonts w:hint="eastAsia" w:ascii="Times New Roman" w:hAnsi="Times New Roman" w:eastAsia="仿宋"/>
          <w:sz w:val="32"/>
          <w:szCs w:val="32"/>
        </w:rPr>
        <w:t>2</w:t>
      </w:r>
      <w:r>
        <w:rPr>
          <w:rFonts w:ascii="Times New Roman" w:hAnsi="Times New Roman" w:eastAsia="仿宋"/>
          <w:sz w:val="32"/>
          <w:szCs w:val="32"/>
        </w:rPr>
        <w:t>名以上（含）经办律师和其所在律师事务所的负责人签名，并经该律师事务所加盖公章、签署日期。</w:t>
      </w:r>
    </w:p>
    <w:p>
      <w:pPr>
        <w:snapToGrid w:val="0"/>
        <w:spacing w:before="240" w:after="240" w:line="600" w:lineRule="exact"/>
        <w:jc w:val="center"/>
        <w:outlineLvl w:val="0"/>
        <w:rPr>
          <w:rFonts w:ascii="Times New Roman" w:hAnsi="Times New Roman" w:eastAsia="黑体"/>
          <w:color w:val="000000" w:themeColor="text1"/>
          <w:sz w:val="32"/>
          <w:szCs w:val="32"/>
          <w14:textFill>
            <w14:solidFill>
              <w14:schemeClr w14:val="tx1"/>
            </w14:solidFill>
          </w14:textFill>
        </w:rPr>
      </w:pPr>
      <w:r>
        <w:rPr>
          <w:rFonts w:ascii="Times New Roman" w:hAnsi="Times New Roman" w:eastAsia="黑体"/>
          <w:color w:val="000000" w:themeColor="text1"/>
          <w:sz w:val="32"/>
          <w:szCs w:val="32"/>
          <w14:textFill>
            <w14:solidFill>
              <w14:schemeClr w14:val="tx1"/>
            </w14:solidFill>
          </w14:textFill>
        </w:rPr>
        <w:t>第二章  法律意见书的必备内容</w:t>
      </w:r>
    </w:p>
    <w:p>
      <w:pPr>
        <w:snapToGrid w:val="0"/>
        <w:spacing w:line="600" w:lineRule="exact"/>
        <w:ind w:firstLine="645"/>
        <w:rPr>
          <w:rFonts w:ascii="Times New Roman" w:hAnsi="Times New Roman" w:eastAsia="仿宋"/>
          <w:sz w:val="32"/>
          <w:szCs w:val="32"/>
        </w:rPr>
      </w:pPr>
      <w:r>
        <w:rPr>
          <w:rFonts w:ascii="Times New Roman" w:hAnsi="Times New Roman" w:eastAsia="黑体"/>
          <w:sz w:val="32"/>
          <w:szCs w:val="32"/>
        </w:rPr>
        <w:t xml:space="preserve">第八条 </w:t>
      </w:r>
      <w:r>
        <w:rPr>
          <w:rFonts w:ascii="Times New Roman" w:hAnsi="Times New Roman" w:eastAsia="仿宋"/>
          <w:sz w:val="32"/>
          <w:szCs w:val="32"/>
        </w:rPr>
        <w:t>律师应在进行充分核查验证的基础上，对本次优先股发行的下列（包括但不限于）事项明确发表结论性意见。所发表的结论性意见应包括是否合法合规、是否真实有效、是否存在纠纷或潜在风险；不存在下列事项的，也应明确说明：</w:t>
      </w:r>
    </w:p>
    <w:p>
      <w:pPr>
        <w:snapToGrid w:val="0"/>
        <w:spacing w:line="600" w:lineRule="exact"/>
        <w:ind w:firstLine="660"/>
        <w:jc w:val="left"/>
        <w:textAlignment w:val="baseline"/>
        <w:rPr>
          <w:rFonts w:ascii="Times New Roman" w:hAnsi="Times New Roman" w:eastAsia="仿宋"/>
          <w:color w:val="000000"/>
          <w:sz w:val="32"/>
          <w:szCs w:val="32"/>
        </w:rPr>
      </w:pPr>
      <w:r>
        <w:rPr>
          <w:rFonts w:ascii="Times New Roman" w:hAnsi="Times New Roman" w:eastAsia="仿宋"/>
          <w:color w:val="000000"/>
          <w:sz w:val="32"/>
          <w:szCs w:val="32"/>
        </w:rPr>
        <w:t>（一）关于发行人是否符合《优先股试点管理办法》（以下简称《试点办法》）第四十一条规定的发行条件；</w:t>
      </w:r>
    </w:p>
    <w:p>
      <w:pPr>
        <w:snapToGrid w:val="0"/>
        <w:spacing w:line="600" w:lineRule="exact"/>
        <w:ind w:firstLine="660"/>
        <w:jc w:val="left"/>
        <w:textAlignment w:val="baseline"/>
        <w:rPr>
          <w:rFonts w:ascii="Times New Roman" w:hAnsi="Times New Roman" w:eastAsia="仿宋"/>
          <w:color w:val="000000"/>
          <w:sz w:val="32"/>
          <w:szCs w:val="32"/>
        </w:rPr>
      </w:pPr>
      <w:r>
        <w:rPr>
          <w:rFonts w:ascii="Times New Roman" w:hAnsi="Times New Roman" w:eastAsia="仿宋"/>
          <w:color w:val="000000"/>
          <w:sz w:val="32"/>
          <w:szCs w:val="32"/>
        </w:rPr>
        <w:t>（二）发行人是否存在《试点办法》第二十五条规定的不得发行优先股相关情形</w:t>
      </w:r>
      <w:r>
        <w:rPr>
          <w:rFonts w:hint="eastAsia" w:ascii="Times New Roman" w:hAnsi="Times New Roman" w:eastAsia="仿宋"/>
          <w:color w:val="000000"/>
          <w:sz w:val="32"/>
          <w:szCs w:val="32"/>
        </w:rPr>
        <w:t>；</w:t>
      </w:r>
    </w:p>
    <w:p>
      <w:pPr>
        <w:snapToGrid w:val="0"/>
        <w:spacing w:line="600" w:lineRule="exact"/>
        <w:ind w:firstLine="660"/>
        <w:jc w:val="left"/>
        <w:textAlignment w:val="baseline"/>
        <w:rPr>
          <w:rFonts w:ascii="Times New Roman" w:hAnsi="Times New Roman" w:eastAsia="仿宋"/>
          <w:color w:val="000000"/>
          <w:sz w:val="32"/>
          <w:szCs w:val="32"/>
        </w:rPr>
      </w:pPr>
      <w:r>
        <w:rPr>
          <w:rFonts w:ascii="Times New Roman" w:hAnsi="Times New Roman" w:eastAsia="仿宋"/>
          <w:color w:val="000000"/>
          <w:sz w:val="32"/>
          <w:szCs w:val="32"/>
        </w:rPr>
        <w:t>（三）本次优先股发行是否符合豁免申请注册的条件；</w:t>
      </w:r>
    </w:p>
    <w:p>
      <w:pPr>
        <w:snapToGrid w:val="0"/>
        <w:spacing w:line="600" w:lineRule="exact"/>
        <w:ind w:firstLine="660"/>
        <w:jc w:val="left"/>
        <w:textAlignment w:val="baseline"/>
        <w:rPr>
          <w:rFonts w:ascii="Times New Roman" w:hAnsi="Times New Roman" w:eastAsia="仿宋"/>
          <w:color w:val="000000"/>
          <w:sz w:val="32"/>
          <w:szCs w:val="32"/>
        </w:rPr>
      </w:pPr>
      <w:r>
        <w:rPr>
          <w:rFonts w:ascii="Times New Roman" w:hAnsi="Times New Roman" w:eastAsia="仿宋"/>
          <w:color w:val="000000"/>
          <w:sz w:val="32"/>
          <w:szCs w:val="32"/>
        </w:rPr>
        <w:t>（四）优先股发行规模和募集金额</w:t>
      </w:r>
      <w:r>
        <w:rPr>
          <w:rFonts w:hint="eastAsia" w:ascii="Times New Roman" w:hAnsi="Times New Roman" w:eastAsia="仿宋"/>
          <w:color w:val="000000"/>
          <w:sz w:val="32"/>
          <w:szCs w:val="32"/>
        </w:rPr>
        <w:t>的</w:t>
      </w:r>
      <w:r>
        <w:rPr>
          <w:rFonts w:ascii="Times New Roman" w:hAnsi="Times New Roman" w:eastAsia="仿宋"/>
          <w:color w:val="000000"/>
          <w:sz w:val="32"/>
          <w:szCs w:val="32"/>
        </w:rPr>
        <w:t>合法合规</w:t>
      </w:r>
      <w:r>
        <w:rPr>
          <w:rFonts w:hint="eastAsia" w:ascii="Times New Roman" w:hAnsi="Times New Roman" w:eastAsia="仿宋"/>
          <w:color w:val="000000"/>
          <w:sz w:val="32"/>
          <w:szCs w:val="32"/>
        </w:rPr>
        <w:t>性</w:t>
      </w:r>
      <w:r>
        <w:rPr>
          <w:rFonts w:ascii="Times New Roman" w:hAnsi="Times New Roman" w:eastAsia="仿宋"/>
          <w:color w:val="000000"/>
          <w:sz w:val="32"/>
          <w:szCs w:val="32"/>
        </w:rPr>
        <w:t>；</w:t>
      </w:r>
    </w:p>
    <w:p>
      <w:pPr>
        <w:snapToGrid w:val="0"/>
        <w:spacing w:line="600" w:lineRule="exact"/>
        <w:ind w:firstLine="660"/>
        <w:jc w:val="left"/>
        <w:textAlignment w:val="baseline"/>
        <w:rPr>
          <w:rFonts w:ascii="Times New Roman" w:hAnsi="Times New Roman" w:eastAsia="仿宋"/>
          <w:color w:val="000000"/>
          <w:sz w:val="32"/>
          <w:szCs w:val="32"/>
        </w:rPr>
      </w:pPr>
      <w:r>
        <w:rPr>
          <w:rFonts w:ascii="Times New Roman" w:hAnsi="Times New Roman" w:eastAsia="仿宋"/>
          <w:color w:val="000000"/>
          <w:sz w:val="32"/>
          <w:szCs w:val="32"/>
        </w:rPr>
        <w:t>（五）优先股股东的表决权、分配权等条款设置，以及优先股的赎回、回售和转股（如有）等特殊条款</w:t>
      </w:r>
      <w:r>
        <w:rPr>
          <w:rFonts w:hint="eastAsia" w:ascii="Times New Roman" w:hAnsi="Times New Roman" w:eastAsia="仿宋"/>
          <w:color w:val="000000"/>
          <w:sz w:val="32"/>
          <w:szCs w:val="32"/>
        </w:rPr>
        <w:t>的</w:t>
      </w:r>
      <w:r>
        <w:rPr>
          <w:rFonts w:ascii="Times New Roman" w:hAnsi="Times New Roman" w:eastAsia="仿宋"/>
          <w:color w:val="000000"/>
          <w:sz w:val="32"/>
          <w:szCs w:val="32"/>
        </w:rPr>
        <w:t>合法合规</w:t>
      </w:r>
      <w:r>
        <w:rPr>
          <w:rFonts w:hint="eastAsia" w:ascii="Times New Roman" w:hAnsi="Times New Roman" w:eastAsia="仿宋"/>
          <w:color w:val="000000"/>
          <w:sz w:val="32"/>
          <w:szCs w:val="32"/>
        </w:rPr>
        <w:t>性</w:t>
      </w:r>
      <w:r>
        <w:rPr>
          <w:rFonts w:ascii="Times New Roman" w:hAnsi="Times New Roman" w:eastAsia="仿宋"/>
          <w:color w:val="000000"/>
          <w:sz w:val="32"/>
          <w:szCs w:val="32"/>
        </w:rPr>
        <w:t>；</w:t>
      </w:r>
    </w:p>
    <w:p>
      <w:pPr>
        <w:snapToGrid w:val="0"/>
        <w:spacing w:line="600" w:lineRule="exact"/>
        <w:ind w:firstLine="660"/>
        <w:jc w:val="left"/>
        <w:textAlignment w:val="baseline"/>
        <w:rPr>
          <w:rFonts w:ascii="Times New Roman" w:hAnsi="Times New Roman" w:eastAsia="仿宋"/>
          <w:color w:val="000000"/>
          <w:sz w:val="32"/>
          <w:szCs w:val="32"/>
        </w:rPr>
      </w:pPr>
      <w:r>
        <w:rPr>
          <w:rFonts w:ascii="Times New Roman" w:hAnsi="Times New Roman" w:eastAsia="仿宋"/>
          <w:color w:val="000000"/>
          <w:sz w:val="32"/>
          <w:szCs w:val="32"/>
        </w:rPr>
        <w:t>（六）发行优先股的决策程序和定价结果</w:t>
      </w:r>
      <w:r>
        <w:rPr>
          <w:rFonts w:hint="eastAsia" w:ascii="Times New Roman" w:hAnsi="Times New Roman" w:eastAsia="仿宋"/>
          <w:color w:val="000000"/>
          <w:sz w:val="32"/>
          <w:szCs w:val="32"/>
        </w:rPr>
        <w:t>的</w:t>
      </w:r>
      <w:r>
        <w:rPr>
          <w:rFonts w:ascii="Times New Roman" w:hAnsi="Times New Roman" w:eastAsia="仿宋"/>
          <w:color w:val="000000"/>
          <w:sz w:val="32"/>
          <w:szCs w:val="32"/>
        </w:rPr>
        <w:t>合法合规</w:t>
      </w:r>
      <w:r>
        <w:rPr>
          <w:rFonts w:hint="eastAsia" w:ascii="Times New Roman" w:hAnsi="Times New Roman" w:eastAsia="仿宋"/>
          <w:color w:val="000000"/>
          <w:sz w:val="32"/>
          <w:szCs w:val="32"/>
        </w:rPr>
        <w:t>性</w:t>
      </w:r>
      <w:r>
        <w:rPr>
          <w:rFonts w:ascii="Times New Roman" w:hAnsi="Times New Roman" w:eastAsia="仿宋"/>
          <w:color w:val="000000"/>
          <w:sz w:val="32"/>
          <w:szCs w:val="32"/>
        </w:rPr>
        <w:t>；</w:t>
      </w:r>
    </w:p>
    <w:p>
      <w:pPr>
        <w:snapToGrid w:val="0"/>
        <w:spacing w:line="600" w:lineRule="exact"/>
        <w:ind w:firstLine="660"/>
        <w:jc w:val="left"/>
        <w:textAlignment w:val="baseline"/>
        <w:rPr>
          <w:rFonts w:ascii="Times New Roman" w:hAnsi="Times New Roman" w:eastAsia="仿宋"/>
          <w:color w:val="000000"/>
          <w:sz w:val="32"/>
          <w:szCs w:val="32"/>
        </w:rPr>
      </w:pPr>
      <w:r>
        <w:rPr>
          <w:rFonts w:ascii="Times New Roman" w:hAnsi="Times New Roman" w:eastAsia="仿宋"/>
          <w:color w:val="000000"/>
          <w:sz w:val="32"/>
          <w:szCs w:val="32"/>
        </w:rPr>
        <w:t>（七）发行对象是否符合投资者适当性和投资者人数限制的规定；</w:t>
      </w:r>
    </w:p>
    <w:p>
      <w:pPr>
        <w:snapToGrid w:val="0"/>
        <w:spacing w:line="600" w:lineRule="exact"/>
        <w:ind w:firstLine="660"/>
        <w:jc w:val="left"/>
        <w:textAlignment w:val="baseline"/>
        <w:rPr>
          <w:rFonts w:ascii="Times New Roman" w:hAnsi="Times New Roman" w:eastAsia="仿宋"/>
          <w:color w:val="000000"/>
          <w:sz w:val="32"/>
          <w:szCs w:val="32"/>
        </w:rPr>
      </w:pPr>
      <w:r>
        <w:rPr>
          <w:rFonts w:ascii="Times New Roman" w:hAnsi="Times New Roman" w:eastAsia="仿宋"/>
          <w:color w:val="000000"/>
          <w:sz w:val="32"/>
          <w:szCs w:val="32"/>
        </w:rPr>
        <w:t>（八）认购合同、公司章程等法律文件是否真实、合法、有效；</w:t>
      </w:r>
    </w:p>
    <w:p>
      <w:pPr>
        <w:snapToGrid w:val="0"/>
        <w:spacing w:line="600" w:lineRule="exact"/>
        <w:ind w:firstLine="660"/>
        <w:jc w:val="left"/>
        <w:textAlignment w:val="baseline"/>
        <w:rPr>
          <w:rFonts w:ascii="Times New Roman" w:hAnsi="Times New Roman" w:eastAsia="仿宋"/>
          <w:color w:val="000000"/>
          <w:sz w:val="32"/>
          <w:szCs w:val="32"/>
        </w:rPr>
      </w:pPr>
      <w:r>
        <w:rPr>
          <w:rFonts w:ascii="Times New Roman" w:hAnsi="Times New Roman" w:eastAsia="仿宋"/>
          <w:color w:val="000000"/>
          <w:sz w:val="32"/>
          <w:szCs w:val="32"/>
        </w:rPr>
        <w:t>（九）本次优先股发行涉及的公司章程修改内容是否与定向发行优先股说明书和发行情况报告书的相关内容一致；</w:t>
      </w:r>
    </w:p>
    <w:p>
      <w:pPr>
        <w:tabs>
          <w:tab w:val="right" w:pos="8504"/>
        </w:tabs>
        <w:snapToGrid w:val="0"/>
        <w:spacing w:line="600" w:lineRule="exact"/>
        <w:ind w:firstLine="660"/>
        <w:jc w:val="left"/>
        <w:textAlignment w:val="baseline"/>
        <w:rPr>
          <w:rFonts w:ascii="Times New Roman" w:hAnsi="Times New Roman" w:eastAsia="仿宋"/>
          <w:color w:val="000000"/>
          <w:sz w:val="32"/>
          <w:szCs w:val="32"/>
        </w:rPr>
      </w:pPr>
      <w:r>
        <w:rPr>
          <w:rFonts w:ascii="Times New Roman" w:hAnsi="Times New Roman" w:eastAsia="仿宋"/>
          <w:color w:val="000000"/>
          <w:sz w:val="32"/>
          <w:szCs w:val="32"/>
        </w:rPr>
        <w:t>（十）律师事务所认为需要说明的其他事项。</w:t>
      </w:r>
    </w:p>
    <w:p>
      <w:pPr>
        <w:snapToGrid w:val="0"/>
        <w:spacing w:before="240" w:after="240" w:line="600" w:lineRule="exact"/>
        <w:jc w:val="center"/>
        <w:outlineLvl w:val="0"/>
        <w:rPr>
          <w:rFonts w:ascii="Times New Roman" w:hAnsi="Times New Roman" w:eastAsia="黑体"/>
          <w:color w:val="000000" w:themeColor="text1"/>
          <w:sz w:val="32"/>
          <w:szCs w:val="32"/>
          <w14:textFill>
            <w14:solidFill>
              <w14:schemeClr w14:val="tx1"/>
            </w14:solidFill>
          </w14:textFill>
        </w:rPr>
      </w:pPr>
      <w:r>
        <w:rPr>
          <w:rFonts w:ascii="Times New Roman" w:hAnsi="Times New Roman" w:eastAsia="黑体"/>
          <w:color w:val="000000" w:themeColor="text1"/>
          <w:sz w:val="32"/>
          <w:szCs w:val="32"/>
          <w14:textFill>
            <w14:solidFill>
              <w14:schemeClr w14:val="tx1"/>
            </w14:solidFill>
          </w14:textFill>
        </w:rPr>
        <w:t>第三章  附则</w:t>
      </w:r>
    </w:p>
    <w:p>
      <w:pPr>
        <w:tabs>
          <w:tab w:val="right" w:pos="8504"/>
        </w:tabs>
        <w:snapToGrid w:val="0"/>
        <w:spacing w:line="600" w:lineRule="exact"/>
        <w:ind w:firstLine="658"/>
        <w:jc w:val="left"/>
        <w:textAlignment w:val="baseline"/>
        <w:rPr>
          <w:rFonts w:ascii="Times New Roman" w:hAnsi="Times New Roman" w:eastAsia="仿宋"/>
          <w:sz w:val="32"/>
          <w:szCs w:val="32"/>
        </w:rPr>
      </w:pPr>
      <w:r>
        <w:rPr>
          <w:rFonts w:ascii="Times New Roman" w:hAnsi="Times New Roman" w:eastAsia="黑体"/>
          <w:sz w:val="32"/>
          <w:szCs w:val="32"/>
        </w:rPr>
        <w:t xml:space="preserve">第九条 </w:t>
      </w:r>
      <w:r>
        <w:rPr>
          <w:rFonts w:ascii="Times New Roman" w:hAnsi="Times New Roman" w:eastAsia="仿宋"/>
          <w:sz w:val="32"/>
          <w:szCs w:val="32"/>
        </w:rPr>
        <w:t>本指引由全国股转公司负责解释。</w:t>
      </w:r>
    </w:p>
    <w:p>
      <w:pPr>
        <w:tabs>
          <w:tab w:val="right" w:pos="8504"/>
        </w:tabs>
        <w:snapToGrid w:val="0"/>
        <w:spacing w:line="600" w:lineRule="exact"/>
        <w:ind w:firstLine="658"/>
        <w:jc w:val="left"/>
        <w:textAlignment w:val="baseline"/>
        <w:rPr>
          <w:rFonts w:ascii="Times New Roman" w:hAnsi="Times New Roman" w:eastAsia="方正仿宋简体"/>
          <w:sz w:val="28"/>
          <w:szCs w:val="28"/>
        </w:rPr>
      </w:pPr>
      <w:r>
        <w:rPr>
          <w:rFonts w:ascii="Times New Roman" w:hAnsi="Times New Roman" w:eastAsia="黑体"/>
          <w:sz w:val="32"/>
          <w:szCs w:val="32"/>
        </w:rPr>
        <w:t xml:space="preserve">第十条 </w:t>
      </w:r>
      <w:r>
        <w:rPr>
          <w:rFonts w:ascii="Times New Roman" w:hAnsi="Times New Roman" w:eastAsia="仿宋"/>
          <w:sz w:val="32"/>
          <w:szCs w:val="32"/>
        </w:rPr>
        <w:t>本指引自</w:t>
      </w:r>
      <w:r>
        <w:rPr>
          <w:rFonts w:hint="eastAsia" w:ascii="Times New Roman" w:hAnsi="Times New Roman" w:eastAsia="仿宋"/>
          <w:sz w:val="32"/>
          <w:szCs w:val="32"/>
        </w:rPr>
        <w:t>发布</w:t>
      </w:r>
      <w:r>
        <w:rPr>
          <w:rFonts w:ascii="Times New Roman" w:hAnsi="Times New Roman" w:eastAsia="仿宋"/>
          <w:sz w:val="32"/>
          <w:szCs w:val="32"/>
        </w:rPr>
        <w:t>之日起施行。</w:t>
      </w:r>
    </w:p>
    <w:sectPr>
      <w:footerReference r:id="rId4" w:type="default"/>
      <w:headerReference r:id="rId3" w:type="even"/>
      <w:footerReference r:id="rId5" w:type="even"/>
      <w:pgSz w:w="11906" w:h="16838"/>
      <w:pgMar w:top="2098" w:right="1531" w:bottom="1985" w:left="1531"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仿宋简体">
    <w:panose1 w:val="02010601030101010101"/>
    <w:charset w:val="86"/>
    <w:family w:val="auto"/>
    <w:pitch w:val="default"/>
    <w:sig w:usb0="00000001" w:usb1="080E0000" w:usb2="00000000" w:usb3="00000000" w:csb0="00040000"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rFonts w:asciiTheme="minorEastAsia" w:hAnsiTheme="minorEastAsia" w:eastAsiaTheme="minorEastAsia" w:cstheme="minorEastAsia"/>
        <w:sz w:val="28"/>
        <w:szCs w:val="28"/>
      </w:rPr>
    </w:pPr>
    <w:r>
      <w:rPr>
        <w:sz w:val="2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089992046"/>
                          </w:sdtPr>
                          <w:sdtEndPr>
                            <w:rPr>
                              <w:rFonts w:hint="eastAsia" w:asciiTheme="minorEastAsia" w:hAnsiTheme="minorEastAsia" w:eastAsiaTheme="minorEastAsia" w:cstheme="minorEastAsia"/>
                              <w:sz w:val="28"/>
                              <w:szCs w:val="28"/>
                            </w:rPr>
                          </w:sdtEndPr>
                          <w:sdtContent>
                            <w:p>
                              <w:pPr>
                                <w:pStyle w:val="5"/>
                                <w:jc w:val="center"/>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PAGE   \* MERGEFORMAT</w:instrText>
                              </w:r>
                              <w:r>
                                <w:rPr>
                                  <w:rFonts w:hint="eastAsia" w:asciiTheme="minorEastAsia" w:hAnsiTheme="minorEastAsia" w:eastAsiaTheme="minorEastAsia" w:cstheme="minorEastAsia"/>
                                  <w:sz w:val="28"/>
                                  <w:szCs w:val="28"/>
                                </w:rPr>
                                <w:fldChar w:fldCharType="separate"/>
                              </w:r>
                              <w:r>
                                <w:rPr>
                                  <w:rFonts w:asciiTheme="minorEastAsia" w:hAnsiTheme="minorEastAsia" w:eastAsiaTheme="minorEastAsia" w:cstheme="minorEastAsia"/>
                                  <w:sz w:val="28"/>
                                  <w:szCs w:val="28"/>
                                  <w:lang w:val="zh-CN"/>
                                </w:rPr>
                                <w:t>-</w:t>
                              </w:r>
                              <w:r>
                                <w:rPr>
                                  <w:rFonts w:asciiTheme="minorEastAsia" w:hAnsiTheme="minorEastAsia" w:eastAsiaTheme="minorEastAsia" w:cstheme="minorEastAsia"/>
                                  <w:sz w:val="28"/>
                                  <w:szCs w:val="28"/>
                                </w:rPr>
                                <w:t xml:space="preserve"> 1 -</w:t>
                              </w:r>
                              <w:r>
                                <w:rPr>
                                  <w:rFonts w:hint="eastAsia" w:asciiTheme="minorEastAsia" w:hAnsiTheme="minorEastAsia" w:eastAsiaTheme="minorEastAsia" w:cstheme="minorEastAsia"/>
                                  <w:sz w:val="28"/>
                                  <w:szCs w:val="28"/>
                                </w:rPr>
                                <w:fldChar w:fldCharType="end"/>
                              </w:r>
                            </w:p>
                          </w:sdtContent>
                        </w:sdt>
                        <w:p>
                          <w:pPr>
                            <w:rPr>
                              <w:rFonts w:asciiTheme="minorEastAsia" w:hAnsiTheme="minorEastAsia" w:eastAsiaTheme="minorEastAsia" w:cstheme="minorEastAsia"/>
                              <w:sz w:val="28"/>
                              <w:szCs w:val="28"/>
                            </w:rPr>
                          </w:pPr>
                        </w:p>
                      </w:txbxContent>
                    </wps:txbx>
                    <wps:bodyPr rot="0" spcFirstLastPara="0" vertOverflow="overflow" horzOverflow="overflow" vert="horz" wrap="none" lIns="0" tIns="0" rIns="0" bIns="0" numCol="1" spcCol="0" rtlCol="0" fromWordArt="false" anchor="t" anchorCtr="false" forceAA="false" compatLnSpc="true">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WAAAAZHJzL1BLAQIUABQAAAAIAIdO4kCzSVju&#10;0AAAAAUBAAAPAAAAAAAAAAEAIAAAADgAAABkcnMvZG93bnJldi54bWxQSwECFAAUAAAACACHTuJA&#10;OOeXwRMCAAAZBAAADgAAAAAAAAABACAAAAA1AQAAZHJzL2Uyb0RvYy54bWxQSwUGAAAAAAYABgBZ&#10;AQAAugUAAAAA&#10;">
              <v:fill on="f" focussize="0,0"/>
              <v:stroke on="f" weight="0.5pt"/>
              <v:imagedata o:title=""/>
              <o:lock v:ext="edit" aspectratio="f"/>
              <v:textbox inset="0mm,0mm,0mm,0mm" style="mso-fit-shape-to-text:t;">
                <w:txbxContent>
                  <w:sdt>
                    <w:sdtPr>
                      <w:id w:val="-1089992046"/>
                    </w:sdtPr>
                    <w:sdtEndPr>
                      <w:rPr>
                        <w:rFonts w:hint="eastAsia" w:asciiTheme="minorEastAsia" w:hAnsiTheme="minorEastAsia" w:eastAsiaTheme="minorEastAsia" w:cstheme="minorEastAsia"/>
                        <w:sz w:val="28"/>
                        <w:szCs w:val="28"/>
                      </w:rPr>
                    </w:sdtEndPr>
                    <w:sdtContent>
                      <w:p>
                        <w:pPr>
                          <w:pStyle w:val="5"/>
                          <w:jc w:val="center"/>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PAGE   \* MERGEFORMAT</w:instrText>
                        </w:r>
                        <w:r>
                          <w:rPr>
                            <w:rFonts w:hint="eastAsia" w:asciiTheme="minorEastAsia" w:hAnsiTheme="minorEastAsia" w:eastAsiaTheme="minorEastAsia" w:cstheme="minorEastAsia"/>
                            <w:sz w:val="28"/>
                            <w:szCs w:val="28"/>
                          </w:rPr>
                          <w:fldChar w:fldCharType="separate"/>
                        </w:r>
                        <w:r>
                          <w:rPr>
                            <w:rFonts w:asciiTheme="minorEastAsia" w:hAnsiTheme="minorEastAsia" w:eastAsiaTheme="minorEastAsia" w:cstheme="minorEastAsia"/>
                            <w:sz w:val="28"/>
                            <w:szCs w:val="28"/>
                            <w:lang w:val="zh-CN"/>
                          </w:rPr>
                          <w:t>-</w:t>
                        </w:r>
                        <w:r>
                          <w:rPr>
                            <w:rFonts w:asciiTheme="minorEastAsia" w:hAnsiTheme="minorEastAsia" w:eastAsiaTheme="minorEastAsia" w:cstheme="minorEastAsia"/>
                            <w:sz w:val="28"/>
                            <w:szCs w:val="28"/>
                          </w:rPr>
                          <w:t xml:space="preserve"> 1 -</w:t>
                        </w:r>
                        <w:r>
                          <w:rPr>
                            <w:rFonts w:hint="eastAsia" w:asciiTheme="minorEastAsia" w:hAnsiTheme="minorEastAsia" w:eastAsiaTheme="minorEastAsia" w:cstheme="minorEastAsia"/>
                            <w:sz w:val="28"/>
                            <w:szCs w:val="28"/>
                          </w:rPr>
                          <w:fldChar w:fldCharType="end"/>
                        </w:r>
                      </w:p>
                    </w:sdtContent>
                  </w:sdt>
                  <w:p>
                    <w:pPr>
                      <w:rPr>
                        <w:rFonts w:asciiTheme="minorEastAsia" w:hAnsiTheme="minorEastAsia" w:eastAsiaTheme="minorEastAsia" w:cstheme="minorEastAsia"/>
                        <w:sz w:val="28"/>
                        <w:szCs w:val="28"/>
                      </w:rPr>
                    </w:pPr>
                  </w:p>
                </w:txbxContent>
              </v:textbox>
            </v:shape>
          </w:pict>
        </mc:Fallback>
      </mc:AlternateContent>
    </w:r>
  </w:p>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asciiTheme="minorEastAsia" w:hAnsiTheme="minorEastAsia" w:eastAsiaTheme="minorEastAsia" w:cstheme="minorEastAsia"/>
                              <w:sz w:val="28"/>
                              <w:szCs w:val="28"/>
                            </w:rPr>
                            <w:t>- 2 -</w:t>
                          </w:r>
                          <w:r>
                            <w:rPr>
                              <w:rFonts w:hint="eastAsia" w:asciiTheme="minorEastAsia" w:hAnsiTheme="minorEastAsia" w:eastAsiaTheme="minorEastAsia" w:cstheme="minorEastAsia"/>
                              <w:sz w:val="28"/>
                              <w:szCs w:val="28"/>
                            </w:rPr>
                            <w:fldChar w:fldCharType="end"/>
                          </w:r>
                        </w:p>
                      </w:txbxContent>
                    </wps:txbx>
                    <wps:bodyPr rot="0" spcFirstLastPara="0" vertOverflow="overflow" horzOverflow="overflow" vert="horz" wrap="none" lIns="0" tIns="0" rIns="0" bIns="0" numCol="1" spcCol="0" rtlCol="0" fromWordArt="false" anchor="t" anchorCtr="false" forceAA="false" compatLnSpc="true">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BYAAABkcnMvUEsBAhQAFAAAAAgAh07iQLNJ&#10;WO7QAAAABQEAAA8AAAAAAAAAAQAgAAAAOAAAAGRycy9kb3ducmV2LnhtbFBLAQIUABQAAAAIAIdO&#10;4kCgF26zFQIAABkEAAAOAAAAAAAAAAEAIAAAADUBAABkcnMvZTJvRG9jLnhtbFBLBQYAAAAABgAG&#10;AFkBAAC8BQAAAAA=&#10;">
              <v:fill on="f" focussize="0,0"/>
              <v:stroke on="f" weight="0.5pt"/>
              <v:imagedata o:title=""/>
              <o:lock v:ext="edit" aspectratio="f"/>
              <v:textbox inset="0mm,0mm,0mm,0mm" style="mso-fit-shape-to-text:t;">
                <w:txbxContent>
                  <w:p>
                    <w:pPr>
                      <w:pStyle w:val="5"/>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asciiTheme="minorEastAsia" w:hAnsiTheme="minorEastAsia" w:eastAsiaTheme="minorEastAsia" w:cstheme="minorEastAsia"/>
                        <w:sz w:val="28"/>
                        <w:szCs w:val="28"/>
                      </w:rPr>
                      <w:t>- 2 -</w:t>
                    </w:r>
                    <w:r>
                      <w:rPr>
                        <w:rFonts w:hint="eastAsia" w:asciiTheme="minorEastAsia" w:hAnsiTheme="minorEastAsia" w:eastAsiaTheme="minorEastAsia" w:cstheme="minorEastAsia"/>
                        <w:sz w:val="28"/>
                        <w:szCs w:val="2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true"/>
  <w:bordersDoNotSurroundFooter w:val="true"/>
  <w:trackRevisions w:val="true"/>
  <w:documentProtection w:enforcement="0"/>
  <w:defaultTabStop w:val="420"/>
  <w:evenAndOddHeaders w:val="true"/>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1B8"/>
    <w:rsid w:val="0001132B"/>
    <w:rsid w:val="000114CC"/>
    <w:rsid w:val="0001279E"/>
    <w:rsid w:val="000140A5"/>
    <w:rsid w:val="0001510C"/>
    <w:rsid w:val="00023393"/>
    <w:rsid w:val="00023918"/>
    <w:rsid w:val="000253C4"/>
    <w:rsid w:val="00027677"/>
    <w:rsid w:val="00030254"/>
    <w:rsid w:val="0003177A"/>
    <w:rsid w:val="00031819"/>
    <w:rsid w:val="0003452A"/>
    <w:rsid w:val="00034CB4"/>
    <w:rsid w:val="00034DC5"/>
    <w:rsid w:val="000350FA"/>
    <w:rsid w:val="000406E0"/>
    <w:rsid w:val="00040A29"/>
    <w:rsid w:val="00042AA7"/>
    <w:rsid w:val="000464E4"/>
    <w:rsid w:val="0004678F"/>
    <w:rsid w:val="000501AA"/>
    <w:rsid w:val="000515D0"/>
    <w:rsid w:val="000530B5"/>
    <w:rsid w:val="00057221"/>
    <w:rsid w:val="00061835"/>
    <w:rsid w:val="00070EF4"/>
    <w:rsid w:val="00073313"/>
    <w:rsid w:val="00075DDE"/>
    <w:rsid w:val="000770D6"/>
    <w:rsid w:val="00077B36"/>
    <w:rsid w:val="00087D53"/>
    <w:rsid w:val="00090A5F"/>
    <w:rsid w:val="000914B4"/>
    <w:rsid w:val="00092880"/>
    <w:rsid w:val="00092F15"/>
    <w:rsid w:val="00093565"/>
    <w:rsid w:val="00093666"/>
    <w:rsid w:val="000979F3"/>
    <w:rsid w:val="000B1D18"/>
    <w:rsid w:val="000B2000"/>
    <w:rsid w:val="000B3F90"/>
    <w:rsid w:val="000B4853"/>
    <w:rsid w:val="000B52DC"/>
    <w:rsid w:val="000B5EAA"/>
    <w:rsid w:val="000B5F40"/>
    <w:rsid w:val="000C446C"/>
    <w:rsid w:val="000C6818"/>
    <w:rsid w:val="000D7B7F"/>
    <w:rsid w:val="000E6E4C"/>
    <w:rsid w:val="000E700E"/>
    <w:rsid w:val="000E72C9"/>
    <w:rsid w:val="000E72D0"/>
    <w:rsid w:val="000F0DC4"/>
    <w:rsid w:val="000F1B08"/>
    <w:rsid w:val="000F2D51"/>
    <w:rsid w:val="000F315B"/>
    <w:rsid w:val="000F593E"/>
    <w:rsid w:val="00104023"/>
    <w:rsid w:val="0010434B"/>
    <w:rsid w:val="0010613F"/>
    <w:rsid w:val="00110389"/>
    <w:rsid w:val="00111415"/>
    <w:rsid w:val="001136DB"/>
    <w:rsid w:val="00113E16"/>
    <w:rsid w:val="00116D3E"/>
    <w:rsid w:val="00117488"/>
    <w:rsid w:val="0012224F"/>
    <w:rsid w:val="00126771"/>
    <w:rsid w:val="00126F8E"/>
    <w:rsid w:val="00127D44"/>
    <w:rsid w:val="00130AC5"/>
    <w:rsid w:val="00131C2F"/>
    <w:rsid w:val="00131FD5"/>
    <w:rsid w:val="00131FE7"/>
    <w:rsid w:val="001351B4"/>
    <w:rsid w:val="00137C57"/>
    <w:rsid w:val="00140260"/>
    <w:rsid w:val="001421AB"/>
    <w:rsid w:val="00142A8D"/>
    <w:rsid w:val="0014751A"/>
    <w:rsid w:val="00150C13"/>
    <w:rsid w:val="0015190D"/>
    <w:rsid w:val="001525AB"/>
    <w:rsid w:val="00154EFD"/>
    <w:rsid w:val="00155052"/>
    <w:rsid w:val="001559C9"/>
    <w:rsid w:val="0016074F"/>
    <w:rsid w:val="001608C8"/>
    <w:rsid w:val="00160BF3"/>
    <w:rsid w:val="001654F7"/>
    <w:rsid w:val="00165E5A"/>
    <w:rsid w:val="00166E22"/>
    <w:rsid w:val="00170F03"/>
    <w:rsid w:val="001732C7"/>
    <w:rsid w:val="00177B39"/>
    <w:rsid w:val="00177DEB"/>
    <w:rsid w:val="00180125"/>
    <w:rsid w:val="0018408C"/>
    <w:rsid w:val="00184F1F"/>
    <w:rsid w:val="001856EA"/>
    <w:rsid w:val="0018614E"/>
    <w:rsid w:val="00186237"/>
    <w:rsid w:val="001868F6"/>
    <w:rsid w:val="0019258E"/>
    <w:rsid w:val="001926CB"/>
    <w:rsid w:val="001931B8"/>
    <w:rsid w:val="00194F2E"/>
    <w:rsid w:val="00196309"/>
    <w:rsid w:val="001A4206"/>
    <w:rsid w:val="001A5588"/>
    <w:rsid w:val="001B041D"/>
    <w:rsid w:val="001B0CD9"/>
    <w:rsid w:val="001B73AB"/>
    <w:rsid w:val="001B7CCF"/>
    <w:rsid w:val="001C3A53"/>
    <w:rsid w:val="001C3B47"/>
    <w:rsid w:val="001C4B21"/>
    <w:rsid w:val="001C4F64"/>
    <w:rsid w:val="001C7F38"/>
    <w:rsid w:val="001D11CB"/>
    <w:rsid w:val="001D11E3"/>
    <w:rsid w:val="001D13F9"/>
    <w:rsid w:val="001D1DB2"/>
    <w:rsid w:val="001D2CDF"/>
    <w:rsid w:val="001D54CB"/>
    <w:rsid w:val="001E0B46"/>
    <w:rsid w:val="001E0D34"/>
    <w:rsid w:val="001E6EB7"/>
    <w:rsid w:val="001F09A0"/>
    <w:rsid w:val="001F0B06"/>
    <w:rsid w:val="001F1813"/>
    <w:rsid w:val="001F22B9"/>
    <w:rsid w:val="001F2C66"/>
    <w:rsid w:val="001F5720"/>
    <w:rsid w:val="00200160"/>
    <w:rsid w:val="00201401"/>
    <w:rsid w:val="00201CDB"/>
    <w:rsid w:val="00203CC3"/>
    <w:rsid w:val="00203EFD"/>
    <w:rsid w:val="00205457"/>
    <w:rsid w:val="00207C88"/>
    <w:rsid w:val="002124CB"/>
    <w:rsid w:val="00213109"/>
    <w:rsid w:val="0021481E"/>
    <w:rsid w:val="002152AF"/>
    <w:rsid w:val="00215932"/>
    <w:rsid w:val="00215A3B"/>
    <w:rsid w:val="002205CB"/>
    <w:rsid w:val="002223D6"/>
    <w:rsid w:val="002233E0"/>
    <w:rsid w:val="00224B26"/>
    <w:rsid w:val="002333E3"/>
    <w:rsid w:val="00236755"/>
    <w:rsid w:val="00236833"/>
    <w:rsid w:val="002473F6"/>
    <w:rsid w:val="0025096D"/>
    <w:rsid w:val="00251293"/>
    <w:rsid w:val="002536E0"/>
    <w:rsid w:val="00254F5B"/>
    <w:rsid w:val="00255F48"/>
    <w:rsid w:val="002566F5"/>
    <w:rsid w:val="0025678A"/>
    <w:rsid w:val="00256A8B"/>
    <w:rsid w:val="00260853"/>
    <w:rsid w:val="00264360"/>
    <w:rsid w:val="00267C14"/>
    <w:rsid w:val="00271211"/>
    <w:rsid w:val="002730B4"/>
    <w:rsid w:val="002735E0"/>
    <w:rsid w:val="0028118C"/>
    <w:rsid w:val="002832CA"/>
    <w:rsid w:val="00283F11"/>
    <w:rsid w:val="002942FD"/>
    <w:rsid w:val="00296704"/>
    <w:rsid w:val="00297E79"/>
    <w:rsid w:val="002A0CDE"/>
    <w:rsid w:val="002A1318"/>
    <w:rsid w:val="002A5EE4"/>
    <w:rsid w:val="002B12F6"/>
    <w:rsid w:val="002B4533"/>
    <w:rsid w:val="002B4CE7"/>
    <w:rsid w:val="002B531D"/>
    <w:rsid w:val="002B5C1B"/>
    <w:rsid w:val="002B66C4"/>
    <w:rsid w:val="002B69F3"/>
    <w:rsid w:val="002C043C"/>
    <w:rsid w:val="002C0DC9"/>
    <w:rsid w:val="002C1F53"/>
    <w:rsid w:val="002C3192"/>
    <w:rsid w:val="002C4D50"/>
    <w:rsid w:val="002D3F1F"/>
    <w:rsid w:val="002E0200"/>
    <w:rsid w:val="002E0D59"/>
    <w:rsid w:val="002F1E6E"/>
    <w:rsid w:val="002F3353"/>
    <w:rsid w:val="002F4B2B"/>
    <w:rsid w:val="002F67FE"/>
    <w:rsid w:val="0030322B"/>
    <w:rsid w:val="00306CA9"/>
    <w:rsid w:val="0031218F"/>
    <w:rsid w:val="00312E97"/>
    <w:rsid w:val="00313721"/>
    <w:rsid w:val="003138A7"/>
    <w:rsid w:val="0032130E"/>
    <w:rsid w:val="00323A6D"/>
    <w:rsid w:val="00326C44"/>
    <w:rsid w:val="00326E84"/>
    <w:rsid w:val="00327855"/>
    <w:rsid w:val="003325EB"/>
    <w:rsid w:val="00333266"/>
    <w:rsid w:val="0033366F"/>
    <w:rsid w:val="00333E25"/>
    <w:rsid w:val="00336460"/>
    <w:rsid w:val="00336C12"/>
    <w:rsid w:val="003375BE"/>
    <w:rsid w:val="00337714"/>
    <w:rsid w:val="0034018B"/>
    <w:rsid w:val="003413FE"/>
    <w:rsid w:val="0034410B"/>
    <w:rsid w:val="00344237"/>
    <w:rsid w:val="00346C39"/>
    <w:rsid w:val="00350D51"/>
    <w:rsid w:val="00351852"/>
    <w:rsid w:val="003523D3"/>
    <w:rsid w:val="00353031"/>
    <w:rsid w:val="00353B57"/>
    <w:rsid w:val="00356570"/>
    <w:rsid w:val="00362652"/>
    <w:rsid w:val="00365CEC"/>
    <w:rsid w:val="003719E0"/>
    <w:rsid w:val="00373B5F"/>
    <w:rsid w:val="00375AA4"/>
    <w:rsid w:val="003810B0"/>
    <w:rsid w:val="00383400"/>
    <w:rsid w:val="00385000"/>
    <w:rsid w:val="00391E10"/>
    <w:rsid w:val="003941C0"/>
    <w:rsid w:val="003A0328"/>
    <w:rsid w:val="003A0961"/>
    <w:rsid w:val="003A2E2D"/>
    <w:rsid w:val="003A66A8"/>
    <w:rsid w:val="003B0326"/>
    <w:rsid w:val="003B4EDD"/>
    <w:rsid w:val="003B5FCF"/>
    <w:rsid w:val="003B7243"/>
    <w:rsid w:val="003C0078"/>
    <w:rsid w:val="003C0372"/>
    <w:rsid w:val="003C0D0D"/>
    <w:rsid w:val="003C2E72"/>
    <w:rsid w:val="003C4AFF"/>
    <w:rsid w:val="003C64F5"/>
    <w:rsid w:val="003C70C1"/>
    <w:rsid w:val="003D0861"/>
    <w:rsid w:val="003D2796"/>
    <w:rsid w:val="003D3C08"/>
    <w:rsid w:val="003D48CA"/>
    <w:rsid w:val="003D4B63"/>
    <w:rsid w:val="003D71BB"/>
    <w:rsid w:val="003D7933"/>
    <w:rsid w:val="003E215D"/>
    <w:rsid w:val="003E3337"/>
    <w:rsid w:val="003E6343"/>
    <w:rsid w:val="00405C7A"/>
    <w:rsid w:val="004073C0"/>
    <w:rsid w:val="00410467"/>
    <w:rsid w:val="004112D7"/>
    <w:rsid w:val="004155EF"/>
    <w:rsid w:val="00422DFD"/>
    <w:rsid w:val="004248AD"/>
    <w:rsid w:val="00425659"/>
    <w:rsid w:val="004258CD"/>
    <w:rsid w:val="00431C10"/>
    <w:rsid w:val="004412FE"/>
    <w:rsid w:val="00441CF2"/>
    <w:rsid w:val="00447E4C"/>
    <w:rsid w:val="00447EB8"/>
    <w:rsid w:val="0045247A"/>
    <w:rsid w:val="00453ED7"/>
    <w:rsid w:val="00457E95"/>
    <w:rsid w:val="00460DF6"/>
    <w:rsid w:val="004629E8"/>
    <w:rsid w:val="00462D27"/>
    <w:rsid w:val="004636C3"/>
    <w:rsid w:val="00464262"/>
    <w:rsid w:val="004667C6"/>
    <w:rsid w:val="0047156C"/>
    <w:rsid w:val="004720FD"/>
    <w:rsid w:val="00474E06"/>
    <w:rsid w:val="00475B2E"/>
    <w:rsid w:val="00475E36"/>
    <w:rsid w:val="00480309"/>
    <w:rsid w:val="00480718"/>
    <w:rsid w:val="00481C27"/>
    <w:rsid w:val="004907BB"/>
    <w:rsid w:val="00494134"/>
    <w:rsid w:val="00497A41"/>
    <w:rsid w:val="004B16F2"/>
    <w:rsid w:val="004B54A2"/>
    <w:rsid w:val="004B5604"/>
    <w:rsid w:val="004B58F2"/>
    <w:rsid w:val="004B7ECC"/>
    <w:rsid w:val="004C012F"/>
    <w:rsid w:val="004C1CFB"/>
    <w:rsid w:val="004C3960"/>
    <w:rsid w:val="004C3E8D"/>
    <w:rsid w:val="004C4091"/>
    <w:rsid w:val="004C7017"/>
    <w:rsid w:val="004D0513"/>
    <w:rsid w:val="004D4298"/>
    <w:rsid w:val="004E0EFA"/>
    <w:rsid w:val="004E2F19"/>
    <w:rsid w:val="004E6730"/>
    <w:rsid w:val="004F0718"/>
    <w:rsid w:val="004F22C0"/>
    <w:rsid w:val="004F44A2"/>
    <w:rsid w:val="0050023A"/>
    <w:rsid w:val="00502293"/>
    <w:rsid w:val="00504A9C"/>
    <w:rsid w:val="005145C1"/>
    <w:rsid w:val="00516D22"/>
    <w:rsid w:val="0052009E"/>
    <w:rsid w:val="005233D2"/>
    <w:rsid w:val="00530DC9"/>
    <w:rsid w:val="00533ACC"/>
    <w:rsid w:val="00536258"/>
    <w:rsid w:val="00541D59"/>
    <w:rsid w:val="0054351C"/>
    <w:rsid w:val="0054585A"/>
    <w:rsid w:val="0055358F"/>
    <w:rsid w:val="00556F11"/>
    <w:rsid w:val="005607CD"/>
    <w:rsid w:val="005609C4"/>
    <w:rsid w:val="00565E13"/>
    <w:rsid w:val="00567CB8"/>
    <w:rsid w:val="00570CB3"/>
    <w:rsid w:val="00570F99"/>
    <w:rsid w:val="00572286"/>
    <w:rsid w:val="005727F7"/>
    <w:rsid w:val="00574BA1"/>
    <w:rsid w:val="00575CD8"/>
    <w:rsid w:val="00577ABC"/>
    <w:rsid w:val="00581DEA"/>
    <w:rsid w:val="00583A82"/>
    <w:rsid w:val="00586313"/>
    <w:rsid w:val="00590FC5"/>
    <w:rsid w:val="00594182"/>
    <w:rsid w:val="00594416"/>
    <w:rsid w:val="00594610"/>
    <w:rsid w:val="00594CDC"/>
    <w:rsid w:val="0059595B"/>
    <w:rsid w:val="005A16C3"/>
    <w:rsid w:val="005A4BF4"/>
    <w:rsid w:val="005B1BD5"/>
    <w:rsid w:val="005B7677"/>
    <w:rsid w:val="005C235F"/>
    <w:rsid w:val="005C3297"/>
    <w:rsid w:val="005C3D38"/>
    <w:rsid w:val="005C4C02"/>
    <w:rsid w:val="005C7B94"/>
    <w:rsid w:val="005D0783"/>
    <w:rsid w:val="005D14A4"/>
    <w:rsid w:val="005D5157"/>
    <w:rsid w:val="005D5E84"/>
    <w:rsid w:val="005E5FC8"/>
    <w:rsid w:val="005E7889"/>
    <w:rsid w:val="005F65B0"/>
    <w:rsid w:val="006108D0"/>
    <w:rsid w:val="0061216D"/>
    <w:rsid w:val="00612EFA"/>
    <w:rsid w:val="00617D4B"/>
    <w:rsid w:val="00617F1A"/>
    <w:rsid w:val="006238B2"/>
    <w:rsid w:val="0063018A"/>
    <w:rsid w:val="0063103E"/>
    <w:rsid w:val="00634293"/>
    <w:rsid w:val="006372EA"/>
    <w:rsid w:val="006413D2"/>
    <w:rsid w:val="00642348"/>
    <w:rsid w:val="00642FB4"/>
    <w:rsid w:val="00646FD2"/>
    <w:rsid w:val="006508A5"/>
    <w:rsid w:val="006541B9"/>
    <w:rsid w:val="0065557B"/>
    <w:rsid w:val="006569F3"/>
    <w:rsid w:val="006577F3"/>
    <w:rsid w:val="00661591"/>
    <w:rsid w:val="006716AD"/>
    <w:rsid w:val="006736BE"/>
    <w:rsid w:val="006753A6"/>
    <w:rsid w:val="00680308"/>
    <w:rsid w:val="006821AC"/>
    <w:rsid w:val="00686D70"/>
    <w:rsid w:val="00690B4E"/>
    <w:rsid w:val="00695889"/>
    <w:rsid w:val="006A1A60"/>
    <w:rsid w:val="006A4000"/>
    <w:rsid w:val="006A6C9A"/>
    <w:rsid w:val="006A6FE1"/>
    <w:rsid w:val="006B27BB"/>
    <w:rsid w:val="006B7D6D"/>
    <w:rsid w:val="006C0352"/>
    <w:rsid w:val="006C2998"/>
    <w:rsid w:val="006C310F"/>
    <w:rsid w:val="006C317B"/>
    <w:rsid w:val="006C7D19"/>
    <w:rsid w:val="006D1144"/>
    <w:rsid w:val="006D6786"/>
    <w:rsid w:val="006D6BD1"/>
    <w:rsid w:val="006D76DE"/>
    <w:rsid w:val="006E0452"/>
    <w:rsid w:val="006E15D4"/>
    <w:rsid w:val="006E64AE"/>
    <w:rsid w:val="006F7B98"/>
    <w:rsid w:val="00704DC6"/>
    <w:rsid w:val="00713C6F"/>
    <w:rsid w:val="007141B1"/>
    <w:rsid w:val="00717741"/>
    <w:rsid w:val="00720C37"/>
    <w:rsid w:val="00721DDC"/>
    <w:rsid w:val="00722126"/>
    <w:rsid w:val="00723551"/>
    <w:rsid w:val="007278F1"/>
    <w:rsid w:val="007305A6"/>
    <w:rsid w:val="0073094A"/>
    <w:rsid w:val="00731F38"/>
    <w:rsid w:val="00732954"/>
    <w:rsid w:val="00736F93"/>
    <w:rsid w:val="00737013"/>
    <w:rsid w:val="00737CCC"/>
    <w:rsid w:val="00740DD6"/>
    <w:rsid w:val="00745551"/>
    <w:rsid w:val="0074587C"/>
    <w:rsid w:val="00745C48"/>
    <w:rsid w:val="00750653"/>
    <w:rsid w:val="007506D8"/>
    <w:rsid w:val="00755883"/>
    <w:rsid w:val="0076142A"/>
    <w:rsid w:val="0076251E"/>
    <w:rsid w:val="00765B6D"/>
    <w:rsid w:val="007665B5"/>
    <w:rsid w:val="00767AFC"/>
    <w:rsid w:val="00772A50"/>
    <w:rsid w:val="00774792"/>
    <w:rsid w:val="007774B2"/>
    <w:rsid w:val="007810C5"/>
    <w:rsid w:val="00783A24"/>
    <w:rsid w:val="007860BF"/>
    <w:rsid w:val="00787625"/>
    <w:rsid w:val="00787B9B"/>
    <w:rsid w:val="00790165"/>
    <w:rsid w:val="00790292"/>
    <w:rsid w:val="0079388D"/>
    <w:rsid w:val="00795E0F"/>
    <w:rsid w:val="007A12DA"/>
    <w:rsid w:val="007A45EB"/>
    <w:rsid w:val="007A4B06"/>
    <w:rsid w:val="007A5539"/>
    <w:rsid w:val="007A5C77"/>
    <w:rsid w:val="007A63A3"/>
    <w:rsid w:val="007B3235"/>
    <w:rsid w:val="007B38C0"/>
    <w:rsid w:val="007B4891"/>
    <w:rsid w:val="007C1FE2"/>
    <w:rsid w:val="007C29AF"/>
    <w:rsid w:val="007C2D4E"/>
    <w:rsid w:val="007C3CA2"/>
    <w:rsid w:val="007C52F0"/>
    <w:rsid w:val="007C7D71"/>
    <w:rsid w:val="007D0836"/>
    <w:rsid w:val="007D0AB3"/>
    <w:rsid w:val="007D3F31"/>
    <w:rsid w:val="007D64B2"/>
    <w:rsid w:val="007D64B8"/>
    <w:rsid w:val="007E344F"/>
    <w:rsid w:val="007E3749"/>
    <w:rsid w:val="007E3DA1"/>
    <w:rsid w:val="007E57E1"/>
    <w:rsid w:val="007E6A98"/>
    <w:rsid w:val="007E767D"/>
    <w:rsid w:val="007F0069"/>
    <w:rsid w:val="007F306F"/>
    <w:rsid w:val="007F467E"/>
    <w:rsid w:val="007F46F5"/>
    <w:rsid w:val="00800A66"/>
    <w:rsid w:val="0080230B"/>
    <w:rsid w:val="008046FA"/>
    <w:rsid w:val="0080612C"/>
    <w:rsid w:val="008065A4"/>
    <w:rsid w:val="008152CC"/>
    <w:rsid w:val="00825CAE"/>
    <w:rsid w:val="00830314"/>
    <w:rsid w:val="0083120C"/>
    <w:rsid w:val="00834D8B"/>
    <w:rsid w:val="00835998"/>
    <w:rsid w:val="00836BAD"/>
    <w:rsid w:val="00841DC6"/>
    <w:rsid w:val="00842A70"/>
    <w:rsid w:val="00843B57"/>
    <w:rsid w:val="00845F0B"/>
    <w:rsid w:val="00850265"/>
    <w:rsid w:val="008516C1"/>
    <w:rsid w:val="00852B07"/>
    <w:rsid w:val="00854B0D"/>
    <w:rsid w:val="008566B7"/>
    <w:rsid w:val="00860654"/>
    <w:rsid w:val="00864DCA"/>
    <w:rsid w:val="00864EE1"/>
    <w:rsid w:val="008654AF"/>
    <w:rsid w:val="00865B27"/>
    <w:rsid w:val="008673CB"/>
    <w:rsid w:val="00870868"/>
    <w:rsid w:val="00871AEB"/>
    <w:rsid w:val="008727F2"/>
    <w:rsid w:val="00872DE7"/>
    <w:rsid w:val="00875140"/>
    <w:rsid w:val="00876A4F"/>
    <w:rsid w:val="008815F8"/>
    <w:rsid w:val="00881BF1"/>
    <w:rsid w:val="00881CDE"/>
    <w:rsid w:val="00885B5F"/>
    <w:rsid w:val="00885F71"/>
    <w:rsid w:val="00886C8F"/>
    <w:rsid w:val="00893150"/>
    <w:rsid w:val="00893929"/>
    <w:rsid w:val="00896F9A"/>
    <w:rsid w:val="008973DA"/>
    <w:rsid w:val="008A0792"/>
    <w:rsid w:val="008A0BC2"/>
    <w:rsid w:val="008A48B5"/>
    <w:rsid w:val="008B2857"/>
    <w:rsid w:val="008C314A"/>
    <w:rsid w:val="008C3177"/>
    <w:rsid w:val="008C5972"/>
    <w:rsid w:val="008C643D"/>
    <w:rsid w:val="008C78D2"/>
    <w:rsid w:val="008D109E"/>
    <w:rsid w:val="008D243A"/>
    <w:rsid w:val="008D3296"/>
    <w:rsid w:val="008D6A5A"/>
    <w:rsid w:val="008E2016"/>
    <w:rsid w:val="008F2904"/>
    <w:rsid w:val="008F6491"/>
    <w:rsid w:val="008F7A96"/>
    <w:rsid w:val="00910FAB"/>
    <w:rsid w:val="00914F96"/>
    <w:rsid w:val="009158B6"/>
    <w:rsid w:val="009172E0"/>
    <w:rsid w:val="00917C4C"/>
    <w:rsid w:val="00920576"/>
    <w:rsid w:val="00920711"/>
    <w:rsid w:val="0092123C"/>
    <w:rsid w:val="00921986"/>
    <w:rsid w:val="009220EE"/>
    <w:rsid w:val="0092461F"/>
    <w:rsid w:val="00924664"/>
    <w:rsid w:val="00925244"/>
    <w:rsid w:val="009356C9"/>
    <w:rsid w:val="00935AE9"/>
    <w:rsid w:val="00936B1C"/>
    <w:rsid w:val="009428CB"/>
    <w:rsid w:val="00947A56"/>
    <w:rsid w:val="00950FDE"/>
    <w:rsid w:val="009526E9"/>
    <w:rsid w:val="00953670"/>
    <w:rsid w:val="00955FFB"/>
    <w:rsid w:val="009624C9"/>
    <w:rsid w:val="00972C90"/>
    <w:rsid w:val="009747FB"/>
    <w:rsid w:val="00975561"/>
    <w:rsid w:val="00976507"/>
    <w:rsid w:val="0097736B"/>
    <w:rsid w:val="00980D21"/>
    <w:rsid w:val="00983F9F"/>
    <w:rsid w:val="009939B0"/>
    <w:rsid w:val="009964EB"/>
    <w:rsid w:val="0099784B"/>
    <w:rsid w:val="009A61C3"/>
    <w:rsid w:val="009B15F9"/>
    <w:rsid w:val="009B2D02"/>
    <w:rsid w:val="009B470E"/>
    <w:rsid w:val="009C35E2"/>
    <w:rsid w:val="009C4955"/>
    <w:rsid w:val="009C7AF2"/>
    <w:rsid w:val="009D118D"/>
    <w:rsid w:val="009D16A1"/>
    <w:rsid w:val="009D1701"/>
    <w:rsid w:val="009D6D6F"/>
    <w:rsid w:val="009E109F"/>
    <w:rsid w:val="009E2EEF"/>
    <w:rsid w:val="009E3451"/>
    <w:rsid w:val="009E65FD"/>
    <w:rsid w:val="009F02E2"/>
    <w:rsid w:val="009F0843"/>
    <w:rsid w:val="009F68D1"/>
    <w:rsid w:val="00A00F12"/>
    <w:rsid w:val="00A0147F"/>
    <w:rsid w:val="00A0639E"/>
    <w:rsid w:val="00A10B71"/>
    <w:rsid w:val="00A115FB"/>
    <w:rsid w:val="00A11E0C"/>
    <w:rsid w:val="00A17BBA"/>
    <w:rsid w:val="00A2109A"/>
    <w:rsid w:val="00A21B31"/>
    <w:rsid w:val="00A221DA"/>
    <w:rsid w:val="00A2464B"/>
    <w:rsid w:val="00A254DD"/>
    <w:rsid w:val="00A302D2"/>
    <w:rsid w:val="00A31158"/>
    <w:rsid w:val="00A31C6A"/>
    <w:rsid w:val="00A3678B"/>
    <w:rsid w:val="00A42557"/>
    <w:rsid w:val="00A44897"/>
    <w:rsid w:val="00A45E54"/>
    <w:rsid w:val="00A478DB"/>
    <w:rsid w:val="00A52365"/>
    <w:rsid w:val="00A53357"/>
    <w:rsid w:val="00A53DA2"/>
    <w:rsid w:val="00A5457E"/>
    <w:rsid w:val="00A54947"/>
    <w:rsid w:val="00A577CA"/>
    <w:rsid w:val="00A617CC"/>
    <w:rsid w:val="00A63BB6"/>
    <w:rsid w:val="00A67CF6"/>
    <w:rsid w:val="00A71D2A"/>
    <w:rsid w:val="00A7779F"/>
    <w:rsid w:val="00A80D85"/>
    <w:rsid w:val="00A8169B"/>
    <w:rsid w:val="00A81700"/>
    <w:rsid w:val="00A8425D"/>
    <w:rsid w:val="00A954B5"/>
    <w:rsid w:val="00A95C10"/>
    <w:rsid w:val="00AA37F0"/>
    <w:rsid w:val="00AA510C"/>
    <w:rsid w:val="00AA6D90"/>
    <w:rsid w:val="00AB06D8"/>
    <w:rsid w:val="00AB4FB8"/>
    <w:rsid w:val="00AC1AA1"/>
    <w:rsid w:val="00AD040F"/>
    <w:rsid w:val="00AD197C"/>
    <w:rsid w:val="00AD1C8F"/>
    <w:rsid w:val="00AD6DB9"/>
    <w:rsid w:val="00AE2F43"/>
    <w:rsid w:val="00AE378E"/>
    <w:rsid w:val="00AE4D51"/>
    <w:rsid w:val="00AE5757"/>
    <w:rsid w:val="00AE6AF9"/>
    <w:rsid w:val="00AF4816"/>
    <w:rsid w:val="00AF5201"/>
    <w:rsid w:val="00AF7C33"/>
    <w:rsid w:val="00B008E2"/>
    <w:rsid w:val="00B02891"/>
    <w:rsid w:val="00B03141"/>
    <w:rsid w:val="00B0377F"/>
    <w:rsid w:val="00B07873"/>
    <w:rsid w:val="00B10CE4"/>
    <w:rsid w:val="00B10DF0"/>
    <w:rsid w:val="00B1163A"/>
    <w:rsid w:val="00B126C9"/>
    <w:rsid w:val="00B13A69"/>
    <w:rsid w:val="00B16815"/>
    <w:rsid w:val="00B16E12"/>
    <w:rsid w:val="00B17A5B"/>
    <w:rsid w:val="00B23487"/>
    <w:rsid w:val="00B239C0"/>
    <w:rsid w:val="00B24A64"/>
    <w:rsid w:val="00B26049"/>
    <w:rsid w:val="00B266F0"/>
    <w:rsid w:val="00B26E0E"/>
    <w:rsid w:val="00B334FB"/>
    <w:rsid w:val="00B35299"/>
    <w:rsid w:val="00B3592E"/>
    <w:rsid w:val="00B3740B"/>
    <w:rsid w:val="00B40E72"/>
    <w:rsid w:val="00B4651C"/>
    <w:rsid w:val="00B46C42"/>
    <w:rsid w:val="00B52883"/>
    <w:rsid w:val="00B52CE6"/>
    <w:rsid w:val="00B52FAB"/>
    <w:rsid w:val="00B55678"/>
    <w:rsid w:val="00B658B2"/>
    <w:rsid w:val="00B6752B"/>
    <w:rsid w:val="00B67D2A"/>
    <w:rsid w:val="00B7401B"/>
    <w:rsid w:val="00B807A7"/>
    <w:rsid w:val="00B84629"/>
    <w:rsid w:val="00B91A8B"/>
    <w:rsid w:val="00B95A64"/>
    <w:rsid w:val="00B967A7"/>
    <w:rsid w:val="00B974EB"/>
    <w:rsid w:val="00B97FF6"/>
    <w:rsid w:val="00BA2B8F"/>
    <w:rsid w:val="00BA31CF"/>
    <w:rsid w:val="00BA39DA"/>
    <w:rsid w:val="00BA41FB"/>
    <w:rsid w:val="00BB35D3"/>
    <w:rsid w:val="00BB385F"/>
    <w:rsid w:val="00BB5514"/>
    <w:rsid w:val="00BC6106"/>
    <w:rsid w:val="00BD02EF"/>
    <w:rsid w:val="00BD1ACA"/>
    <w:rsid w:val="00BD2A70"/>
    <w:rsid w:val="00BD2CAE"/>
    <w:rsid w:val="00BD5C94"/>
    <w:rsid w:val="00BD63C1"/>
    <w:rsid w:val="00BD7A96"/>
    <w:rsid w:val="00BE1A7B"/>
    <w:rsid w:val="00BE5684"/>
    <w:rsid w:val="00BF1C5A"/>
    <w:rsid w:val="00BF2EA5"/>
    <w:rsid w:val="00BF6168"/>
    <w:rsid w:val="00BF63A0"/>
    <w:rsid w:val="00C00AD0"/>
    <w:rsid w:val="00C0325F"/>
    <w:rsid w:val="00C07BE2"/>
    <w:rsid w:val="00C107D3"/>
    <w:rsid w:val="00C112E3"/>
    <w:rsid w:val="00C12252"/>
    <w:rsid w:val="00C13B57"/>
    <w:rsid w:val="00C151FE"/>
    <w:rsid w:val="00C155F2"/>
    <w:rsid w:val="00C2081D"/>
    <w:rsid w:val="00C23F7A"/>
    <w:rsid w:val="00C241AB"/>
    <w:rsid w:val="00C3079D"/>
    <w:rsid w:val="00C314CD"/>
    <w:rsid w:val="00C36930"/>
    <w:rsid w:val="00C36E96"/>
    <w:rsid w:val="00C4120A"/>
    <w:rsid w:val="00C473FD"/>
    <w:rsid w:val="00C47F38"/>
    <w:rsid w:val="00C508E8"/>
    <w:rsid w:val="00C51537"/>
    <w:rsid w:val="00C52BCB"/>
    <w:rsid w:val="00C55A78"/>
    <w:rsid w:val="00C5671A"/>
    <w:rsid w:val="00C569E6"/>
    <w:rsid w:val="00C603ED"/>
    <w:rsid w:val="00C638EA"/>
    <w:rsid w:val="00C66427"/>
    <w:rsid w:val="00C70B25"/>
    <w:rsid w:val="00C70E2E"/>
    <w:rsid w:val="00C72022"/>
    <w:rsid w:val="00C734BA"/>
    <w:rsid w:val="00C7674C"/>
    <w:rsid w:val="00C81251"/>
    <w:rsid w:val="00C812F5"/>
    <w:rsid w:val="00C83FCB"/>
    <w:rsid w:val="00C84CC6"/>
    <w:rsid w:val="00C85723"/>
    <w:rsid w:val="00C90B3D"/>
    <w:rsid w:val="00C962CE"/>
    <w:rsid w:val="00CA6562"/>
    <w:rsid w:val="00CA73A3"/>
    <w:rsid w:val="00CB2104"/>
    <w:rsid w:val="00CB29C3"/>
    <w:rsid w:val="00CB2C39"/>
    <w:rsid w:val="00CB779E"/>
    <w:rsid w:val="00CC50C8"/>
    <w:rsid w:val="00CC66AC"/>
    <w:rsid w:val="00CD060D"/>
    <w:rsid w:val="00CD2057"/>
    <w:rsid w:val="00CD3B61"/>
    <w:rsid w:val="00CD49B7"/>
    <w:rsid w:val="00CF23F7"/>
    <w:rsid w:val="00CF5143"/>
    <w:rsid w:val="00CF6FBB"/>
    <w:rsid w:val="00D0533D"/>
    <w:rsid w:val="00D0567E"/>
    <w:rsid w:val="00D062B7"/>
    <w:rsid w:val="00D0685A"/>
    <w:rsid w:val="00D10DE3"/>
    <w:rsid w:val="00D11CD9"/>
    <w:rsid w:val="00D12E51"/>
    <w:rsid w:val="00D1489C"/>
    <w:rsid w:val="00D151DF"/>
    <w:rsid w:val="00D3032B"/>
    <w:rsid w:val="00D30781"/>
    <w:rsid w:val="00D30D5C"/>
    <w:rsid w:val="00D323DB"/>
    <w:rsid w:val="00D40370"/>
    <w:rsid w:val="00D40456"/>
    <w:rsid w:val="00D42AA2"/>
    <w:rsid w:val="00D4327E"/>
    <w:rsid w:val="00D44642"/>
    <w:rsid w:val="00D45BB0"/>
    <w:rsid w:val="00D46D65"/>
    <w:rsid w:val="00D50F2C"/>
    <w:rsid w:val="00D54E59"/>
    <w:rsid w:val="00D5747C"/>
    <w:rsid w:val="00D63B60"/>
    <w:rsid w:val="00D65BA0"/>
    <w:rsid w:val="00D65F3D"/>
    <w:rsid w:val="00D72982"/>
    <w:rsid w:val="00D82381"/>
    <w:rsid w:val="00D861D2"/>
    <w:rsid w:val="00D91A18"/>
    <w:rsid w:val="00D939F4"/>
    <w:rsid w:val="00D950F4"/>
    <w:rsid w:val="00D97FC6"/>
    <w:rsid w:val="00DA7FAE"/>
    <w:rsid w:val="00DB4A3D"/>
    <w:rsid w:val="00DB538D"/>
    <w:rsid w:val="00DB5FCC"/>
    <w:rsid w:val="00DC5B69"/>
    <w:rsid w:val="00DC5BA4"/>
    <w:rsid w:val="00DC5C5C"/>
    <w:rsid w:val="00DC6069"/>
    <w:rsid w:val="00DC6B41"/>
    <w:rsid w:val="00DC75AD"/>
    <w:rsid w:val="00DD26E8"/>
    <w:rsid w:val="00DD3606"/>
    <w:rsid w:val="00DD5E1F"/>
    <w:rsid w:val="00DD7D54"/>
    <w:rsid w:val="00DE29BF"/>
    <w:rsid w:val="00DE3662"/>
    <w:rsid w:val="00DE3C5D"/>
    <w:rsid w:val="00DE3F58"/>
    <w:rsid w:val="00DE56E6"/>
    <w:rsid w:val="00DF2216"/>
    <w:rsid w:val="00DF42AF"/>
    <w:rsid w:val="00E01110"/>
    <w:rsid w:val="00E021CC"/>
    <w:rsid w:val="00E052D2"/>
    <w:rsid w:val="00E10DEC"/>
    <w:rsid w:val="00E11D28"/>
    <w:rsid w:val="00E12192"/>
    <w:rsid w:val="00E154E8"/>
    <w:rsid w:val="00E15745"/>
    <w:rsid w:val="00E218AB"/>
    <w:rsid w:val="00E21C26"/>
    <w:rsid w:val="00E21C73"/>
    <w:rsid w:val="00E22954"/>
    <w:rsid w:val="00E25FD5"/>
    <w:rsid w:val="00E2640B"/>
    <w:rsid w:val="00E31176"/>
    <w:rsid w:val="00E33900"/>
    <w:rsid w:val="00E3637F"/>
    <w:rsid w:val="00E37970"/>
    <w:rsid w:val="00E40F19"/>
    <w:rsid w:val="00E4269F"/>
    <w:rsid w:val="00E42B7D"/>
    <w:rsid w:val="00E44643"/>
    <w:rsid w:val="00E44656"/>
    <w:rsid w:val="00E4794C"/>
    <w:rsid w:val="00E528D3"/>
    <w:rsid w:val="00E538E2"/>
    <w:rsid w:val="00E57502"/>
    <w:rsid w:val="00E62E8C"/>
    <w:rsid w:val="00E632CD"/>
    <w:rsid w:val="00E66532"/>
    <w:rsid w:val="00E67D46"/>
    <w:rsid w:val="00E710AA"/>
    <w:rsid w:val="00E72FBC"/>
    <w:rsid w:val="00E76B91"/>
    <w:rsid w:val="00E77B69"/>
    <w:rsid w:val="00E77D4D"/>
    <w:rsid w:val="00E804E6"/>
    <w:rsid w:val="00E80512"/>
    <w:rsid w:val="00E81D6B"/>
    <w:rsid w:val="00E82EEA"/>
    <w:rsid w:val="00E84390"/>
    <w:rsid w:val="00E850CF"/>
    <w:rsid w:val="00E85776"/>
    <w:rsid w:val="00E863AC"/>
    <w:rsid w:val="00E873AA"/>
    <w:rsid w:val="00E92DFC"/>
    <w:rsid w:val="00E93346"/>
    <w:rsid w:val="00E96231"/>
    <w:rsid w:val="00E97792"/>
    <w:rsid w:val="00EA3178"/>
    <w:rsid w:val="00EA63C5"/>
    <w:rsid w:val="00EB2666"/>
    <w:rsid w:val="00EB2F80"/>
    <w:rsid w:val="00EB3A63"/>
    <w:rsid w:val="00EB6728"/>
    <w:rsid w:val="00EC3756"/>
    <w:rsid w:val="00EC5E22"/>
    <w:rsid w:val="00EC6D2E"/>
    <w:rsid w:val="00ED1939"/>
    <w:rsid w:val="00ED5AC7"/>
    <w:rsid w:val="00ED6C71"/>
    <w:rsid w:val="00ED6EBB"/>
    <w:rsid w:val="00ED7353"/>
    <w:rsid w:val="00EE079A"/>
    <w:rsid w:val="00EE3B19"/>
    <w:rsid w:val="00EE7018"/>
    <w:rsid w:val="00EF1037"/>
    <w:rsid w:val="00EF39D3"/>
    <w:rsid w:val="00F00CC6"/>
    <w:rsid w:val="00F0101F"/>
    <w:rsid w:val="00F02A94"/>
    <w:rsid w:val="00F0380F"/>
    <w:rsid w:val="00F1055D"/>
    <w:rsid w:val="00F1511C"/>
    <w:rsid w:val="00F16C00"/>
    <w:rsid w:val="00F16CDB"/>
    <w:rsid w:val="00F22037"/>
    <w:rsid w:val="00F22723"/>
    <w:rsid w:val="00F2386D"/>
    <w:rsid w:val="00F250DC"/>
    <w:rsid w:val="00F26019"/>
    <w:rsid w:val="00F3088C"/>
    <w:rsid w:val="00F30A9B"/>
    <w:rsid w:val="00F3324F"/>
    <w:rsid w:val="00F35261"/>
    <w:rsid w:val="00F419E4"/>
    <w:rsid w:val="00F41D1B"/>
    <w:rsid w:val="00F44BC4"/>
    <w:rsid w:val="00F463E6"/>
    <w:rsid w:val="00F51B82"/>
    <w:rsid w:val="00F5213E"/>
    <w:rsid w:val="00F56CE7"/>
    <w:rsid w:val="00F60524"/>
    <w:rsid w:val="00F60966"/>
    <w:rsid w:val="00F626D1"/>
    <w:rsid w:val="00F6453E"/>
    <w:rsid w:val="00F65A21"/>
    <w:rsid w:val="00F71A7E"/>
    <w:rsid w:val="00F728CD"/>
    <w:rsid w:val="00F72A4B"/>
    <w:rsid w:val="00F85D0F"/>
    <w:rsid w:val="00F864FE"/>
    <w:rsid w:val="00F878AF"/>
    <w:rsid w:val="00F950BF"/>
    <w:rsid w:val="00F96369"/>
    <w:rsid w:val="00F979D5"/>
    <w:rsid w:val="00FA0AC6"/>
    <w:rsid w:val="00FA35A4"/>
    <w:rsid w:val="00FA5ADF"/>
    <w:rsid w:val="00FB3248"/>
    <w:rsid w:val="00FE028E"/>
    <w:rsid w:val="00FE7164"/>
    <w:rsid w:val="00FF0DAD"/>
    <w:rsid w:val="00FF2466"/>
    <w:rsid w:val="3F6D6D85"/>
    <w:rsid w:val="4FEFD043"/>
    <w:rsid w:val="55BCD7A7"/>
    <w:rsid w:val="5FFF227B"/>
    <w:rsid w:val="60D83FE1"/>
    <w:rsid w:val="6FE4C2D8"/>
    <w:rsid w:val="72AF68E9"/>
    <w:rsid w:val="75E73E8B"/>
    <w:rsid w:val="765B299B"/>
    <w:rsid w:val="77DF88A3"/>
    <w:rsid w:val="77F70EBD"/>
    <w:rsid w:val="787FA922"/>
    <w:rsid w:val="78DD5879"/>
    <w:rsid w:val="7EF5DD54"/>
    <w:rsid w:val="7F735D07"/>
    <w:rsid w:val="7F7E1B53"/>
    <w:rsid w:val="7FA79E90"/>
    <w:rsid w:val="7FF9D834"/>
    <w:rsid w:val="9BE80341"/>
    <w:rsid w:val="9FD75B1C"/>
    <w:rsid w:val="BBFFB46F"/>
    <w:rsid w:val="BF9AEFA8"/>
    <w:rsid w:val="CDDF9B36"/>
    <w:rsid w:val="CDEB0150"/>
    <w:rsid w:val="CEF799F3"/>
    <w:rsid w:val="D79F52DF"/>
    <w:rsid w:val="D7BBB489"/>
    <w:rsid w:val="DFFFA305"/>
    <w:rsid w:val="EEDB2DDB"/>
    <w:rsid w:val="EFBE1689"/>
    <w:rsid w:val="F23F2385"/>
    <w:rsid w:val="F23F2D63"/>
    <w:rsid w:val="F2BCC2F3"/>
    <w:rsid w:val="F77DEA79"/>
    <w:rsid w:val="F7FD96DB"/>
    <w:rsid w:val="F7FF175E"/>
    <w:rsid w:val="FBFF32A7"/>
    <w:rsid w:val="FFABFEA7"/>
    <w:rsid w:val="FFFFEF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Date"/>
    <w:basedOn w:val="1"/>
    <w:next w:val="1"/>
    <w:link w:val="14"/>
    <w:semiHidden/>
    <w:unhideWhenUsed/>
    <w:qFormat/>
    <w:uiPriority w:val="99"/>
    <w:pPr>
      <w:ind w:left="100" w:leftChars="2500"/>
    </w:pPr>
  </w:style>
  <w:style w:type="paragraph" w:styleId="4">
    <w:name w:val="Balloon Text"/>
    <w:basedOn w:val="1"/>
    <w:link w:val="16"/>
    <w:semiHidden/>
    <w:unhideWhenUsed/>
    <w:qFormat/>
    <w:uiPriority w:val="99"/>
    <w:rPr>
      <w:sz w:val="18"/>
      <w:szCs w:val="18"/>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cs="宋体"/>
      <w:kern w:val="0"/>
      <w:sz w:val="24"/>
      <w:szCs w:val="24"/>
    </w:rPr>
  </w:style>
  <w:style w:type="character" w:styleId="10">
    <w:name w:val="Hyperlink"/>
    <w:unhideWhenUsed/>
    <w:qFormat/>
    <w:uiPriority w:val="99"/>
    <w:rPr>
      <w:color w:val="0563C1"/>
      <w:u w:val="single"/>
    </w:rPr>
  </w:style>
  <w:style w:type="character" w:styleId="11">
    <w:name w:val="annotation reference"/>
    <w:basedOn w:val="9"/>
    <w:semiHidden/>
    <w:unhideWhenUsed/>
    <w:qFormat/>
    <w:uiPriority w:val="99"/>
    <w:rPr>
      <w:sz w:val="21"/>
      <w:szCs w:val="21"/>
    </w:rPr>
  </w:style>
  <w:style w:type="character" w:customStyle="1" w:styleId="12">
    <w:name w:val="页眉 Char"/>
    <w:basedOn w:val="9"/>
    <w:link w:val="6"/>
    <w:qFormat/>
    <w:uiPriority w:val="99"/>
    <w:rPr>
      <w:rFonts w:ascii="Calibri" w:hAnsi="Calibri" w:eastAsia="宋体" w:cs="Times New Roman"/>
      <w:sz w:val="18"/>
      <w:szCs w:val="18"/>
    </w:rPr>
  </w:style>
  <w:style w:type="character" w:customStyle="1" w:styleId="13">
    <w:name w:val="页脚 Char"/>
    <w:basedOn w:val="9"/>
    <w:link w:val="5"/>
    <w:qFormat/>
    <w:uiPriority w:val="99"/>
    <w:rPr>
      <w:rFonts w:ascii="Calibri" w:hAnsi="Calibri" w:eastAsia="宋体" w:cs="Times New Roman"/>
      <w:sz w:val="18"/>
      <w:szCs w:val="18"/>
    </w:rPr>
  </w:style>
  <w:style w:type="character" w:customStyle="1" w:styleId="14">
    <w:name w:val="日期 Char"/>
    <w:basedOn w:val="9"/>
    <w:link w:val="3"/>
    <w:semiHidden/>
    <w:qFormat/>
    <w:uiPriority w:val="99"/>
    <w:rPr>
      <w:rFonts w:ascii="Calibri" w:hAnsi="Calibri" w:eastAsia="宋体" w:cs="Times New Roman"/>
    </w:rPr>
  </w:style>
  <w:style w:type="paragraph" w:styleId="15">
    <w:name w:val="List Paragraph"/>
    <w:basedOn w:val="1"/>
    <w:qFormat/>
    <w:uiPriority w:val="99"/>
    <w:pPr>
      <w:ind w:firstLine="420" w:firstLineChars="200"/>
    </w:pPr>
  </w:style>
  <w:style w:type="character" w:customStyle="1" w:styleId="16">
    <w:name w:val="批注框文本 Char"/>
    <w:basedOn w:val="9"/>
    <w:link w:val="4"/>
    <w:semiHidden/>
    <w:qFormat/>
    <w:uiPriority w:val="99"/>
    <w:rPr>
      <w:rFonts w:ascii="Calibri" w:hAnsi="Calibri" w:eastAsia="宋体" w:cs="Times New Roman"/>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1219</Words>
  <Characters>1232</Characters>
  <Lines>9</Lines>
  <Paragraphs>2</Paragraphs>
  <TotalTime>12</TotalTime>
  <ScaleCrop>false</ScaleCrop>
  <LinksUpToDate>false</LinksUpToDate>
  <CharactersWithSpaces>1263</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2023-02-10T06:50:00Z</dcterms:created>
  <dc:creator>neeq</dc:creator>
  <cp:lastModifiedBy>shejx</cp:lastModifiedBy>
  <cp:lastPrinted>2022-03-29T17:36:00Z</cp:lastPrinted>
  <dcterms:modified xsi:type="dcterms:W3CDTF">2025-07-03T11:58:29Z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