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方正大标宋简体" w:hAnsi="黑体" w:eastAsia="方正大标宋简体"/>
          <w:sz w:val="32"/>
          <w:szCs w:val="32"/>
        </w:rPr>
      </w:pPr>
      <w:bookmarkStart w:id="0" w:name="_GoBack"/>
      <w:bookmarkEnd w:id="0"/>
    </w:p>
    <w:p>
      <w:pPr>
        <w:spacing w:line="600" w:lineRule="exact"/>
        <w:jc w:val="center"/>
        <w:rPr>
          <w:rFonts w:ascii="方正大标宋简体" w:hAnsi="黑体" w:eastAsia="方正大标宋简体"/>
          <w:sz w:val="44"/>
          <w:szCs w:val="44"/>
        </w:rPr>
      </w:pPr>
      <w:r>
        <w:rPr>
          <w:rFonts w:hint="eastAsia" w:ascii="方正大标宋简体" w:hAnsi="黑体" w:eastAsia="方正大标宋简体"/>
          <w:sz w:val="44"/>
          <w:szCs w:val="44"/>
        </w:rPr>
        <w:t>全国中小企业股份转让系统做市商</w:t>
      </w:r>
    </w:p>
    <w:p>
      <w:pPr>
        <w:spacing w:line="600" w:lineRule="exact"/>
        <w:jc w:val="center"/>
        <w:rPr>
          <w:rFonts w:ascii="方正大标宋简体" w:hAnsi="黑体" w:eastAsia="方正大标宋简体"/>
          <w:sz w:val="44"/>
          <w:szCs w:val="44"/>
        </w:rPr>
      </w:pPr>
      <w:r>
        <w:rPr>
          <w:rFonts w:hint="eastAsia" w:ascii="方正大标宋简体" w:hAnsi="黑体" w:eastAsia="方正大标宋简体"/>
          <w:sz w:val="44"/>
          <w:szCs w:val="44"/>
        </w:rPr>
        <w:t>做市业务管理细则</w:t>
      </w:r>
    </w:p>
    <w:p>
      <w:pPr>
        <w:spacing w:line="600" w:lineRule="exact"/>
        <w:jc w:val="center"/>
        <w:rPr>
          <w:rFonts w:ascii="方正大标宋简体" w:hAnsi="黑体" w:eastAsia="方正大标宋简体"/>
          <w:sz w:val="42"/>
          <w:szCs w:val="42"/>
        </w:rPr>
      </w:pPr>
      <w:r>
        <w:rPr>
          <w:rFonts w:hint="eastAsia" w:ascii="方正大标宋简体" w:hAnsi="黑体" w:eastAsia="方正大标宋简体"/>
          <w:sz w:val="44"/>
          <w:szCs w:val="44"/>
        </w:rPr>
        <w:t>（试行）</w:t>
      </w:r>
    </w:p>
    <w:p>
      <w:pPr>
        <w:spacing w:line="600" w:lineRule="exact"/>
        <w:rPr>
          <w:rFonts w:ascii="仿宋" w:hAnsi="仿宋" w:eastAsia="仿宋"/>
          <w:sz w:val="32"/>
          <w:szCs w:val="32"/>
        </w:rPr>
      </w:pP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为加强对做市商做市业务的监督管理，规范做市商行为，保护投资者合法权益，根据《全国中小企业股份转让系统业务规则（试行）》、《全国中小企业股份转让系统股票</w:t>
      </w:r>
      <w:r>
        <w:rPr>
          <w:rFonts w:hint="eastAsia" w:ascii="仿宋" w:hAnsi="仿宋" w:eastAsia="仿宋" w:cs="Times New Roman"/>
          <w:sz w:val="32"/>
          <w:szCs w:val="32"/>
        </w:rPr>
        <w:t>交易规则</w:t>
      </w:r>
      <w:r>
        <w:rPr>
          <w:rFonts w:ascii="仿宋" w:hAnsi="仿宋" w:eastAsia="仿宋" w:cs="Times New Roman"/>
          <w:sz w:val="32"/>
          <w:szCs w:val="32"/>
        </w:rPr>
        <w:t>》、《全国中小企业股份转让系统主办券商管理</w:t>
      </w:r>
      <w:r>
        <w:rPr>
          <w:rFonts w:hint="eastAsia" w:ascii="仿宋" w:hAnsi="仿宋" w:eastAsia="仿宋" w:cs="Times New Roman"/>
          <w:sz w:val="32"/>
          <w:szCs w:val="32"/>
        </w:rPr>
        <w:t>办法（试行</w:t>
      </w:r>
      <w:r>
        <w:rPr>
          <w:rFonts w:ascii="仿宋" w:hAnsi="仿宋" w:eastAsia="仿宋" w:cs="Times New Roman"/>
          <w:sz w:val="32"/>
          <w:szCs w:val="32"/>
        </w:rPr>
        <w:t>）》等相关规定，制定本细则。</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本细则所称做市商是指经全国中小企业股份转让系统有限责任公司（以下简称全国股转公司）同意，在全国中小企业股份转让系统（以下简称全国股转系统）发布买卖双向报价，并在其报价数量范围内按其报价履行与投资者成交义务的证券公司或其他机构。</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做市商及其做市业务人员应当遵守法律法规和全国股转系统相关规定，勤勉尽责、诚实守信，接受全国股转公司的自律管理。</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证券公司在全国股转系统开展做市业务前，应当向全国股转公司申请备案。其他机构在全国股转系统开展做市业务的具体规定，由全国股转公司另行制定。</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证券公司申请在全国股转系统开展做市业务，应当具备下列条件：</w:t>
      </w:r>
    </w:p>
    <w:p>
      <w:pPr>
        <w:spacing w:line="600" w:lineRule="exact"/>
        <w:ind w:firstLine="640" w:firstLineChars="200"/>
        <w:rPr>
          <w:rFonts w:ascii="仿宋" w:hAnsi="仿宋" w:eastAsia="仿宋" w:cs="Times New Roman"/>
          <w:sz w:val="32"/>
          <w:szCs w:val="32"/>
        </w:rPr>
      </w:pPr>
      <w:r>
        <w:rPr>
          <w:rFonts w:ascii="仿宋" w:hAnsi="仿宋" w:eastAsia="仿宋" w:cs="Times New Roman"/>
          <w:sz w:val="32"/>
          <w:szCs w:val="32"/>
        </w:rPr>
        <w:t>（一）具备证券自营业务资格；</w:t>
      </w:r>
    </w:p>
    <w:p>
      <w:pPr>
        <w:spacing w:line="600" w:lineRule="exact"/>
        <w:ind w:firstLine="640" w:firstLineChars="200"/>
        <w:rPr>
          <w:rFonts w:ascii="仿宋" w:hAnsi="仿宋" w:eastAsia="仿宋" w:cs="Times New Roman"/>
          <w:sz w:val="32"/>
          <w:szCs w:val="32"/>
        </w:rPr>
      </w:pPr>
      <w:r>
        <w:rPr>
          <w:rFonts w:ascii="仿宋" w:hAnsi="仿宋" w:eastAsia="仿宋" w:cs="Times New Roman"/>
          <w:sz w:val="32"/>
          <w:szCs w:val="32"/>
        </w:rPr>
        <w:t>（二） 设立做市业务专门部门，配备开展做市业务必要人员；</w:t>
      </w:r>
    </w:p>
    <w:p>
      <w:pPr>
        <w:spacing w:line="600" w:lineRule="exact"/>
        <w:ind w:firstLine="640" w:firstLineChars="200"/>
        <w:rPr>
          <w:rFonts w:ascii="仿宋" w:hAnsi="仿宋" w:eastAsia="仿宋" w:cs="Times New Roman"/>
          <w:sz w:val="32"/>
          <w:szCs w:val="32"/>
        </w:rPr>
      </w:pPr>
      <w:r>
        <w:rPr>
          <w:rFonts w:ascii="仿宋" w:hAnsi="仿宋" w:eastAsia="仿宋" w:cs="Times New Roman"/>
          <w:sz w:val="32"/>
          <w:szCs w:val="32"/>
        </w:rPr>
        <w:t>（三）建立做市业务管理制度；</w:t>
      </w:r>
    </w:p>
    <w:p>
      <w:pPr>
        <w:spacing w:line="600" w:lineRule="exact"/>
        <w:ind w:firstLine="640" w:firstLineChars="200"/>
        <w:rPr>
          <w:rFonts w:ascii="仿宋" w:hAnsi="仿宋" w:eastAsia="仿宋" w:cs="Times New Roman"/>
          <w:sz w:val="32"/>
          <w:szCs w:val="32"/>
        </w:rPr>
      </w:pPr>
      <w:r>
        <w:rPr>
          <w:rFonts w:ascii="仿宋" w:hAnsi="仿宋" w:eastAsia="仿宋" w:cs="Times New Roman"/>
          <w:sz w:val="32"/>
          <w:szCs w:val="32"/>
        </w:rPr>
        <w:t>（四）具备做市业务专用技术系统；</w:t>
      </w:r>
    </w:p>
    <w:p>
      <w:pPr>
        <w:spacing w:line="600" w:lineRule="exact"/>
        <w:ind w:firstLine="640" w:firstLineChars="200"/>
        <w:rPr>
          <w:rFonts w:ascii="仿宋" w:hAnsi="仿宋" w:eastAsia="仿宋" w:cs="Times New Roman"/>
          <w:sz w:val="32"/>
          <w:szCs w:val="32"/>
        </w:rPr>
      </w:pPr>
      <w:r>
        <w:rPr>
          <w:rFonts w:ascii="仿宋" w:hAnsi="仿宋" w:eastAsia="仿宋" w:cs="Times New Roman"/>
          <w:sz w:val="32"/>
          <w:szCs w:val="32"/>
        </w:rPr>
        <w:t>（五）全国股转公司规定的其他条件。</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证券公司在全国股转系统开展做市业务申请备案，应向全国股转公司提交下列文件：</w:t>
      </w:r>
    </w:p>
    <w:p>
      <w:pPr>
        <w:pStyle w:val="11"/>
        <w:spacing w:line="600" w:lineRule="exact"/>
        <w:ind w:firstLine="640"/>
        <w:rPr>
          <w:rFonts w:hint="eastAsia" w:ascii="仿宋" w:hAnsi="仿宋" w:eastAsia="仿宋" w:cs="Times New Roman"/>
          <w:sz w:val="32"/>
          <w:szCs w:val="32"/>
          <w:lang w:eastAsia="zh-CN"/>
        </w:rPr>
      </w:pPr>
      <w:r>
        <w:rPr>
          <w:rFonts w:ascii="仿宋" w:hAnsi="仿宋" w:eastAsia="仿宋" w:cs="Times New Roman"/>
          <w:sz w:val="32"/>
          <w:szCs w:val="32"/>
        </w:rPr>
        <w:t>（一）申请书</w:t>
      </w:r>
      <w:r>
        <w:rPr>
          <w:rFonts w:hint="eastAsia" w:ascii="仿宋" w:hAnsi="仿宋" w:eastAsia="仿宋" w:cs="Times New Roman"/>
          <w:sz w:val="32"/>
          <w:szCs w:val="32"/>
          <w:lang w:eastAsia="zh-CN"/>
        </w:rPr>
        <w:t>；</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（二）证券公司基本情况申报表；</w:t>
      </w:r>
      <w:r>
        <w:rPr>
          <w:rFonts w:ascii="仿宋" w:hAnsi="仿宋" w:eastAsia="仿宋" w:cs="Times New Roman"/>
          <w:sz w:val="32"/>
          <w:szCs w:val="32"/>
        </w:rPr>
        <w:tab/>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（三）《经营证券业务许可证》（副本）复印件；</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（四）做市业务实施方案，包括做市业务部门设置、人员配备与分工情况、做市业务管理制度、做市业务专用技术系统准备情况说明、做市业务实施方案的合规审查意见等；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（五）最近一年度经审计的财务报告、净资本计算表、风险控制指标监管报表、风险资本准备计算表；</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（六）全国股转公司要求提交的其他文件。</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证券公司申请文件齐备的，全国股转公司予以受理。全国股转公司自受理之日起十个</w:t>
      </w:r>
      <w:r>
        <w:rPr>
          <w:rFonts w:hint="eastAsia" w:ascii="仿宋" w:hAnsi="仿宋" w:eastAsia="仿宋" w:cs="Times New Roman"/>
          <w:sz w:val="32"/>
          <w:szCs w:val="32"/>
        </w:rPr>
        <w:t>交易</w:t>
      </w:r>
      <w:r>
        <w:rPr>
          <w:rFonts w:ascii="仿宋" w:hAnsi="仿宋" w:eastAsia="仿宋" w:cs="Times New Roman"/>
          <w:sz w:val="32"/>
          <w:szCs w:val="32"/>
        </w:rPr>
        <w:t>日内向证券公司出具是否同意从事做市业务的备案函，并予以公告。</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全国股转公司根据审慎原则，可对做市商做市业务专用技术系统、业务实施情况等进行现场检查。</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做市商做市业务人员应当具备下列条件：</w:t>
      </w:r>
    </w:p>
    <w:p>
      <w:pPr>
        <w:pStyle w:val="11"/>
        <w:numPr>
          <w:ilvl w:val="0"/>
          <w:numId w:val="2"/>
        </w:numPr>
        <w:spacing w:line="600" w:lineRule="exact"/>
        <w:ind w:firstLine="640"/>
        <w:rPr>
          <w:rFonts w:ascii="仿宋" w:hAnsi="仿宋" w:eastAsia="仿宋" w:cs="Times New Roman"/>
          <w:sz w:val="32"/>
          <w:szCs w:val="32"/>
        </w:rPr>
      </w:pPr>
      <w:r>
        <w:rPr>
          <w:rFonts w:ascii="仿宋" w:hAnsi="仿宋" w:eastAsia="仿宋" w:cs="Times New Roman"/>
          <w:sz w:val="32"/>
          <w:szCs w:val="32"/>
        </w:rPr>
        <w:t>已取得证券从业资格；</w:t>
      </w:r>
    </w:p>
    <w:p>
      <w:pPr>
        <w:pStyle w:val="11"/>
        <w:numPr>
          <w:ilvl w:val="0"/>
          <w:numId w:val="2"/>
        </w:numPr>
        <w:spacing w:line="600" w:lineRule="exact"/>
        <w:ind w:firstLine="640"/>
        <w:rPr>
          <w:rFonts w:ascii="仿宋" w:hAnsi="仿宋" w:eastAsia="仿宋" w:cs="Times New Roman"/>
          <w:sz w:val="32"/>
          <w:szCs w:val="32"/>
        </w:rPr>
      </w:pPr>
      <w:r>
        <w:rPr>
          <w:rFonts w:ascii="仿宋" w:hAnsi="仿宋" w:eastAsia="仿宋" w:cs="Times New Roman"/>
          <w:sz w:val="32"/>
          <w:szCs w:val="32"/>
        </w:rPr>
        <w:t>具备证券投资、投资顾问、投资银行、研究或类似从业经验；</w:t>
      </w:r>
    </w:p>
    <w:p>
      <w:pPr>
        <w:pStyle w:val="11"/>
        <w:numPr>
          <w:ilvl w:val="0"/>
          <w:numId w:val="2"/>
        </w:numPr>
        <w:spacing w:line="600" w:lineRule="exact"/>
        <w:ind w:firstLine="640"/>
        <w:rPr>
          <w:rFonts w:ascii="仿宋" w:hAnsi="仿宋" w:eastAsia="仿宋" w:cs="Times New Roman"/>
          <w:sz w:val="32"/>
          <w:szCs w:val="32"/>
        </w:rPr>
      </w:pPr>
      <w:r>
        <w:rPr>
          <w:rFonts w:ascii="仿宋" w:hAnsi="仿宋" w:eastAsia="仿宋" w:cs="Times New Roman"/>
          <w:sz w:val="32"/>
          <w:szCs w:val="32"/>
        </w:rPr>
        <w:t>熟悉相关法律、行政法规、部门规章以及做市业务规则；</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（四）具备良好的诚信纪录和职业操守，最近二十四个月内未受到过中国证监会行政处罚，最近十二个月内未受到过全国股转公司、证券交易所、证券业协会、基金业协会等自律组织处分；</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（五）全国股转公司规定的其他条件。</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 xml:space="preserve"> 做市业务人员应当签署《做市业务人员自律承诺书》，并向全国股转公司报备。</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 xml:space="preserve"> </w:t>
      </w:r>
      <w:r>
        <w:rPr>
          <w:rFonts w:ascii="仿宋" w:hAnsi="仿宋" w:eastAsia="仿宋" w:cs="Times New Roman"/>
          <w:sz w:val="32"/>
          <w:szCs w:val="32"/>
        </w:rPr>
        <w:t>做市商做市专用技术系统应当满足以下要求：</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（一）符合《全国中小企业股份转让系统交易支持平台数据接口规范》；</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（二）具备开展做市业务所需的委托、报价、成交、行情揭示、数据汇总、统计和查询等必要功能；</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（三）系统操作全程留痕；</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（四）全国股转公司规定的其他条件。</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做市商应当制定做市专用技术系统安全运行管理制度，并设置必要的数据接口，便利监管部门及时了解和检查做市业务相关情况。</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做市商应当建立健全下列做市业务内部管理制度：</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（一）做市股票报价管理制度，包括做市股票报价的决策与执行程序、报价调整和报价监控机制等；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（二）做市库存股票管理制度，包括做市股票论证、获取、处置的决策程序和库存股票动态调节机制等；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（三）做市资金管理制度，包括做市资金审批、调拨和使用流程等；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（四）业务隔离制度，确保做市业务与推荐业务、证券投资咨询、证券自营、证券经纪、证券资产管理等业务在机构、人员、信息、账户、资金上严格分离；</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（五）风险控制与合规管理制度，包括做市业务风险识别、评估和控制机制、做市业务的合规检查与评估机制等；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（六）异常情况处理制度，包括突发事件处理预案、异常情况处理机制等；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（七）内部报告与留痕制度，包括业务运作、风险监控、合规管理及其他相关信息的报告路径及反馈机制、强制留痕制度等；</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（八）全国股转公司规定的其他制度。</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做市商应当对做市业务进行集中统一管理，建立做市业务相关决策、授权与执行体系。明确做市业务决策机构与决策机制，合理确定做市业务规模和可承受的风险限额。</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做市商应设立做市业务部门，专职负责做市业务的具体管理和运作。做市业务部门应制定规范的做市业务操作规程，明确部门内部岗位设置及职责分工。</w:t>
      </w:r>
    </w:p>
    <w:p>
      <w:pPr>
        <w:pStyle w:val="11"/>
        <w:numPr>
          <w:ilvl w:val="0"/>
          <w:numId w:val="1"/>
        </w:numPr>
        <w:spacing w:line="600" w:lineRule="exact"/>
        <w:ind w:left="0" w:firstLine="604" w:firstLineChars="189"/>
        <w:rPr>
          <w:rFonts w:ascii="仿宋" w:hAnsi="仿宋" w:eastAsia="仿宋" w:cs="Times New Roman"/>
          <w:sz w:val="32"/>
          <w:szCs w:val="32"/>
        </w:rPr>
      </w:pPr>
      <w:r>
        <w:rPr>
          <w:rFonts w:hint="eastAsia" w:ascii="仿宋" w:hAnsi="仿宋" w:eastAsia="仿宋" w:cs="Times New Roman"/>
          <w:sz w:val="32"/>
          <w:szCs w:val="32"/>
        </w:rPr>
        <w:t>做市商在取得</w:t>
      </w:r>
      <w:r>
        <w:rPr>
          <w:rFonts w:ascii="仿宋" w:hAnsi="仿宋" w:eastAsia="仿宋" w:cs="Times New Roman"/>
          <w:sz w:val="32"/>
          <w:szCs w:val="32"/>
        </w:rPr>
        <w:t>做市库存股时，</w:t>
      </w:r>
      <w:r>
        <w:rPr>
          <w:rFonts w:hint="eastAsia" w:ascii="仿宋" w:hAnsi="仿宋" w:eastAsia="仿宋" w:cs="Times New Roman"/>
          <w:sz w:val="32"/>
          <w:szCs w:val="32"/>
        </w:rPr>
        <w:t>可与挂牌公司股东就一定</w:t>
      </w:r>
      <w:r>
        <w:rPr>
          <w:rFonts w:ascii="仿宋" w:hAnsi="仿宋" w:eastAsia="仿宋" w:cs="Times New Roman"/>
          <w:sz w:val="32"/>
          <w:szCs w:val="32"/>
        </w:rPr>
        <w:t>条件</w:t>
      </w:r>
      <w:r>
        <w:rPr>
          <w:rFonts w:hint="eastAsia" w:ascii="仿宋" w:hAnsi="仿宋" w:eastAsia="仿宋" w:cs="Times New Roman"/>
          <w:sz w:val="32"/>
          <w:szCs w:val="32"/>
        </w:rPr>
        <w:t>下回售</w:t>
      </w:r>
      <w:r>
        <w:rPr>
          <w:rFonts w:ascii="仿宋" w:hAnsi="仿宋" w:eastAsia="仿宋" w:cs="Times New Roman"/>
          <w:sz w:val="32"/>
          <w:szCs w:val="32"/>
        </w:rPr>
        <w:t>或转售</w:t>
      </w:r>
      <w:r>
        <w:rPr>
          <w:rFonts w:hint="eastAsia" w:ascii="仿宋" w:hAnsi="仿宋" w:eastAsia="仿宋" w:cs="Times New Roman"/>
          <w:sz w:val="32"/>
          <w:szCs w:val="32"/>
        </w:rPr>
        <w:t>做市</w:t>
      </w:r>
      <w:r>
        <w:rPr>
          <w:rFonts w:ascii="仿宋" w:hAnsi="仿宋" w:eastAsia="仿宋" w:cs="Times New Roman"/>
          <w:sz w:val="32"/>
          <w:szCs w:val="32"/>
        </w:rPr>
        <w:t>库存股</w:t>
      </w:r>
      <w:r>
        <w:rPr>
          <w:rFonts w:hint="eastAsia" w:ascii="仿宋" w:hAnsi="仿宋" w:eastAsia="仿宋" w:cs="Times New Roman"/>
          <w:sz w:val="32"/>
          <w:szCs w:val="32"/>
        </w:rPr>
        <w:t>作出</w:t>
      </w:r>
      <w:r>
        <w:rPr>
          <w:rFonts w:ascii="仿宋" w:hAnsi="仿宋" w:eastAsia="仿宋" w:cs="Times New Roman"/>
          <w:sz w:val="32"/>
          <w:szCs w:val="32"/>
        </w:rPr>
        <w:t>约定</w:t>
      </w:r>
      <w:r>
        <w:rPr>
          <w:rFonts w:hint="eastAsia" w:ascii="仿宋" w:hAnsi="仿宋" w:eastAsia="仿宋" w:cs="Times New Roman"/>
          <w:sz w:val="32"/>
          <w:szCs w:val="32"/>
        </w:rPr>
        <w:t>。</w:t>
      </w:r>
    </w:p>
    <w:p>
      <w:pPr>
        <w:pStyle w:val="11"/>
        <w:spacing w:line="600" w:lineRule="exact"/>
        <w:ind w:firstLine="640"/>
        <w:rPr>
          <w:rFonts w:ascii="仿宋" w:hAnsi="仿宋" w:eastAsia="仿宋" w:cs="Times New Roman"/>
          <w:sz w:val="32"/>
          <w:szCs w:val="32"/>
        </w:rPr>
      </w:pPr>
      <w:r>
        <w:rPr>
          <w:rFonts w:hint="eastAsia" w:ascii="仿宋" w:hAnsi="仿宋" w:eastAsia="仿宋" w:cs="Times New Roman"/>
          <w:sz w:val="32"/>
          <w:szCs w:val="32"/>
        </w:rPr>
        <w:t>做市库存股回售约定，</w:t>
      </w:r>
      <w:r>
        <w:rPr>
          <w:rFonts w:ascii="仿宋" w:hAnsi="仿宋" w:eastAsia="仿宋" w:cs="Times New Roman"/>
          <w:sz w:val="32"/>
          <w:szCs w:val="32"/>
        </w:rPr>
        <w:t>是指</w:t>
      </w:r>
      <w:r>
        <w:rPr>
          <w:rFonts w:hint="eastAsia" w:ascii="仿宋" w:hAnsi="仿宋" w:eastAsia="仿宋" w:cs="Times New Roman"/>
          <w:sz w:val="32"/>
          <w:szCs w:val="32"/>
        </w:rPr>
        <w:t>做市商在</w:t>
      </w:r>
      <w:r>
        <w:rPr>
          <w:rFonts w:ascii="仿宋" w:hAnsi="仿宋" w:eastAsia="仿宋" w:cs="Times New Roman"/>
          <w:sz w:val="32"/>
          <w:szCs w:val="32"/>
        </w:rPr>
        <w:t>协议受让挂牌公司股东</w:t>
      </w:r>
      <w:r>
        <w:rPr>
          <w:rFonts w:hint="eastAsia" w:ascii="仿宋" w:hAnsi="仿宋" w:eastAsia="仿宋" w:cs="Times New Roman"/>
          <w:sz w:val="32"/>
          <w:szCs w:val="32"/>
        </w:rPr>
        <w:t>股份时</w:t>
      </w:r>
      <w:r>
        <w:rPr>
          <w:rFonts w:ascii="仿宋" w:hAnsi="仿宋" w:eastAsia="仿宋" w:cs="Times New Roman"/>
          <w:sz w:val="32"/>
          <w:szCs w:val="32"/>
        </w:rPr>
        <w:t>，</w:t>
      </w:r>
      <w:r>
        <w:rPr>
          <w:rFonts w:hint="eastAsia" w:ascii="仿宋" w:hAnsi="仿宋" w:eastAsia="仿宋" w:cs="Times New Roman"/>
          <w:sz w:val="32"/>
          <w:szCs w:val="32"/>
        </w:rPr>
        <w:t>与</w:t>
      </w:r>
      <w:r>
        <w:rPr>
          <w:rFonts w:ascii="仿宋" w:hAnsi="仿宋" w:eastAsia="仿宋" w:cs="Times New Roman"/>
          <w:sz w:val="32"/>
          <w:szCs w:val="32"/>
        </w:rPr>
        <w:t>该股东</w:t>
      </w:r>
      <w:r>
        <w:rPr>
          <w:rFonts w:hint="eastAsia" w:ascii="仿宋" w:hAnsi="仿宋" w:eastAsia="仿宋" w:cs="Times New Roman"/>
          <w:sz w:val="32"/>
          <w:szCs w:val="32"/>
        </w:rPr>
        <w:t>约定</w:t>
      </w:r>
      <w:r>
        <w:rPr>
          <w:rFonts w:ascii="仿宋" w:hAnsi="仿宋" w:eastAsia="仿宋" w:cs="Times New Roman"/>
          <w:sz w:val="32"/>
          <w:szCs w:val="32"/>
        </w:rPr>
        <w:t>的</w:t>
      </w:r>
      <w:r>
        <w:rPr>
          <w:rFonts w:hint="eastAsia" w:ascii="仿宋" w:hAnsi="仿宋" w:eastAsia="仿宋" w:cs="Times New Roman"/>
          <w:sz w:val="32"/>
          <w:szCs w:val="32"/>
        </w:rPr>
        <w:t>在</w:t>
      </w:r>
      <w:r>
        <w:rPr>
          <w:rFonts w:ascii="仿宋" w:hAnsi="仿宋" w:eastAsia="仿宋" w:cs="Times New Roman"/>
          <w:sz w:val="32"/>
          <w:szCs w:val="32"/>
        </w:rPr>
        <w:t>一定条件下</w:t>
      </w:r>
      <w:r>
        <w:rPr>
          <w:rFonts w:hint="eastAsia" w:ascii="仿宋" w:hAnsi="仿宋" w:eastAsia="仿宋" w:cs="Times New Roman"/>
          <w:sz w:val="32"/>
          <w:szCs w:val="32"/>
        </w:rPr>
        <w:t>将不超过受让数量</w:t>
      </w:r>
      <w:r>
        <w:rPr>
          <w:rFonts w:ascii="仿宋" w:hAnsi="仿宋" w:eastAsia="仿宋" w:cs="Times New Roman"/>
          <w:sz w:val="32"/>
          <w:szCs w:val="32"/>
        </w:rPr>
        <w:t>的股份</w:t>
      </w:r>
      <w:r>
        <w:rPr>
          <w:rFonts w:hint="eastAsia" w:ascii="仿宋" w:hAnsi="仿宋" w:eastAsia="仿宋" w:cs="Times New Roman"/>
          <w:sz w:val="32"/>
          <w:szCs w:val="32"/>
        </w:rPr>
        <w:t>回售</w:t>
      </w:r>
      <w:r>
        <w:rPr>
          <w:rFonts w:ascii="仿宋" w:hAnsi="仿宋" w:eastAsia="仿宋" w:cs="Times New Roman"/>
          <w:sz w:val="32"/>
          <w:szCs w:val="32"/>
        </w:rPr>
        <w:t>给该股东的</w:t>
      </w:r>
      <w:r>
        <w:rPr>
          <w:rFonts w:hint="eastAsia" w:ascii="仿宋" w:hAnsi="仿宋" w:eastAsia="仿宋" w:cs="Times New Roman"/>
          <w:sz w:val="32"/>
          <w:szCs w:val="32"/>
        </w:rPr>
        <w:t>协议</w:t>
      </w:r>
      <w:r>
        <w:rPr>
          <w:rFonts w:ascii="仿宋" w:hAnsi="仿宋" w:eastAsia="仿宋" w:cs="Times New Roman"/>
          <w:sz w:val="32"/>
          <w:szCs w:val="32"/>
        </w:rPr>
        <w:t>安排</w:t>
      </w:r>
      <w:r>
        <w:rPr>
          <w:rFonts w:hint="eastAsia" w:ascii="仿宋" w:hAnsi="仿宋" w:eastAsia="仿宋" w:cs="Times New Roman"/>
          <w:sz w:val="32"/>
          <w:szCs w:val="32"/>
        </w:rPr>
        <w:t>；</w:t>
      </w:r>
      <w:r>
        <w:rPr>
          <w:rFonts w:ascii="仿宋" w:hAnsi="仿宋" w:eastAsia="仿宋" w:cs="Times New Roman"/>
          <w:sz w:val="32"/>
          <w:szCs w:val="32"/>
        </w:rPr>
        <w:t>做市库存股转售</w:t>
      </w:r>
      <w:r>
        <w:rPr>
          <w:rFonts w:hint="eastAsia" w:ascii="仿宋" w:hAnsi="仿宋" w:eastAsia="仿宋" w:cs="Times New Roman"/>
          <w:sz w:val="32"/>
          <w:szCs w:val="32"/>
        </w:rPr>
        <w:t>约定</w:t>
      </w:r>
      <w:r>
        <w:rPr>
          <w:rFonts w:ascii="仿宋" w:hAnsi="仿宋" w:eastAsia="仿宋" w:cs="Times New Roman"/>
          <w:sz w:val="32"/>
          <w:szCs w:val="32"/>
        </w:rPr>
        <w:t>，是指做市商</w:t>
      </w:r>
      <w:r>
        <w:rPr>
          <w:rFonts w:hint="eastAsia" w:ascii="仿宋" w:hAnsi="仿宋" w:eastAsia="仿宋" w:cs="Times New Roman"/>
          <w:sz w:val="32"/>
          <w:szCs w:val="32"/>
        </w:rPr>
        <w:t>在认购</w:t>
      </w:r>
      <w:r>
        <w:rPr>
          <w:rFonts w:ascii="仿宋" w:hAnsi="仿宋" w:eastAsia="仿宋" w:cs="Times New Roman"/>
          <w:sz w:val="32"/>
          <w:szCs w:val="32"/>
        </w:rPr>
        <w:t>挂牌公司定向发行</w:t>
      </w:r>
      <w:r>
        <w:rPr>
          <w:rFonts w:hint="eastAsia" w:ascii="仿宋" w:hAnsi="仿宋" w:eastAsia="仿宋" w:cs="Times New Roman"/>
          <w:sz w:val="32"/>
          <w:szCs w:val="32"/>
        </w:rPr>
        <w:t>股份</w:t>
      </w:r>
      <w:r>
        <w:rPr>
          <w:rFonts w:ascii="仿宋" w:hAnsi="仿宋" w:eastAsia="仿宋" w:cs="Times New Roman"/>
          <w:sz w:val="32"/>
          <w:szCs w:val="32"/>
        </w:rPr>
        <w:t>时，</w:t>
      </w:r>
      <w:r>
        <w:rPr>
          <w:rFonts w:hint="eastAsia" w:ascii="仿宋" w:hAnsi="仿宋" w:eastAsia="仿宋" w:cs="Times New Roman"/>
          <w:sz w:val="32"/>
          <w:szCs w:val="32"/>
        </w:rPr>
        <w:t>与</w:t>
      </w:r>
      <w:r>
        <w:rPr>
          <w:rFonts w:ascii="仿宋" w:hAnsi="仿宋" w:eastAsia="仿宋" w:cs="Times New Roman"/>
          <w:sz w:val="32"/>
          <w:szCs w:val="32"/>
        </w:rPr>
        <w:t>挂牌公司股东约定的</w:t>
      </w:r>
      <w:r>
        <w:rPr>
          <w:rFonts w:hint="eastAsia" w:ascii="仿宋" w:hAnsi="仿宋" w:eastAsia="仿宋" w:cs="Times New Roman"/>
          <w:sz w:val="32"/>
          <w:szCs w:val="32"/>
        </w:rPr>
        <w:t>在一定</w:t>
      </w:r>
      <w:r>
        <w:rPr>
          <w:rFonts w:ascii="仿宋" w:hAnsi="仿宋" w:eastAsia="仿宋" w:cs="Times New Roman"/>
          <w:sz w:val="32"/>
          <w:szCs w:val="32"/>
        </w:rPr>
        <w:t>条件下</w:t>
      </w:r>
      <w:r>
        <w:rPr>
          <w:rFonts w:hint="eastAsia" w:ascii="仿宋" w:hAnsi="仿宋" w:eastAsia="仿宋" w:cs="Times New Roman"/>
          <w:sz w:val="32"/>
          <w:szCs w:val="32"/>
        </w:rPr>
        <w:t>将不超过认购数量</w:t>
      </w:r>
      <w:r>
        <w:rPr>
          <w:rFonts w:ascii="仿宋" w:hAnsi="仿宋" w:eastAsia="仿宋" w:cs="Times New Roman"/>
          <w:sz w:val="32"/>
          <w:szCs w:val="32"/>
        </w:rPr>
        <w:t>的股份转售给该股东的协议</w:t>
      </w:r>
      <w:r>
        <w:rPr>
          <w:rFonts w:hint="eastAsia" w:ascii="仿宋" w:hAnsi="仿宋" w:eastAsia="仿宋" w:cs="Times New Roman"/>
          <w:sz w:val="32"/>
          <w:szCs w:val="32"/>
        </w:rPr>
        <w:t>安排</w:t>
      </w:r>
      <w:r>
        <w:rPr>
          <w:rFonts w:ascii="仿宋" w:hAnsi="仿宋" w:eastAsia="仿宋" w:cs="Times New Roman"/>
          <w:sz w:val="32"/>
          <w:szCs w:val="32"/>
        </w:rPr>
        <w:t>。</w:t>
      </w:r>
    </w:p>
    <w:p>
      <w:pPr>
        <w:pStyle w:val="11"/>
        <w:numPr>
          <w:ilvl w:val="0"/>
          <w:numId w:val="1"/>
        </w:numPr>
        <w:spacing w:line="600" w:lineRule="exact"/>
        <w:ind w:left="0" w:firstLine="604" w:firstLineChars="189"/>
        <w:rPr>
          <w:rFonts w:ascii="仿宋" w:hAnsi="仿宋" w:eastAsia="仿宋" w:cs="Times New Roman"/>
          <w:sz w:val="32"/>
          <w:szCs w:val="32"/>
        </w:rPr>
      </w:pPr>
      <w:r>
        <w:rPr>
          <w:rFonts w:hint="eastAsia" w:ascii="仿宋" w:hAnsi="仿宋" w:eastAsia="仿宋" w:cs="Times New Roman"/>
          <w:sz w:val="32"/>
          <w:szCs w:val="32"/>
        </w:rPr>
        <w:t>做市商与挂牌公司</w:t>
      </w:r>
      <w:r>
        <w:rPr>
          <w:rFonts w:ascii="仿宋" w:hAnsi="仿宋" w:eastAsia="仿宋" w:cs="Times New Roman"/>
          <w:sz w:val="32"/>
          <w:szCs w:val="32"/>
        </w:rPr>
        <w:t>股东</w:t>
      </w:r>
      <w:r>
        <w:rPr>
          <w:rFonts w:hint="eastAsia" w:ascii="仿宋" w:hAnsi="仿宋" w:eastAsia="仿宋" w:cs="Times New Roman"/>
          <w:sz w:val="32"/>
          <w:szCs w:val="32"/>
        </w:rPr>
        <w:t>作出</w:t>
      </w:r>
      <w:r>
        <w:rPr>
          <w:rFonts w:ascii="仿宋" w:hAnsi="仿宋" w:eastAsia="仿宋" w:cs="Times New Roman"/>
          <w:sz w:val="32"/>
          <w:szCs w:val="32"/>
        </w:rPr>
        <w:t>回售或转售</w:t>
      </w:r>
      <w:r>
        <w:rPr>
          <w:rFonts w:hint="eastAsia" w:ascii="仿宋" w:hAnsi="仿宋" w:eastAsia="仿宋" w:cs="Times New Roman"/>
          <w:sz w:val="32"/>
          <w:szCs w:val="32"/>
        </w:rPr>
        <w:t>约定</w:t>
      </w:r>
      <w:r>
        <w:rPr>
          <w:rFonts w:ascii="仿宋" w:hAnsi="仿宋" w:eastAsia="仿宋" w:cs="Times New Roman"/>
          <w:sz w:val="32"/>
          <w:szCs w:val="32"/>
        </w:rPr>
        <w:t>的，应当</w:t>
      </w:r>
      <w:r>
        <w:rPr>
          <w:rFonts w:hint="eastAsia" w:ascii="仿宋" w:hAnsi="仿宋" w:eastAsia="仿宋" w:cs="Times New Roman"/>
          <w:sz w:val="32"/>
          <w:szCs w:val="32"/>
        </w:rPr>
        <w:t>符合</w:t>
      </w:r>
      <w:r>
        <w:rPr>
          <w:rFonts w:ascii="仿宋" w:hAnsi="仿宋" w:eastAsia="仿宋" w:cs="Times New Roman"/>
          <w:sz w:val="32"/>
          <w:szCs w:val="32"/>
        </w:rPr>
        <w:t>下列规定：</w:t>
      </w:r>
    </w:p>
    <w:p>
      <w:pPr>
        <w:pStyle w:val="11"/>
        <w:spacing w:line="600" w:lineRule="exact"/>
        <w:ind w:firstLine="640"/>
        <w:rPr>
          <w:rFonts w:ascii="仿宋" w:hAnsi="仿宋" w:eastAsia="仿宋" w:cs="Times New Roman"/>
          <w:sz w:val="32"/>
          <w:szCs w:val="32"/>
        </w:rPr>
      </w:pPr>
      <w:r>
        <w:rPr>
          <w:rFonts w:hint="eastAsia" w:ascii="仿宋" w:hAnsi="仿宋" w:eastAsia="仿宋" w:cs="Times New Roman"/>
          <w:sz w:val="32"/>
          <w:szCs w:val="32"/>
        </w:rPr>
        <w:t>（一</w:t>
      </w:r>
      <w:r>
        <w:rPr>
          <w:rFonts w:ascii="仿宋" w:hAnsi="仿宋" w:eastAsia="仿宋" w:cs="Times New Roman"/>
          <w:sz w:val="32"/>
          <w:szCs w:val="32"/>
        </w:rPr>
        <w:t>）</w:t>
      </w:r>
      <w:r>
        <w:rPr>
          <w:rFonts w:hint="eastAsia" w:ascii="仿宋" w:hAnsi="仿宋" w:eastAsia="仿宋" w:cs="Times New Roman"/>
          <w:sz w:val="32"/>
          <w:szCs w:val="32"/>
        </w:rPr>
        <w:t>做市商单次约定的回售或转售数量不得超过本次受让或认购的股份数量；</w:t>
      </w:r>
    </w:p>
    <w:p>
      <w:pPr>
        <w:pStyle w:val="11"/>
        <w:spacing w:line="600" w:lineRule="exact"/>
        <w:ind w:firstLine="640"/>
        <w:rPr>
          <w:rFonts w:ascii="仿宋" w:hAnsi="仿宋" w:eastAsia="仿宋" w:cs="Times New Roman"/>
          <w:sz w:val="32"/>
          <w:szCs w:val="32"/>
        </w:rPr>
      </w:pPr>
      <w:r>
        <w:rPr>
          <w:rFonts w:hint="eastAsia" w:ascii="仿宋" w:hAnsi="仿宋" w:eastAsia="仿宋" w:cs="Times New Roman"/>
          <w:sz w:val="32"/>
          <w:szCs w:val="32"/>
        </w:rPr>
        <w:t>（二</w:t>
      </w:r>
      <w:r>
        <w:rPr>
          <w:rFonts w:ascii="仿宋" w:hAnsi="仿宋" w:eastAsia="仿宋" w:cs="Times New Roman"/>
          <w:sz w:val="32"/>
          <w:szCs w:val="32"/>
        </w:rPr>
        <w:t>）</w:t>
      </w:r>
      <w:r>
        <w:rPr>
          <w:rFonts w:hint="eastAsia" w:ascii="仿宋" w:hAnsi="仿宋" w:eastAsia="仿宋" w:cs="Times New Roman"/>
          <w:sz w:val="32"/>
          <w:szCs w:val="32"/>
        </w:rPr>
        <w:t>做市商申请</w:t>
      </w:r>
      <w:r>
        <w:rPr>
          <w:rFonts w:ascii="仿宋" w:hAnsi="仿宋" w:eastAsia="仿宋" w:cs="Times New Roman"/>
          <w:sz w:val="32"/>
          <w:szCs w:val="32"/>
        </w:rPr>
        <w:t>为股票</w:t>
      </w:r>
      <w:r>
        <w:rPr>
          <w:rFonts w:hint="eastAsia" w:ascii="仿宋" w:hAnsi="仿宋" w:eastAsia="仿宋" w:cs="Times New Roman"/>
          <w:sz w:val="32"/>
          <w:szCs w:val="32"/>
        </w:rPr>
        <w:t>做市前</w:t>
      </w:r>
      <w:r>
        <w:rPr>
          <w:rFonts w:ascii="仿宋" w:hAnsi="仿宋" w:eastAsia="仿宋" w:cs="Times New Roman"/>
          <w:sz w:val="32"/>
          <w:szCs w:val="32"/>
        </w:rPr>
        <w:t>获取的库存股</w:t>
      </w:r>
      <w:r>
        <w:rPr>
          <w:rFonts w:hint="eastAsia" w:ascii="仿宋" w:hAnsi="仿宋" w:eastAsia="仿宋" w:cs="Times New Roman"/>
          <w:sz w:val="32"/>
          <w:szCs w:val="32"/>
        </w:rPr>
        <w:t>，</w:t>
      </w:r>
      <w:r>
        <w:rPr>
          <w:rFonts w:ascii="仿宋" w:hAnsi="仿宋" w:eastAsia="仿宋" w:cs="Times New Roman"/>
          <w:sz w:val="32"/>
          <w:szCs w:val="32"/>
        </w:rPr>
        <w:t>回售或转售数量不得</w:t>
      </w:r>
      <w:r>
        <w:rPr>
          <w:rFonts w:hint="eastAsia" w:ascii="仿宋" w:hAnsi="仿宋" w:eastAsia="仿宋" w:cs="Times New Roman"/>
          <w:sz w:val="32"/>
          <w:szCs w:val="32"/>
        </w:rPr>
        <w:t>超过</w:t>
      </w:r>
      <w:r>
        <w:rPr>
          <w:rFonts w:ascii="仿宋" w:hAnsi="仿宋" w:eastAsia="仿宋" w:cs="Times New Roman"/>
          <w:sz w:val="32"/>
          <w:szCs w:val="32"/>
        </w:rPr>
        <w:t>申请为股票做市时的初始库存股数量</w:t>
      </w:r>
      <w:r>
        <w:rPr>
          <w:rFonts w:hint="eastAsia" w:ascii="仿宋" w:hAnsi="仿宋" w:eastAsia="仿宋" w:cs="Times New Roman"/>
          <w:sz w:val="32"/>
          <w:szCs w:val="32"/>
        </w:rPr>
        <w:t>，因挂牌公司</w:t>
      </w:r>
      <w:r>
        <w:rPr>
          <w:rFonts w:ascii="仿宋" w:hAnsi="仿宋" w:eastAsia="仿宋" w:cs="Times New Roman"/>
          <w:sz w:val="32"/>
          <w:szCs w:val="32"/>
        </w:rPr>
        <w:t>权益分派导致的超出初始库存股数量的部分除外；</w:t>
      </w:r>
    </w:p>
    <w:p>
      <w:pPr>
        <w:pStyle w:val="11"/>
        <w:spacing w:line="600" w:lineRule="exact"/>
        <w:ind w:firstLine="640"/>
        <w:rPr>
          <w:rFonts w:ascii="仿宋" w:hAnsi="仿宋" w:eastAsia="仿宋" w:cs="Times New Roman"/>
          <w:sz w:val="32"/>
          <w:szCs w:val="32"/>
        </w:rPr>
      </w:pPr>
      <w:r>
        <w:rPr>
          <w:rFonts w:hint="eastAsia" w:ascii="仿宋" w:hAnsi="仿宋" w:eastAsia="仿宋" w:cs="Times New Roman"/>
          <w:sz w:val="32"/>
          <w:szCs w:val="32"/>
        </w:rPr>
        <w:t>（三）做市商不得存在对做市后的申报或成交价格、数量、金额进行承诺等可能影响做市报价的情形。</w:t>
      </w:r>
    </w:p>
    <w:p>
      <w:pPr>
        <w:pStyle w:val="11"/>
        <w:spacing w:line="600" w:lineRule="exact"/>
        <w:ind w:firstLine="640"/>
        <w:rPr>
          <w:rFonts w:ascii="仿宋" w:hAnsi="仿宋" w:eastAsia="仿宋" w:cs="Times New Roman"/>
          <w:sz w:val="32"/>
          <w:szCs w:val="32"/>
          <w:highlight w:val="yellow"/>
        </w:rPr>
      </w:pPr>
      <w:r>
        <w:rPr>
          <w:rFonts w:hint="eastAsia" w:ascii="仿宋" w:hAnsi="仿宋" w:eastAsia="仿宋" w:cs="Times New Roman"/>
          <w:sz w:val="32"/>
          <w:szCs w:val="32"/>
        </w:rPr>
        <w:t>做市商应当自回售或转售协议签署日起2个交易日内披露相关协议，并于回售或转售安排变更或终止之日起2个交易日内披露相关情况。</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做市商及其做市业务人员应依法、合规开展做市业务，不得从事下列行为：</w:t>
      </w:r>
    </w:p>
    <w:p>
      <w:pPr>
        <w:pStyle w:val="11"/>
        <w:numPr>
          <w:ilvl w:val="0"/>
          <w:numId w:val="3"/>
        </w:numPr>
        <w:spacing w:line="600" w:lineRule="exact"/>
        <w:ind w:firstLine="640"/>
        <w:rPr>
          <w:rFonts w:ascii="仿宋" w:hAnsi="仿宋" w:eastAsia="仿宋" w:cs="Times New Roman"/>
          <w:sz w:val="32"/>
          <w:szCs w:val="32"/>
        </w:rPr>
      </w:pPr>
      <w:r>
        <w:rPr>
          <w:rFonts w:ascii="仿宋" w:hAnsi="仿宋" w:eastAsia="仿宋" w:cs="Times New Roman"/>
          <w:sz w:val="32"/>
          <w:szCs w:val="32"/>
        </w:rPr>
        <w:t>不履行或不规范履行报价义务；</w:t>
      </w:r>
    </w:p>
    <w:p>
      <w:pPr>
        <w:pStyle w:val="11"/>
        <w:numPr>
          <w:ilvl w:val="0"/>
          <w:numId w:val="3"/>
        </w:numPr>
        <w:spacing w:line="600" w:lineRule="exact"/>
        <w:ind w:firstLine="640"/>
        <w:rPr>
          <w:rFonts w:ascii="仿宋" w:hAnsi="仿宋" w:eastAsia="仿宋" w:cs="Times New Roman"/>
          <w:sz w:val="32"/>
          <w:szCs w:val="32"/>
        </w:rPr>
      </w:pPr>
      <w:r>
        <w:rPr>
          <w:rFonts w:ascii="仿宋" w:hAnsi="仿宋" w:eastAsia="仿宋" w:cs="Times New Roman"/>
          <w:sz w:val="32"/>
          <w:szCs w:val="32"/>
        </w:rPr>
        <w:t>利用内幕信息进行投资决策和交易；</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（三）利用信息优势和资金优势，单独或者通过合谋，制造异常价格波动；</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（四）以不正当方式影响其他做市商做市；</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（五）与其他做市商通过串通报价或私下交换做市策略、做市库存股票数量等信息谋取不正当利益；</w:t>
      </w:r>
    </w:p>
    <w:p>
      <w:pPr>
        <w:pStyle w:val="11"/>
        <w:spacing w:line="600" w:lineRule="exact"/>
        <w:ind w:firstLine="640"/>
        <w:rPr>
          <w:rFonts w:ascii="仿宋" w:hAnsi="仿宋" w:eastAsia="仿宋" w:cs="Times New Roman"/>
          <w:sz w:val="32"/>
          <w:szCs w:val="32"/>
        </w:rPr>
      </w:pPr>
      <w:r>
        <w:rPr>
          <w:rFonts w:hint="eastAsia" w:ascii="仿宋" w:hAnsi="仿宋" w:eastAsia="仿宋" w:cs="Times New Roman"/>
          <w:sz w:val="32"/>
          <w:szCs w:val="32"/>
        </w:rPr>
        <w:t>（六）与所做市的挂牌公司及</w:t>
      </w:r>
      <w:r>
        <w:rPr>
          <w:rFonts w:ascii="仿宋" w:hAnsi="仿宋" w:eastAsia="仿宋" w:cs="Times New Roman"/>
          <w:sz w:val="32"/>
          <w:szCs w:val="32"/>
        </w:rPr>
        <w:t>股东</w:t>
      </w:r>
      <w:r>
        <w:rPr>
          <w:rFonts w:hint="eastAsia" w:ascii="仿宋" w:hAnsi="仿宋" w:eastAsia="仿宋" w:cs="Times New Roman"/>
          <w:sz w:val="32"/>
          <w:szCs w:val="32"/>
        </w:rPr>
        <w:t>就股权回购、现金补偿等作出约定，本细则第十四条、第十五条规定的回售、转售约定除外；</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（七）做市业务人员通过做市向自身或利益相关者进行利益输送；</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（八）全国股转公司规定的其他行为。</w:t>
      </w:r>
    </w:p>
    <w:p>
      <w:pPr>
        <w:pStyle w:val="14"/>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做市商应当于每月的前五个</w:t>
      </w:r>
      <w:r>
        <w:rPr>
          <w:rFonts w:hint="eastAsia" w:ascii="仿宋" w:hAnsi="仿宋" w:eastAsia="仿宋" w:cs="Times New Roman"/>
          <w:sz w:val="32"/>
          <w:szCs w:val="32"/>
        </w:rPr>
        <w:t>交易</w:t>
      </w:r>
      <w:r>
        <w:rPr>
          <w:rFonts w:ascii="仿宋" w:hAnsi="仿宋" w:eastAsia="仿宋" w:cs="Times New Roman"/>
          <w:sz w:val="32"/>
          <w:szCs w:val="32"/>
        </w:rPr>
        <w:t>日内向全国股转公司报送上月做市业务情况报告，包括但不限于合规情况、履行做市义务情况、</w:t>
      </w:r>
      <w:r>
        <w:rPr>
          <w:rFonts w:hint="eastAsia" w:ascii="仿宋" w:hAnsi="仿宋" w:eastAsia="仿宋" w:cs="Times New Roman"/>
          <w:sz w:val="32"/>
          <w:szCs w:val="32"/>
        </w:rPr>
        <w:t>做市股票库存、</w:t>
      </w:r>
      <w:r>
        <w:rPr>
          <w:rFonts w:ascii="仿宋" w:hAnsi="仿宋" w:eastAsia="仿宋" w:cs="Times New Roman"/>
          <w:sz w:val="32"/>
          <w:szCs w:val="32"/>
        </w:rPr>
        <w:t>做市业务盈亏及相关风险控制指标等信息。</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做市商应当积极配合全国股转公司的自律管理，按照全国股转公司要求及时说明情况，提供相关文件、资料，不得拒绝或者拖延提供有关资料，不得提供虚假、误导性或者不完整的资料。</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全国股转公司对做市商及其做市业务人员执业情况进行持续记录，建立做市业务评价体系，并可将相关信息予以公开。</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做市商主动终止从事做市业务的，应当向全国股转公司提出申请。全国股转公司同意其终止从事做市业务的，自受理之日起</w:t>
      </w:r>
      <w:r>
        <w:rPr>
          <w:rFonts w:ascii="Times New Roman" w:hAnsi="Times New Roman" w:eastAsia="仿宋" w:cs="Times New Roman"/>
          <w:sz w:val="32"/>
          <w:szCs w:val="32"/>
        </w:rPr>
        <w:t>10</w:t>
      </w:r>
      <w:r>
        <w:rPr>
          <w:rFonts w:ascii="仿宋" w:hAnsi="仿宋" w:eastAsia="仿宋" w:cs="Times New Roman"/>
          <w:sz w:val="32"/>
          <w:szCs w:val="32"/>
        </w:rPr>
        <w:t>个</w:t>
      </w:r>
      <w:r>
        <w:rPr>
          <w:rFonts w:hint="eastAsia" w:ascii="仿宋" w:hAnsi="仿宋" w:eastAsia="仿宋" w:cs="Times New Roman"/>
          <w:sz w:val="32"/>
          <w:szCs w:val="32"/>
        </w:rPr>
        <w:t>交易</w:t>
      </w:r>
      <w:r>
        <w:rPr>
          <w:rFonts w:ascii="仿宋" w:hAnsi="仿宋" w:eastAsia="仿宋" w:cs="Times New Roman"/>
          <w:sz w:val="32"/>
          <w:szCs w:val="32"/>
        </w:rPr>
        <w:t>日内书面通知该做市商并公告。</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做市商因违反本细则或其他全国股转系统相关规定被终止从事做市业务的，全国股转公司书面通知该做市商并公告。</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做市商终止从事做市业务</w:t>
      </w:r>
      <w:r>
        <w:rPr>
          <w:rFonts w:hint="eastAsia" w:ascii="仿宋" w:hAnsi="仿宋" w:eastAsia="仿宋" w:cs="Times New Roman"/>
          <w:sz w:val="32"/>
          <w:szCs w:val="32"/>
        </w:rPr>
        <w:t>，</w:t>
      </w:r>
      <w:r>
        <w:rPr>
          <w:rFonts w:ascii="仿宋" w:hAnsi="仿宋" w:eastAsia="仿宋" w:cs="Times New Roman"/>
          <w:sz w:val="32"/>
          <w:szCs w:val="32"/>
        </w:rPr>
        <w:t>应当制定业务处置方案，做好业务终止后续处置工作，包括做市库存股票处理、做市专用证券账户注销等，并将处置方案、处置情况及时报告全国股转公司。</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做市商违反本细则的，全国股转公司可以视情况采取以下措施，并记入诚信档案：</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（一）约见谈话；</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（二）要求提交书面承诺；</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（三）出具警示函；</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（四）责令改正；</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（五）通报批评；</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（六）公开谴责；</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（七）暂停、限制直至终止其从事做市业务；</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（八）向中国证监会报告有关违法违规行为。</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做市业务人员违反本细则的，全国股转公司可以视情况采取以下措施，并记入诚信档案：</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（一）约见谈话；</w:t>
      </w:r>
    </w:p>
    <w:p>
      <w:pPr>
        <w:pStyle w:val="11"/>
        <w:spacing w:line="600" w:lineRule="exact"/>
        <w:ind w:firstLine="640"/>
        <w:rPr>
          <w:rFonts w:ascii="仿宋" w:hAnsi="仿宋" w:eastAsia="仿宋" w:cs="Times New Roman"/>
          <w:sz w:val="32"/>
          <w:szCs w:val="32"/>
        </w:rPr>
      </w:pPr>
      <w:r>
        <w:rPr>
          <w:rFonts w:ascii="仿宋" w:hAnsi="仿宋" w:eastAsia="仿宋" w:cs="Times New Roman"/>
          <w:color w:val="000000"/>
          <w:kern w:val="0"/>
          <w:sz w:val="32"/>
          <w:szCs w:val="32"/>
        </w:rPr>
        <w:t>（二</w:t>
      </w:r>
      <w:r>
        <w:rPr>
          <w:rFonts w:ascii="仿宋" w:hAnsi="仿宋" w:eastAsia="仿宋" w:cs="Times New Roman"/>
          <w:sz w:val="32"/>
          <w:szCs w:val="32"/>
        </w:rPr>
        <w:t>）责令参加培训；</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（三）责令所在机构给予处分；</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（四）通报批评；</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（五）公开谴责；</w:t>
      </w:r>
    </w:p>
    <w:p>
      <w:pPr>
        <w:pStyle w:val="11"/>
        <w:spacing w:line="600" w:lineRule="exact"/>
        <w:ind w:firstLine="640"/>
        <w:rPr>
          <w:rFonts w:ascii="仿宋" w:hAnsi="仿宋" w:eastAsia="仿宋" w:cs="Times New Roman"/>
          <w:sz w:val="32"/>
          <w:szCs w:val="32"/>
        </w:rPr>
      </w:pPr>
      <w:r>
        <w:rPr>
          <w:rFonts w:ascii="仿宋" w:hAnsi="仿宋" w:eastAsia="仿宋" w:cs="Times New Roman"/>
          <w:sz w:val="32"/>
          <w:szCs w:val="32"/>
        </w:rPr>
        <w:t>（六）向中国证监会报告有关违法违规行为。</w:t>
      </w:r>
    </w:p>
    <w:p>
      <w:pPr>
        <w:pStyle w:val="11"/>
        <w:numPr>
          <w:ilvl w:val="0"/>
          <w:numId w:val="1"/>
        </w:numPr>
        <w:spacing w:line="600" w:lineRule="exact"/>
        <w:ind w:left="0" w:firstLine="640"/>
        <w:rPr>
          <w:rFonts w:ascii="仿宋" w:hAnsi="仿宋" w:eastAsia="仿宋" w:cs="Times New Roman"/>
          <w:sz w:val="32"/>
          <w:szCs w:val="32"/>
        </w:rPr>
      </w:pPr>
      <w:r>
        <w:rPr>
          <w:rFonts w:ascii="仿宋" w:hAnsi="仿宋" w:eastAsia="仿宋" w:cs="Times New Roman"/>
          <w:sz w:val="32"/>
          <w:szCs w:val="32"/>
        </w:rPr>
        <w:t>本细则由全国股转公司负责解释。</w:t>
      </w:r>
    </w:p>
    <w:p>
      <w:pPr>
        <w:pStyle w:val="11"/>
        <w:numPr>
          <w:ilvl w:val="0"/>
          <w:numId w:val="1"/>
        </w:numPr>
        <w:spacing w:line="600" w:lineRule="exact"/>
        <w:ind w:left="0" w:firstLine="640"/>
        <w:rPr>
          <w:rFonts w:ascii="仿宋" w:hAnsi="仿宋" w:eastAsia="仿宋" w:cs="Times New Roman"/>
          <w:sz w:val="32"/>
          <w:szCs w:val="32"/>
        </w:rPr>
      </w:pPr>
      <w:r>
        <w:rPr>
          <w:rFonts w:hint="eastAsia" w:ascii="仿宋" w:hAnsi="仿宋" w:eastAsia="仿宋" w:cs="Times New Roman"/>
          <w:sz w:val="32"/>
          <w:szCs w:val="32"/>
        </w:rPr>
        <w:t>本细则自发布之日起施行。</w:t>
      </w:r>
    </w:p>
    <w:sectPr>
      <w:footerReference r:id="rId3" w:type="default"/>
      <w:footerReference r:id="rId4" w:type="even"/>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125186"/>
      <w:docPartObj>
        <w:docPartGallery w:val="autotext"/>
      </w:docPartObj>
    </w:sdtPr>
    <w:sdtEndPr>
      <w:rPr>
        <w:rFonts w:asciiTheme="minorEastAsia" w:hAnsiTheme="minorEastAsia" w:eastAsiaTheme="minorEastAsia"/>
        <w:sz w:val="28"/>
        <w:szCs w:val="28"/>
      </w:rPr>
    </w:sdtEndPr>
    <w:sdtContent>
      <w:p>
        <w:pPr>
          <w:pStyle w:val="4"/>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7 -</w:t>
        </w:r>
        <w:r>
          <w:rPr>
            <w:rFonts w:asciiTheme="minorEastAsia" w:hAnsiTheme="minorEastAsia" w:eastAsiaTheme="minorEastAsia"/>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2179414"/>
      <w:docPartObj>
        <w:docPartGallery w:val="autotext"/>
      </w:docPartObj>
    </w:sdtPr>
    <w:sdtEndPr>
      <w:rPr>
        <w:rFonts w:asciiTheme="minorEastAsia" w:hAnsiTheme="minorEastAsia" w:eastAsiaTheme="minorEastAsia"/>
        <w:sz w:val="28"/>
        <w:szCs w:val="28"/>
      </w:rPr>
    </w:sdtEndPr>
    <w:sdtContent>
      <w:p>
        <w:pPr>
          <w:pStyle w:val="4"/>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8 -</w:t>
        </w:r>
        <w:r>
          <w:rPr>
            <w:rFonts w:asciiTheme="minorEastAsia" w:hAnsiTheme="minorEastAsia" w:eastAsiaTheme="minorEastAsia"/>
            <w:sz w:val="28"/>
            <w:szCs w:val="28"/>
          </w:rP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869C4E"/>
    <w:multiLevelType w:val="singleLevel"/>
    <w:tmpl w:val="53869C4E"/>
    <w:lvl w:ilvl="0" w:tentative="0">
      <w:start w:val="1"/>
      <w:numFmt w:val="chineseCounting"/>
      <w:suff w:val="nothing"/>
      <w:lvlText w:val="（%1）"/>
      <w:lvlJc w:val="left"/>
    </w:lvl>
  </w:abstractNum>
  <w:abstractNum w:abstractNumId="1">
    <w:nsid w:val="5386B059"/>
    <w:multiLevelType w:val="singleLevel"/>
    <w:tmpl w:val="5386B059"/>
    <w:lvl w:ilvl="0" w:tentative="0">
      <w:start w:val="1"/>
      <w:numFmt w:val="chineseCounting"/>
      <w:suff w:val="nothing"/>
      <w:lvlText w:val="（%1）"/>
      <w:lvlJc w:val="left"/>
    </w:lvl>
  </w:abstractNum>
  <w:abstractNum w:abstractNumId="2">
    <w:nsid w:val="5C045CA5"/>
    <w:multiLevelType w:val="multilevel"/>
    <w:tmpl w:val="5C045CA5"/>
    <w:lvl w:ilvl="0" w:tentative="0">
      <w:start w:val="1"/>
      <w:numFmt w:val="chineseCountingThousand"/>
      <w:lvlText w:val="第%1条"/>
      <w:lvlJc w:val="left"/>
      <w:pPr>
        <w:ind w:left="988" w:hanging="420"/>
      </w:pPr>
      <w:rPr>
        <w:rFonts w:hint="eastAsia" w:ascii="黑体" w:hAnsi="黑体" w:eastAsia="黑体" w:cs="Times New Roman"/>
        <w:b w:val="0"/>
        <w:color w:val="auto"/>
        <w:sz w:val="32"/>
        <w:szCs w:val="32"/>
        <w:lang w:val="en-US"/>
      </w:rPr>
    </w:lvl>
    <w:lvl w:ilvl="1" w:tentative="0">
      <w:start w:val="1"/>
      <w:numFmt w:val="lowerLetter"/>
      <w:lvlText w:val="%2)"/>
      <w:lvlJc w:val="left"/>
      <w:pPr>
        <w:ind w:left="-3520" w:hanging="420"/>
      </w:pPr>
    </w:lvl>
    <w:lvl w:ilvl="2" w:tentative="0">
      <w:start w:val="1"/>
      <w:numFmt w:val="lowerRoman"/>
      <w:lvlText w:val="%3."/>
      <w:lvlJc w:val="right"/>
      <w:pPr>
        <w:ind w:left="-3100" w:hanging="420"/>
      </w:pPr>
    </w:lvl>
    <w:lvl w:ilvl="3" w:tentative="0">
      <w:start w:val="1"/>
      <w:numFmt w:val="decimal"/>
      <w:lvlText w:val="%4."/>
      <w:lvlJc w:val="left"/>
      <w:pPr>
        <w:ind w:left="-2680" w:hanging="420"/>
      </w:pPr>
    </w:lvl>
    <w:lvl w:ilvl="4" w:tentative="0">
      <w:start w:val="1"/>
      <w:numFmt w:val="lowerLetter"/>
      <w:lvlText w:val="%5)"/>
      <w:lvlJc w:val="left"/>
      <w:pPr>
        <w:ind w:left="-2260" w:hanging="420"/>
      </w:pPr>
    </w:lvl>
    <w:lvl w:ilvl="5" w:tentative="0">
      <w:start w:val="1"/>
      <w:numFmt w:val="lowerRoman"/>
      <w:lvlText w:val="%6."/>
      <w:lvlJc w:val="right"/>
      <w:pPr>
        <w:ind w:left="-1840" w:hanging="420"/>
      </w:pPr>
    </w:lvl>
    <w:lvl w:ilvl="6" w:tentative="0">
      <w:start w:val="1"/>
      <w:numFmt w:val="decimal"/>
      <w:lvlText w:val="%7."/>
      <w:lvlJc w:val="left"/>
      <w:pPr>
        <w:ind w:left="-1420" w:hanging="420"/>
      </w:pPr>
    </w:lvl>
    <w:lvl w:ilvl="7" w:tentative="0">
      <w:start w:val="1"/>
      <w:numFmt w:val="lowerLetter"/>
      <w:lvlText w:val="%8)"/>
      <w:lvlJc w:val="left"/>
      <w:pPr>
        <w:ind w:left="-1000" w:hanging="420"/>
      </w:pPr>
    </w:lvl>
    <w:lvl w:ilvl="8" w:tentative="0">
      <w:start w:val="1"/>
      <w:numFmt w:val="lowerRoman"/>
      <w:lvlText w:val="%9."/>
      <w:lvlJc w:val="right"/>
      <w:pPr>
        <w:ind w:left="-5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AF6"/>
    <w:rsid w:val="00005C24"/>
    <w:rsid w:val="00070FC6"/>
    <w:rsid w:val="00072095"/>
    <w:rsid w:val="000803A8"/>
    <w:rsid w:val="00082E9F"/>
    <w:rsid w:val="00084E7C"/>
    <w:rsid w:val="000A0FE7"/>
    <w:rsid w:val="000D4987"/>
    <w:rsid w:val="000F26B9"/>
    <w:rsid w:val="000F3142"/>
    <w:rsid w:val="00102648"/>
    <w:rsid w:val="0010558F"/>
    <w:rsid w:val="00110595"/>
    <w:rsid w:val="00110BFD"/>
    <w:rsid w:val="0013162F"/>
    <w:rsid w:val="00143CE7"/>
    <w:rsid w:val="001539E0"/>
    <w:rsid w:val="00154F52"/>
    <w:rsid w:val="00160D77"/>
    <w:rsid w:val="00197514"/>
    <w:rsid w:val="001B0E82"/>
    <w:rsid w:val="001D024A"/>
    <w:rsid w:val="001D66B9"/>
    <w:rsid w:val="00214A9A"/>
    <w:rsid w:val="00226C30"/>
    <w:rsid w:val="00256F16"/>
    <w:rsid w:val="0027418F"/>
    <w:rsid w:val="00291A23"/>
    <w:rsid w:val="002A152B"/>
    <w:rsid w:val="002A177A"/>
    <w:rsid w:val="002E7F72"/>
    <w:rsid w:val="00321BD5"/>
    <w:rsid w:val="003236D0"/>
    <w:rsid w:val="0033164D"/>
    <w:rsid w:val="003370BA"/>
    <w:rsid w:val="00345E7B"/>
    <w:rsid w:val="00356EBA"/>
    <w:rsid w:val="00362765"/>
    <w:rsid w:val="00381734"/>
    <w:rsid w:val="0038525E"/>
    <w:rsid w:val="003A393E"/>
    <w:rsid w:val="003A3989"/>
    <w:rsid w:val="003B0977"/>
    <w:rsid w:val="003D2A03"/>
    <w:rsid w:val="003D5A43"/>
    <w:rsid w:val="003E1B6A"/>
    <w:rsid w:val="003E349F"/>
    <w:rsid w:val="003E7C4D"/>
    <w:rsid w:val="003F64D5"/>
    <w:rsid w:val="00403C7E"/>
    <w:rsid w:val="0040459C"/>
    <w:rsid w:val="004111BE"/>
    <w:rsid w:val="00420AE5"/>
    <w:rsid w:val="00444EDB"/>
    <w:rsid w:val="00464884"/>
    <w:rsid w:val="004734A4"/>
    <w:rsid w:val="004949F5"/>
    <w:rsid w:val="004A0033"/>
    <w:rsid w:val="004C0A4B"/>
    <w:rsid w:val="004C1579"/>
    <w:rsid w:val="004C3339"/>
    <w:rsid w:val="004D309B"/>
    <w:rsid w:val="00516924"/>
    <w:rsid w:val="00526364"/>
    <w:rsid w:val="005772CD"/>
    <w:rsid w:val="005A4372"/>
    <w:rsid w:val="005C5898"/>
    <w:rsid w:val="005D3A86"/>
    <w:rsid w:val="005E2CD1"/>
    <w:rsid w:val="00605BE1"/>
    <w:rsid w:val="00631C89"/>
    <w:rsid w:val="0063373B"/>
    <w:rsid w:val="00656ECF"/>
    <w:rsid w:val="0068143A"/>
    <w:rsid w:val="006922EF"/>
    <w:rsid w:val="00693FCB"/>
    <w:rsid w:val="00696980"/>
    <w:rsid w:val="006B0B8D"/>
    <w:rsid w:val="006B1392"/>
    <w:rsid w:val="006B3DC0"/>
    <w:rsid w:val="006B6719"/>
    <w:rsid w:val="006C213F"/>
    <w:rsid w:val="006D49D3"/>
    <w:rsid w:val="006E484A"/>
    <w:rsid w:val="006F1F4F"/>
    <w:rsid w:val="007007C7"/>
    <w:rsid w:val="00701814"/>
    <w:rsid w:val="00710185"/>
    <w:rsid w:val="00710654"/>
    <w:rsid w:val="00727688"/>
    <w:rsid w:val="007544BA"/>
    <w:rsid w:val="007744AC"/>
    <w:rsid w:val="007765C9"/>
    <w:rsid w:val="00797A4B"/>
    <w:rsid w:val="007B1CA7"/>
    <w:rsid w:val="007D6C37"/>
    <w:rsid w:val="007F5A41"/>
    <w:rsid w:val="008030BB"/>
    <w:rsid w:val="008304A1"/>
    <w:rsid w:val="0085109B"/>
    <w:rsid w:val="00862A31"/>
    <w:rsid w:val="00884F5F"/>
    <w:rsid w:val="00886DF4"/>
    <w:rsid w:val="008A0B38"/>
    <w:rsid w:val="008C03C9"/>
    <w:rsid w:val="008C12C2"/>
    <w:rsid w:val="008D5E6E"/>
    <w:rsid w:val="008F2AD6"/>
    <w:rsid w:val="00917370"/>
    <w:rsid w:val="00937B68"/>
    <w:rsid w:val="00950887"/>
    <w:rsid w:val="00957DED"/>
    <w:rsid w:val="00972D06"/>
    <w:rsid w:val="00976C2B"/>
    <w:rsid w:val="00994993"/>
    <w:rsid w:val="00997099"/>
    <w:rsid w:val="009A77D8"/>
    <w:rsid w:val="009B738F"/>
    <w:rsid w:val="009C718D"/>
    <w:rsid w:val="009E3913"/>
    <w:rsid w:val="009E4346"/>
    <w:rsid w:val="009F4CD9"/>
    <w:rsid w:val="00A012CF"/>
    <w:rsid w:val="00A039DA"/>
    <w:rsid w:val="00A10D26"/>
    <w:rsid w:val="00A22684"/>
    <w:rsid w:val="00A555F3"/>
    <w:rsid w:val="00A637B0"/>
    <w:rsid w:val="00A764B6"/>
    <w:rsid w:val="00AC250D"/>
    <w:rsid w:val="00AF5409"/>
    <w:rsid w:val="00B10312"/>
    <w:rsid w:val="00B13159"/>
    <w:rsid w:val="00B26F72"/>
    <w:rsid w:val="00B30DAC"/>
    <w:rsid w:val="00B371CA"/>
    <w:rsid w:val="00B4024F"/>
    <w:rsid w:val="00B6165A"/>
    <w:rsid w:val="00B7082B"/>
    <w:rsid w:val="00B81E42"/>
    <w:rsid w:val="00B9380B"/>
    <w:rsid w:val="00BA4FC8"/>
    <w:rsid w:val="00BE1C4F"/>
    <w:rsid w:val="00BF7F27"/>
    <w:rsid w:val="00C16838"/>
    <w:rsid w:val="00C33970"/>
    <w:rsid w:val="00C41A14"/>
    <w:rsid w:val="00C42763"/>
    <w:rsid w:val="00C52EDB"/>
    <w:rsid w:val="00C550AE"/>
    <w:rsid w:val="00C65E56"/>
    <w:rsid w:val="00CB1B4F"/>
    <w:rsid w:val="00CD68B9"/>
    <w:rsid w:val="00D133F0"/>
    <w:rsid w:val="00D22E33"/>
    <w:rsid w:val="00D27BAC"/>
    <w:rsid w:val="00D358B5"/>
    <w:rsid w:val="00D80BE6"/>
    <w:rsid w:val="00DC3B87"/>
    <w:rsid w:val="00DC3C36"/>
    <w:rsid w:val="00DE0AF6"/>
    <w:rsid w:val="00DE310E"/>
    <w:rsid w:val="00DF5E14"/>
    <w:rsid w:val="00E22210"/>
    <w:rsid w:val="00E50CB5"/>
    <w:rsid w:val="00E76680"/>
    <w:rsid w:val="00EA2BBB"/>
    <w:rsid w:val="00EA7C07"/>
    <w:rsid w:val="00EB7C1B"/>
    <w:rsid w:val="00EC25D2"/>
    <w:rsid w:val="00EC2C3F"/>
    <w:rsid w:val="00F150E2"/>
    <w:rsid w:val="00F16F57"/>
    <w:rsid w:val="00F34E7B"/>
    <w:rsid w:val="00F614FE"/>
    <w:rsid w:val="00F61DC6"/>
    <w:rsid w:val="00F66BE7"/>
    <w:rsid w:val="00FA1A3F"/>
    <w:rsid w:val="00FA3E42"/>
    <w:rsid w:val="00FB6654"/>
    <w:rsid w:val="00FC6A9E"/>
    <w:rsid w:val="00FC72E4"/>
    <w:rsid w:val="00FF2722"/>
    <w:rsid w:val="7E7F1E91"/>
    <w:rsid w:val="FBFFCA44"/>
    <w:rsid w:val="FDCEC28A"/>
    <w:rsid w:val="FFBBF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0"/>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0"/>
    <w:rPr>
      <w:b/>
      <w:bCs/>
    </w:rPr>
  </w:style>
  <w:style w:type="table" w:styleId="8">
    <w:name w:val="Table Grid"/>
    <w:basedOn w:val="7"/>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0"/>
    <w:rPr>
      <w:sz w:val="21"/>
      <w:szCs w:val="21"/>
    </w:rPr>
  </w:style>
  <w:style w:type="paragraph" w:customStyle="1" w:styleId="11">
    <w:name w:val="列出段落1"/>
    <w:basedOn w:val="1"/>
    <w:qFormat/>
    <w:uiPriority w:val="34"/>
    <w:pPr>
      <w:ind w:firstLine="420" w:firstLineChars="200"/>
    </w:pPr>
  </w:style>
  <w:style w:type="paragraph" w:customStyle="1" w:styleId="12">
    <w:name w:val="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3">
    <w:name w:val="列出段落2"/>
    <w:basedOn w:val="1"/>
    <w:qFormat/>
    <w:uiPriority w:val="34"/>
    <w:pPr>
      <w:ind w:firstLine="420" w:firstLineChars="200"/>
    </w:pPr>
  </w:style>
  <w:style w:type="paragraph" w:customStyle="1" w:styleId="14">
    <w:name w:val="列出段落3"/>
    <w:basedOn w:val="1"/>
    <w:qFormat/>
    <w:uiPriority w:val="34"/>
    <w:pPr>
      <w:ind w:firstLine="420" w:firstLineChars="200"/>
    </w:pPr>
  </w:style>
  <w:style w:type="character" w:customStyle="1" w:styleId="15">
    <w:name w:val="页眉 Char"/>
    <w:basedOn w:val="9"/>
    <w:link w:val="5"/>
    <w:qFormat/>
    <w:uiPriority w:val="99"/>
    <w:rPr>
      <w:sz w:val="18"/>
      <w:szCs w:val="18"/>
    </w:rPr>
  </w:style>
  <w:style w:type="character" w:customStyle="1" w:styleId="16">
    <w:name w:val="页脚 Char"/>
    <w:basedOn w:val="9"/>
    <w:link w:val="4"/>
    <w:qFormat/>
    <w:uiPriority w:val="99"/>
    <w:rPr>
      <w:sz w:val="18"/>
      <w:szCs w:val="18"/>
    </w:rPr>
  </w:style>
  <w:style w:type="character" w:customStyle="1" w:styleId="17">
    <w:name w:val="批注框文本 Char"/>
    <w:basedOn w:val="9"/>
    <w:link w:val="3"/>
    <w:semiHidden/>
    <w:qFormat/>
    <w:uiPriority w:val="99"/>
    <w:rPr>
      <w:sz w:val="18"/>
      <w:szCs w:val="18"/>
    </w:rPr>
  </w:style>
  <w:style w:type="character" w:customStyle="1" w:styleId="18">
    <w:name w:val="批注文字 Char"/>
    <w:basedOn w:val="9"/>
    <w:link w:val="2"/>
    <w:semiHidden/>
    <w:qFormat/>
    <w:uiPriority w:val="0"/>
    <w:rPr>
      <w:rFonts w:ascii="Calibri" w:hAnsi="Calibri" w:cs="黑体"/>
      <w:kern w:val="2"/>
      <w:sz w:val="21"/>
      <w:szCs w:val="22"/>
    </w:rPr>
  </w:style>
  <w:style w:type="character" w:customStyle="1" w:styleId="19">
    <w:name w:val="批注主题 Char"/>
    <w:basedOn w:val="18"/>
    <w:link w:val="6"/>
    <w:semiHidden/>
    <w:qFormat/>
    <w:uiPriority w:val="0"/>
    <w:rPr>
      <w:rFonts w:ascii="Calibri" w:hAnsi="Calibri" w:cs="黑体"/>
      <w:b/>
      <w:bCs/>
      <w:kern w:val="2"/>
      <w:sz w:val="21"/>
      <w:szCs w:val="22"/>
    </w:rPr>
  </w:style>
  <w:style w:type="paragraph" w:customStyle="1" w:styleId="20">
    <w:name w:val="Revision"/>
    <w:hidden/>
    <w:semiHidden/>
    <w:qFormat/>
    <w:uiPriority w:val="99"/>
    <w:rPr>
      <w:rFonts w:ascii="Calibri" w:hAnsi="Calibri" w:eastAsia="宋体" w:cs="黑体"/>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3103</Words>
  <Characters>3104</Characters>
  <Lines>22</Lines>
  <Paragraphs>6</Paragraphs>
  <TotalTime>949</TotalTime>
  <ScaleCrop>false</ScaleCrop>
  <LinksUpToDate>false</LinksUpToDate>
  <CharactersWithSpaces>3117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2014-06-06T11:56:00Z</dcterms:created>
  <dc:creator>neeq</dc:creator>
  <cp:lastModifiedBy>shejx</cp:lastModifiedBy>
  <cp:lastPrinted>2018-12-08T08:42:00Z</cp:lastPrinted>
  <dcterms:modified xsi:type="dcterms:W3CDTF">2025-05-29T15:09:51Z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