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44"/>
          <w:szCs w:val="44"/>
        </w:rPr>
      </w:pPr>
      <w:bookmarkStart w:id="0" w:name="_GoBack"/>
      <w:bookmarkEnd w:id="0"/>
    </w:p>
    <w:p>
      <w:pPr>
        <w:jc w:val="center"/>
        <w:rPr>
          <w:rFonts w:ascii="Times New Roman" w:hAnsi="Times New Roman" w:eastAsia="方正大标宋简体" w:cs="Times New Roman"/>
          <w:color w:val="000000"/>
          <w:sz w:val="42"/>
          <w:szCs w:val="42"/>
        </w:rPr>
      </w:pPr>
      <w:r>
        <w:rPr>
          <w:rFonts w:ascii="Times New Roman" w:hAnsi="Times New Roman" w:eastAsia="方正大标宋简体" w:cs="Times New Roman"/>
          <w:color w:val="000000"/>
          <w:sz w:val="42"/>
          <w:szCs w:val="42"/>
        </w:rPr>
        <w:t>全国中小企业股份转让系统公开转让说明书信息披露指引第2号</w:t>
      </w:r>
      <w:r>
        <w:rPr>
          <w:rFonts w:hint="eastAsia" w:ascii="Times New Roman" w:hAnsi="Times New Roman" w:eastAsia="方正大标宋简体" w:cs="Times New Roman"/>
          <w:color w:val="000000"/>
          <w:sz w:val="42"/>
          <w:szCs w:val="42"/>
          <w:lang w:eastAsia="zh-CN"/>
        </w:rPr>
        <w:t>——</w:t>
      </w:r>
      <w:r>
        <w:rPr>
          <w:rFonts w:ascii="Times New Roman" w:hAnsi="Times New Roman" w:eastAsia="方正大标宋简体" w:cs="Times New Roman"/>
          <w:color w:val="000000"/>
          <w:sz w:val="42"/>
          <w:szCs w:val="42"/>
        </w:rPr>
        <w:t>私募基金管理机构（试行）</w:t>
      </w:r>
    </w:p>
    <w:p>
      <w:pPr>
        <w:ind w:firstLine="560" w:firstLineChars="200"/>
        <w:jc w:val="center"/>
        <w:rPr>
          <w:rFonts w:ascii="Times New Roman" w:hAnsi="Times New Roman" w:cs="Times New Roman"/>
          <w:sz w:val="28"/>
          <w:szCs w:val="28"/>
        </w:rPr>
      </w:pP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为满足差异化信息披露要求，规范从事私募基金管理业务的申请挂牌公司（以下简称“公司”或“私募管理机构”）的首次公开信息披露行为，提高私募管理机构挂牌信息披露针对性和有效性，保护投资人及相关当事人的合法权益，根据《中华人民共和国公司法》、《证券投资基金法》、《私募投资基金监督管理暂行办法》、《非上市公众公司监督管理办法》、《非上市公众公司监管指引第1号——信息披露》、《非上市公众公司信息披露内容</w:t>
      </w:r>
      <w:r>
        <w:rPr>
          <w:rFonts w:hint="eastAsia" w:ascii="Times New Roman" w:hAnsi="Times New Roman" w:eastAsia="方正仿宋简体" w:cs="Times New Roman"/>
          <w:sz w:val="30"/>
          <w:szCs w:val="30"/>
        </w:rPr>
        <w:t>与</w:t>
      </w:r>
      <w:r>
        <w:rPr>
          <w:rFonts w:ascii="Times New Roman" w:hAnsi="Times New Roman" w:eastAsia="方正仿宋简体" w:cs="Times New Roman"/>
          <w:sz w:val="30"/>
          <w:szCs w:val="30"/>
        </w:rPr>
        <w:t>格式准则第1号——公开转让说明书》、《全国中小企业股份转让系统业务规则（试行）》、《全国中小企业股份转让系统公开转让说明书内容与格式指引（试行）》等法律、行政法规、部门规章、规范性文件和业务规则，制定本指引。</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凡根据《公司法》、《证券投资基金法》、《私募投资基金监督管理暂行办法》、《私募投资基金管理人登记和基金备案办法（试行）》等规定设立且已在中国证券投资基金业协会登记，申请股票在全国中小企业股份转让系统（以下简称“全国股转系统”）挂牌并公开转让的私募基金管理公司，适用本指引的规定。</w:t>
      </w:r>
    </w:p>
    <w:p>
      <w:pPr>
        <w:tabs>
          <w:tab w:val="left" w:pos="993"/>
          <w:tab w:val="left" w:pos="1560"/>
          <w:tab w:val="left" w:pos="1843"/>
        </w:tabs>
        <w:spacing w:line="560" w:lineRule="exact"/>
        <w:ind w:firstLine="600" w:firstLineChars="2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公司合并报表范围内的子企业从事私募基金管理业务的，适用本指引的规定。</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从事私募基金管理业务的公司</w:t>
      </w:r>
      <w:r>
        <w:rPr>
          <w:rFonts w:ascii="Times New Roman" w:hAnsi="Times New Roman" w:eastAsia="方正仿宋简体" w:cs="Times New Roman"/>
          <w:kern w:val="0"/>
          <w:sz w:val="30"/>
          <w:szCs w:val="30"/>
        </w:rPr>
        <w:t>申请在全国股转系统挂牌时，除应遵循本指引外，还应遵循《全国中小企业股份转让系统公开转让说明书内容与格式指引（试行）》以及法律法规及中国证券监督管理委员会（以下简称“中国证监会”）和全国股转系统有关信息披露的其他规定。</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sz w:val="30"/>
          <w:szCs w:val="30"/>
        </w:rPr>
        <w:t>私募基金管理机构</w:t>
      </w:r>
      <w:r>
        <w:rPr>
          <w:rFonts w:ascii="Times New Roman" w:hAnsi="Times New Roman" w:eastAsia="方正仿宋简体" w:cs="Times New Roman"/>
          <w:kern w:val="0"/>
          <w:sz w:val="30"/>
          <w:szCs w:val="30"/>
        </w:rPr>
        <w:t xml:space="preserve">披露行业经营性信息时，应当使用简明易懂的语言，对行业专业术语、专业背景、行业知识等进行必要的介绍和解释说明，便于投资者理解公司实际经营状况和风险信息。 </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kern w:val="0"/>
          <w:sz w:val="30"/>
          <w:szCs w:val="30"/>
        </w:rPr>
      </w:pPr>
      <w:r>
        <w:rPr>
          <w:rFonts w:ascii="Times New Roman" w:hAnsi="Times New Roman" w:eastAsia="方正仿宋简体" w:cs="Times New Roman"/>
          <w:sz w:val="30"/>
          <w:szCs w:val="30"/>
        </w:rPr>
        <w:t>私募基金管理机构</w:t>
      </w:r>
      <w:r>
        <w:rPr>
          <w:rFonts w:ascii="Times New Roman" w:hAnsi="Times New Roman" w:eastAsia="方正仿宋简体" w:cs="Times New Roman"/>
          <w:kern w:val="0"/>
          <w:sz w:val="30"/>
          <w:szCs w:val="30"/>
        </w:rPr>
        <w:t>在披露行业经营性信息时引用相关数据、资料的，应当保证引用内容充分可靠、客观权威，并注明其来源。</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kern w:val="0"/>
          <w:sz w:val="30"/>
          <w:szCs w:val="30"/>
        </w:rPr>
        <w:t>公司应披</w:t>
      </w:r>
      <w:r>
        <w:rPr>
          <w:rFonts w:ascii="Times New Roman" w:hAnsi="Times New Roman" w:eastAsia="方正仿宋简体" w:cs="Times New Roman"/>
          <w:sz w:val="30"/>
          <w:szCs w:val="30"/>
        </w:rPr>
        <w:t>露基金管理模式，管理人由公司担任或子企业担任。</w:t>
      </w:r>
    </w:p>
    <w:p>
      <w:pPr>
        <w:pStyle w:val="10"/>
        <w:spacing w:line="560" w:lineRule="exact"/>
        <w:ind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公司作为基金管理人的，应结合基金设立和运营的法律文件内容，披露公司对基金债务承担无限连带责任的风险或者其他资金补偿风险（如有），及其对公司财务和持续经营的影响。</w:t>
      </w:r>
    </w:p>
    <w:p>
      <w:pPr>
        <w:pStyle w:val="10"/>
        <w:spacing w:line="560" w:lineRule="exact"/>
        <w:ind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子企业作为基金管理人的，应比照申请挂牌公司的信息披露要求披露子企业历史沿革及本指引规定的其他信息。</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公司应披露基金设立与日常管理情况，包括但不限于以下信息：</w:t>
      </w:r>
    </w:p>
    <w:p>
      <w:pPr>
        <w:pStyle w:val="10"/>
        <w:widowControl/>
        <w:numPr>
          <w:ilvl w:val="0"/>
          <w:numId w:val="2"/>
        </w:numPr>
        <w:tabs>
          <w:tab w:val="left" w:pos="993"/>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存续基金总数；基金认缴与实缴金额，认缴金额与实缴金额存在差异的，应披露原因、投资人违约风险及对公司财务和持续经营的影响；基金一般收益分配机制，特殊利益分配机制（如有）；</w:t>
      </w:r>
    </w:p>
    <w:p>
      <w:pPr>
        <w:pStyle w:val="10"/>
        <w:widowControl/>
        <w:numPr>
          <w:ilvl w:val="0"/>
          <w:numId w:val="2"/>
        </w:numPr>
        <w:tabs>
          <w:tab w:val="left" w:pos="993"/>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全部存续基金的基本情况：名称、类型、组织形式、成立时间、存续期（投资期/退出期）、币种、资金来源（政府出资、社会资本、险资、外资等）、投资方向（综合性基金或专项基金，专项基金需明确投资领域）、管理人、托管人；公司可分类列示基金情况；</w:t>
      </w:r>
    </w:p>
    <w:p>
      <w:pPr>
        <w:pStyle w:val="10"/>
        <w:numPr>
          <w:ilvl w:val="0"/>
          <w:numId w:val="2"/>
        </w:numPr>
        <w:tabs>
          <w:tab w:val="left" w:pos="993"/>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结构化基金产品中（如有），基金分级比例设置情况，公司董事、监事、高级管理人员及其关联方持有结构化产品分级权益的情形；</w:t>
      </w:r>
    </w:p>
    <w:p>
      <w:pPr>
        <w:pStyle w:val="10"/>
        <w:numPr>
          <w:ilvl w:val="0"/>
          <w:numId w:val="2"/>
        </w:numPr>
        <w:tabs>
          <w:tab w:val="left" w:pos="993"/>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基金募集推介方式；自行销售或委托第三方机构销售的金额及比例、募集成本（如有）、管理人与第三方机构之间的利益分配机制、基金特殊架构设计（如有）；合格投资者制度执行情况；</w:t>
      </w:r>
    </w:p>
    <w:p>
      <w:pPr>
        <w:pStyle w:val="10"/>
        <w:numPr>
          <w:ilvl w:val="0"/>
          <w:numId w:val="2"/>
        </w:numPr>
        <w:tabs>
          <w:tab w:val="left" w:pos="993"/>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基金资产安全性，基金托管情况或保障基金财产安全的制度措施和纠纷解决机制；基金资产、文件、印章管理方式，资金收付流程控制；</w:t>
      </w:r>
    </w:p>
    <w:p>
      <w:pPr>
        <w:pStyle w:val="10"/>
        <w:numPr>
          <w:ilvl w:val="0"/>
          <w:numId w:val="2"/>
        </w:numPr>
        <w:tabs>
          <w:tab w:val="left" w:pos="993"/>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公司同时管理数只基金的，应披露专业化管理制度及执行情况，防范利益输送和利益冲突的机制；</w:t>
      </w:r>
    </w:p>
    <w:p>
      <w:pPr>
        <w:pStyle w:val="10"/>
        <w:numPr>
          <w:ilvl w:val="0"/>
          <w:numId w:val="2"/>
        </w:numPr>
        <w:tabs>
          <w:tab w:val="left" w:pos="993"/>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公司或其子企业存在对基金债务承担无限连带责任或其他资金补偿责任的，应充分提示其对公司财务和持续经营的影响并做重大事项提示；</w:t>
      </w:r>
    </w:p>
    <w:p>
      <w:pPr>
        <w:pStyle w:val="10"/>
        <w:widowControl/>
        <w:numPr>
          <w:ilvl w:val="0"/>
          <w:numId w:val="2"/>
        </w:numPr>
        <w:tabs>
          <w:tab w:val="left" w:pos="993"/>
          <w:tab w:val="left" w:pos="1418"/>
        </w:tabs>
        <w:spacing w:line="560" w:lineRule="exact"/>
        <w:ind w:left="0" w:firstLine="531" w:firstLineChars="177"/>
        <w:jc w:val="left"/>
        <w:rPr>
          <w:rFonts w:ascii="Times New Roman" w:hAnsi="Times New Roman" w:eastAsia="方正仿宋简体" w:cs="Times New Roman"/>
          <w:sz w:val="30"/>
          <w:szCs w:val="30"/>
        </w:rPr>
      </w:pPr>
      <w:r>
        <w:rPr>
          <w:rFonts w:ascii="Times New Roman" w:hAnsi="Times New Roman" w:eastAsia="方正仿宋简体" w:cs="Times New Roman"/>
          <w:sz w:val="30"/>
          <w:szCs w:val="30"/>
        </w:rPr>
        <w:t>基金备案情况及公司作为基金管理人登记情况。</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公司应披露基金投资情况，包括但不限于：</w:t>
      </w:r>
    </w:p>
    <w:p>
      <w:pPr>
        <w:pStyle w:val="10"/>
        <w:numPr>
          <w:ilvl w:val="0"/>
          <w:numId w:val="3"/>
        </w:numPr>
        <w:tabs>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投资决策体系及执行情况；</w:t>
      </w:r>
    </w:p>
    <w:p>
      <w:pPr>
        <w:pStyle w:val="10"/>
        <w:numPr>
          <w:ilvl w:val="0"/>
          <w:numId w:val="3"/>
        </w:numPr>
        <w:tabs>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对被投资标的的管理方式及执行的有效性；</w:t>
      </w:r>
    </w:p>
    <w:p>
      <w:pPr>
        <w:pStyle w:val="10"/>
        <w:numPr>
          <w:ilvl w:val="0"/>
          <w:numId w:val="3"/>
        </w:numPr>
        <w:tabs>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基金与被投资标的及其关联方的特殊利益安排（如有），对业绩有重大影响的，应作为重大事项提示；</w:t>
      </w:r>
    </w:p>
    <w:p>
      <w:pPr>
        <w:pStyle w:val="10"/>
        <w:numPr>
          <w:ilvl w:val="0"/>
          <w:numId w:val="3"/>
        </w:numPr>
        <w:tabs>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累计投资项目数量、累计投资总额；在管项目数量和在管项目投资总额；</w:t>
      </w:r>
    </w:p>
    <w:p>
      <w:pPr>
        <w:pStyle w:val="10"/>
        <w:numPr>
          <w:ilvl w:val="0"/>
          <w:numId w:val="3"/>
        </w:numPr>
        <w:tabs>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全部在管项目基本情况：项目名称（若为上市公司或在全国股转系统挂牌的公司，应注明股票代码和简称）、投资总额、持股比例、持有时间，公司可按项目所属行业、投资阶段等分类列示投资项目信息。公司应披露在管项目的财务情况，包括资产总额、净资产、营业收入、净利润；</w:t>
      </w:r>
    </w:p>
    <w:p>
      <w:pPr>
        <w:pStyle w:val="10"/>
        <w:numPr>
          <w:ilvl w:val="0"/>
          <w:numId w:val="3"/>
        </w:numPr>
        <w:tabs>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投资标的发生严重违法违规、资不抵债、破产、清算等重大事项，以及公司或基金与投资标的或其关联方发生仲裁、诉讼等且涉及金额超过公司最近一年末净资产5%以上的事项。上述事项对基金或公司业绩产生重大影响的，应做重大事项提示；</w:t>
      </w:r>
    </w:p>
    <w:p>
      <w:pPr>
        <w:pStyle w:val="10"/>
        <w:numPr>
          <w:ilvl w:val="0"/>
          <w:numId w:val="3"/>
        </w:numPr>
        <w:tabs>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披露在管项目估值及收益测算的，应同时披露估值方法及其合理性。</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公司应披露项目退出情况，包括但不限于：</w:t>
      </w:r>
    </w:p>
    <w:p>
      <w:pPr>
        <w:pStyle w:val="10"/>
        <w:numPr>
          <w:ilvl w:val="0"/>
          <w:numId w:val="4"/>
        </w:numPr>
        <w:tabs>
          <w:tab w:val="left" w:pos="1418"/>
          <w:tab w:val="left" w:pos="1701"/>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累计已退出项目数量、累计已退出项目的投资总额；</w:t>
      </w:r>
    </w:p>
    <w:p>
      <w:pPr>
        <w:pStyle w:val="10"/>
        <w:numPr>
          <w:ilvl w:val="0"/>
          <w:numId w:val="4"/>
        </w:numPr>
        <w:tabs>
          <w:tab w:val="left" w:pos="1418"/>
          <w:tab w:val="left" w:pos="1701"/>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全部退出项目情况：退出项目名称（若为上市公司或在全国股转系统挂牌，应注明股票代码和简称）、所属行业、投资金额、持有时间、退出方式、各项目IRR等指标。</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公司应披露报告期内清算基金的信息，包括但不限于：基金名称、存续时间、实缴金额、清算原因、清算进展、基金及公司收益情况。</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披露基金业务核心人员、投资业务核心人员及关键岗位（如合规风控人员）关键人员的从业资格（若需）、职业经历、专业性、独立性、稳定性、报告期内变动情况及原因，公司对上述人员的职业道德风险、内幕交易及市场操纵等风险的内控体系建设及执行情况。</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公司存在外包服务，应披露以下内容 ：</w:t>
      </w:r>
    </w:p>
    <w:p>
      <w:pPr>
        <w:pStyle w:val="10"/>
        <w:tabs>
          <w:tab w:val="left" w:pos="993"/>
          <w:tab w:val="left" w:pos="1560"/>
          <w:tab w:val="left" w:pos="1843"/>
        </w:tabs>
        <w:spacing w:line="560" w:lineRule="exact"/>
        <w:ind w:left="640" w:firstLine="0" w:firstLineChars="0"/>
        <w:rPr>
          <w:rFonts w:ascii="Times New Roman" w:hAnsi="Times New Roman" w:eastAsia="方正仿宋简体" w:cs="Times New Roman"/>
          <w:sz w:val="30"/>
          <w:szCs w:val="30"/>
        </w:rPr>
      </w:pPr>
      <w:r>
        <w:rPr>
          <w:rFonts w:ascii="Times New Roman" w:hAnsi="Times New Roman" w:eastAsia="方正仿宋简体" w:cs="Times New Roman"/>
          <w:sz w:val="30"/>
          <w:szCs w:val="30"/>
        </w:rPr>
        <w:t>（一）外包服务的名称、内容、种类、形式；</w:t>
      </w:r>
    </w:p>
    <w:p>
      <w:pPr>
        <w:pStyle w:val="10"/>
        <w:tabs>
          <w:tab w:val="left" w:pos="993"/>
          <w:tab w:val="left" w:pos="1560"/>
          <w:tab w:val="left" w:pos="1843"/>
        </w:tabs>
        <w:spacing w:line="560" w:lineRule="exact"/>
        <w:ind w:left="640" w:firstLine="0" w:firstLineChars="0"/>
        <w:rPr>
          <w:rFonts w:ascii="Times New Roman" w:hAnsi="Times New Roman" w:eastAsia="方正仿宋简体" w:cs="Times New Roman"/>
          <w:sz w:val="30"/>
          <w:szCs w:val="30"/>
        </w:rPr>
      </w:pPr>
      <w:r>
        <w:rPr>
          <w:rFonts w:ascii="Times New Roman" w:hAnsi="Times New Roman" w:eastAsia="方正仿宋简体" w:cs="Times New Roman"/>
          <w:sz w:val="30"/>
          <w:szCs w:val="30"/>
        </w:rPr>
        <w:t>（二）外包服务的支出、占成本费用的比重；</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公司应详细披露业务风险控制机制，包括风险管理组织体系和基本流程、投资决策策略和流程、各类风险的评估方法和结果、重大风险事件应急处置机制、资产和信息隔离机制、投后管理机制等。</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公司应披露自身及其子企业在基金的募集设立、投资业务中遵守国家政策及法律法规的情况、基金业协会登记与信息更新等事项。</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w:t>
      </w:r>
      <w:r>
        <w:rPr>
          <w:rFonts w:ascii="Times New Roman" w:hAnsi="Times New Roman" w:eastAsia="方正仿宋简体" w:cs="Times New Roman"/>
          <w:kern w:val="0"/>
          <w:sz w:val="30"/>
          <w:szCs w:val="30"/>
        </w:rPr>
        <w:t>应披露公司及其董事、监事和高级管理人员报告期内被相关监管部门或自律组织采取的行政监管措施、自律监管措施情况以及正在接受立案调查，尚未形成处罚结论的情况等。</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公司应披露以下财务信息：</w:t>
      </w:r>
    </w:p>
    <w:p>
      <w:pPr>
        <w:pStyle w:val="10"/>
        <w:numPr>
          <w:ilvl w:val="0"/>
          <w:numId w:val="5"/>
        </w:numPr>
        <w:tabs>
          <w:tab w:val="left" w:pos="993"/>
          <w:tab w:val="left" w:pos="1418"/>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报告期内收入来源、收入和成本（费用）结构，收入、成本（费用）等应与业务内容相匹配；</w:t>
      </w:r>
    </w:p>
    <w:p>
      <w:pPr>
        <w:pStyle w:val="10"/>
        <w:numPr>
          <w:ilvl w:val="0"/>
          <w:numId w:val="5"/>
        </w:numPr>
        <w:tabs>
          <w:tab w:val="left" w:pos="993"/>
          <w:tab w:val="left" w:pos="1418"/>
          <w:tab w:val="left" w:pos="1843"/>
        </w:tabs>
        <w:spacing w:line="560" w:lineRule="exact"/>
        <w:ind w:left="0" w:firstLine="525" w:firstLineChars="0"/>
        <w:rPr>
          <w:rFonts w:ascii="Times New Roman" w:hAnsi="Times New Roman" w:eastAsia="方正仿宋简体" w:cs="Times New Roman"/>
          <w:sz w:val="30"/>
          <w:szCs w:val="30"/>
        </w:rPr>
      </w:pPr>
      <w:r>
        <w:rPr>
          <w:rFonts w:ascii="Times New Roman" w:hAnsi="Times New Roman" w:eastAsia="方正仿宋简体" w:cs="Times New Roman"/>
          <w:sz w:val="30"/>
          <w:szCs w:val="30"/>
        </w:rPr>
        <w:t>基金管理人在其管理基金中的出资额、各基金管理费用的收取对象、收取方式、收取年限、收取金额，基金管理费收取标准区间；</w:t>
      </w:r>
    </w:p>
    <w:p>
      <w:pPr>
        <w:pStyle w:val="10"/>
        <w:numPr>
          <w:ilvl w:val="0"/>
          <w:numId w:val="5"/>
        </w:numPr>
        <w:tabs>
          <w:tab w:val="left" w:pos="993"/>
          <w:tab w:val="left" w:pos="1418"/>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公司应结合基金业务特点与模式披露前五大客户（基金或LP）及相应的披露标准；</w:t>
      </w:r>
    </w:p>
    <w:p>
      <w:pPr>
        <w:pStyle w:val="10"/>
        <w:numPr>
          <w:ilvl w:val="0"/>
          <w:numId w:val="5"/>
        </w:numPr>
        <w:tabs>
          <w:tab w:val="left" w:pos="993"/>
          <w:tab w:val="left" w:pos="1418"/>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公司应完整披露关联方及关联交易，以及将基金认定或不认定为关联方的依据；</w:t>
      </w:r>
    </w:p>
    <w:p>
      <w:pPr>
        <w:pStyle w:val="10"/>
        <w:numPr>
          <w:ilvl w:val="0"/>
          <w:numId w:val="5"/>
        </w:numPr>
        <w:tabs>
          <w:tab w:val="left" w:pos="993"/>
          <w:tab w:val="left" w:pos="1418"/>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公司或基金聘请外部专家参与尽职调查或投资顾问及费用支付情况；</w:t>
      </w:r>
    </w:p>
    <w:p>
      <w:pPr>
        <w:pStyle w:val="10"/>
        <w:numPr>
          <w:ilvl w:val="0"/>
          <w:numId w:val="5"/>
        </w:numPr>
        <w:tabs>
          <w:tab w:val="left" w:pos="993"/>
          <w:tab w:val="left" w:pos="1418"/>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披露将基金纳入或者不纳入合并报表范围的依据，如存在将基金纳入合并报表范围的，应披露纳入合并报表范围的基金所投资的项目的确认及计量方法，如按照公允价值计量的，应披露公允价值的确认依据；</w:t>
      </w:r>
    </w:p>
    <w:p>
      <w:pPr>
        <w:pStyle w:val="10"/>
        <w:numPr>
          <w:ilvl w:val="0"/>
          <w:numId w:val="5"/>
        </w:numPr>
        <w:tabs>
          <w:tab w:val="left" w:pos="993"/>
          <w:tab w:val="left" w:pos="1418"/>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kern w:val="0"/>
          <w:sz w:val="30"/>
          <w:szCs w:val="30"/>
        </w:rPr>
        <w:t>公司应披露报告期内的债券融资情况，包括融资金额、期限、募集资金用途、履约还款情况以及融资审批情况等。</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公司同时以自有资产投资的，还应披露以下事项：</w:t>
      </w:r>
    </w:p>
    <w:p>
      <w:pPr>
        <w:pStyle w:val="10"/>
        <w:numPr>
          <w:ilvl w:val="1"/>
          <w:numId w:val="6"/>
        </w:numPr>
        <w:tabs>
          <w:tab w:val="left" w:pos="993"/>
          <w:tab w:val="left" w:pos="1418"/>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投资金额占当期期末净资产5%以上的自有资产投资项目情况，包括：项目名称、投资金额、持股比例、投资时间、已退出项目退出方式及收益情况、项目的估值及估值方法；</w:t>
      </w:r>
    </w:p>
    <w:p>
      <w:pPr>
        <w:pStyle w:val="10"/>
        <w:numPr>
          <w:ilvl w:val="1"/>
          <w:numId w:val="6"/>
        </w:numPr>
        <w:tabs>
          <w:tab w:val="left" w:pos="993"/>
          <w:tab w:val="left" w:pos="1418"/>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自有资产与受托资产在投资运作方式、报告期内收益方面的差异；</w:t>
      </w:r>
    </w:p>
    <w:p>
      <w:pPr>
        <w:pStyle w:val="10"/>
        <w:numPr>
          <w:ilvl w:val="1"/>
          <w:numId w:val="6"/>
        </w:numPr>
        <w:tabs>
          <w:tab w:val="left" w:pos="993"/>
          <w:tab w:val="left" w:pos="1418"/>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报告期内收入分别来自于自有资产管理与受托资产管理的金额及比例；</w:t>
      </w:r>
    </w:p>
    <w:p>
      <w:pPr>
        <w:pStyle w:val="10"/>
        <w:numPr>
          <w:ilvl w:val="1"/>
          <w:numId w:val="6"/>
        </w:numPr>
        <w:tabs>
          <w:tab w:val="left" w:pos="993"/>
          <w:tab w:val="left" w:pos="1418"/>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公司专业化管理制度的建设和执行情况，信息、决策和风险隔离机制，防范利益输送与利益冲突的机制；</w:t>
      </w:r>
    </w:p>
    <w:p>
      <w:pPr>
        <w:pStyle w:val="10"/>
        <w:numPr>
          <w:ilvl w:val="1"/>
          <w:numId w:val="6"/>
        </w:numPr>
        <w:tabs>
          <w:tab w:val="left" w:pos="993"/>
          <w:tab w:val="left" w:pos="1418"/>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公司应披露所投项目为战略型投资还是财务型投资，如为战略型，公司应披露投资目的、决策程序、参与所投项目经营管理的相关情况。</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公司与其他企业合作设立并运营投资基金共同担任基金管理人的，还应披露以下信息：</w:t>
      </w:r>
    </w:p>
    <w:p>
      <w:pPr>
        <w:pStyle w:val="10"/>
        <w:numPr>
          <w:ilvl w:val="0"/>
          <w:numId w:val="7"/>
        </w:numPr>
        <w:tabs>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基金管理模式、管理费、业绩报酬等利益分配机制；</w:t>
      </w:r>
    </w:p>
    <w:p>
      <w:pPr>
        <w:pStyle w:val="10"/>
        <w:numPr>
          <w:ilvl w:val="0"/>
          <w:numId w:val="7"/>
        </w:numPr>
        <w:tabs>
          <w:tab w:val="left" w:pos="1418"/>
          <w:tab w:val="left" w:pos="1701"/>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基金投资方式、投资领域等约定；</w:t>
      </w:r>
    </w:p>
    <w:p>
      <w:pPr>
        <w:pStyle w:val="10"/>
        <w:numPr>
          <w:ilvl w:val="0"/>
          <w:numId w:val="7"/>
        </w:numPr>
        <w:tabs>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合作企业控股股东、实际控制人、董事、监事或高级管理人员持有基金份额或在基金中任职及利益安排情况；</w:t>
      </w:r>
    </w:p>
    <w:p>
      <w:pPr>
        <w:pStyle w:val="10"/>
        <w:numPr>
          <w:ilvl w:val="0"/>
          <w:numId w:val="7"/>
        </w:numPr>
        <w:tabs>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合作方签署的相关文件及其主要内容；</w:t>
      </w:r>
    </w:p>
    <w:p>
      <w:pPr>
        <w:pStyle w:val="10"/>
        <w:numPr>
          <w:ilvl w:val="0"/>
          <w:numId w:val="7"/>
        </w:numPr>
        <w:tabs>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合作方之间关联联系或其他利益关系；</w:t>
      </w:r>
    </w:p>
    <w:p>
      <w:pPr>
        <w:pStyle w:val="10"/>
        <w:numPr>
          <w:ilvl w:val="0"/>
          <w:numId w:val="7"/>
        </w:numPr>
        <w:tabs>
          <w:tab w:val="left" w:pos="1418"/>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有关风险因素或其他不确定性因素。</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应结合行业及公司自身商业模式披露其他关于经营性信息的指标、关键经营业绩指标，披露反映公司整体经营状况、自身内在价值的关键内容，结合行业宏观影响因素、市场环境状况、公司自身商业模式及经营情况等对可能影响公司经营的风险因素进行实质性分析和评估，对持续经营有严重不利影响的风险作“重大事项提示”。</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公司有不适用本指引要求披露信息情形的，应说明不适用的原因。</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本指引由全国中小企业股份转让系统有限责任公司负责解释。</w:t>
      </w:r>
    </w:p>
    <w:p>
      <w:pPr>
        <w:pStyle w:val="10"/>
        <w:numPr>
          <w:ilvl w:val="0"/>
          <w:numId w:val="1"/>
        </w:numPr>
        <w:tabs>
          <w:tab w:val="left" w:pos="993"/>
          <w:tab w:val="left" w:pos="1560"/>
          <w:tab w:val="left" w:pos="1843"/>
        </w:tabs>
        <w:spacing w:line="560" w:lineRule="exact"/>
        <w:ind w:left="0" w:firstLine="600"/>
        <w:rPr>
          <w:rFonts w:ascii="Times New Roman" w:hAnsi="Times New Roman" w:eastAsia="方正仿宋简体" w:cs="Times New Roman"/>
          <w:sz w:val="30"/>
          <w:szCs w:val="30"/>
        </w:rPr>
      </w:pPr>
      <w:r>
        <w:rPr>
          <w:rFonts w:ascii="Times New Roman" w:hAnsi="Times New Roman" w:eastAsia="方正仿宋简体" w:cs="Times New Roman"/>
          <w:sz w:val="30"/>
          <w:szCs w:val="30"/>
        </w:rPr>
        <w:t>本指引自发布之日起施行。</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panose1 w:val="02010601030101010101"/>
    <w:charset w:val="86"/>
    <w:family w:val="auto"/>
    <w:pitch w:val="default"/>
    <w:sig w:usb0="00000001" w:usb1="080E0000" w:usb2="00000000" w:usb3="00000000" w:csb0="00040000" w:csb1="00000000"/>
  </w:font>
  <w:font w:name="方正大标宋简体">
    <w:panose1 w:val="02010601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60284860"/>
      <w:docPartObj>
        <w:docPartGallery w:val="autotext"/>
      </w:docPartObj>
    </w:sdtPr>
    <w:sdtContent>
      <w:p>
        <w:pPr>
          <w:pStyle w:val="4"/>
          <w:jc w:val="center"/>
        </w:pPr>
        <w:r>
          <w:fldChar w:fldCharType="begin"/>
        </w:r>
        <w:r>
          <w:instrText xml:space="preserve">PAGE   \* MERGEFORMAT</w:instrText>
        </w:r>
        <w:r>
          <w:fldChar w:fldCharType="separate"/>
        </w:r>
        <w:r>
          <w:rPr>
            <w:lang w:val="zh-CN"/>
          </w:rPr>
          <w:t>7</w:t>
        </w:r>
        <w:r>
          <w:fldChar w:fldCharType="end"/>
        </w:r>
      </w:p>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0503A"/>
    <w:multiLevelType w:val="multilevel"/>
    <w:tmpl w:val="0030503A"/>
    <w:lvl w:ilvl="0" w:tentative="0">
      <w:start w:val="1"/>
      <w:numFmt w:val="japaneseCounting"/>
      <w:lvlText w:val="（%1）"/>
      <w:lvlJc w:val="left"/>
      <w:pPr>
        <w:ind w:left="5541" w:hanging="720"/>
      </w:pPr>
      <w:rPr>
        <w:rFonts w:hint="default"/>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1">
    <w:nsid w:val="2B8960F3"/>
    <w:multiLevelType w:val="multilevel"/>
    <w:tmpl w:val="2B8960F3"/>
    <w:lvl w:ilvl="0" w:tentative="0">
      <w:start w:val="1"/>
      <w:numFmt w:val="chineseCountingThousand"/>
      <w:lvlText w:val="第%1条 "/>
      <w:lvlJc w:val="left"/>
      <w:pPr>
        <w:ind w:left="3398" w:hanging="420"/>
      </w:pPr>
      <w:rPr>
        <w:rFonts w:hint="eastAsia"/>
        <w:b/>
        <w:lang w:val="en-US"/>
      </w:rPr>
    </w:lvl>
    <w:lvl w:ilvl="1" w:tentative="0">
      <w:start w:val="1"/>
      <w:numFmt w:val="japaneseCounting"/>
      <w:lvlText w:val="（%2）"/>
      <w:lvlJc w:val="left"/>
      <w:pPr>
        <w:ind w:left="1380" w:hanging="855"/>
      </w:pPr>
      <w:rPr>
        <w:rFonts w:hint="default"/>
        <w:lang w:val="en-US"/>
      </w:r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2">
    <w:nsid w:val="2FFC15EF"/>
    <w:multiLevelType w:val="multilevel"/>
    <w:tmpl w:val="2FFC15EF"/>
    <w:lvl w:ilvl="0" w:tentative="0">
      <w:start w:val="1"/>
      <w:numFmt w:val="chineseCountingThousand"/>
      <w:lvlText w:val="第%1条 "/>
      <w:lvlJc w:val="left"/>
      <w:pPr>
        <w:ind w:left="1128" w:hanging="420"/>
      </w:pPr>
      <w:rPr>
        <w:rFonts w:hint="eastAsia"/>
        <w:b/>
        <w:lang w:val="en-US"/>
      </w:rPr>
    </w:lvl>
    <w:lvl w:ilvl="1" w:tentative="0">
      <w:start w:val="1"/>
      <w:numFmt w:val="japaneseCounting"/>
      <w:lvlText w:val="（%2）"/>
      <w:lvlJc w:val="left"/>
      <w:pPr>
        <w:ind w:left="5915" w:hanging="855"/>
      </w:pPr>
      <w:rPr>
        <w:rFonts w:hint="default"/>
      </w:rPr>
    </w:lvl>
    <w:lvl w:ilvl="2" w:tentative="0">
      <w:start w:val="1"/>
      <w:numFmt w:val="lowerRoman"/>
      <w:lvlText w:val="%3."/>
      <w:lvlJc w:val="right"/>
      <w:pPr>
        <w:ind w:left="5900" w:hanging="420"/>
      </w:pPr>
    </w:lvl>
    <w:lvl w:ilvl="3" w:tentative="0">
      <w:start w:val="1"/>
      <w:numFmt w:val="decimal"/>
      <w:lvlText w:val="%4."/>
      <w:lvlJc w:val="left"/>
      <w:pPr>
        <w:ind w:left="6320" w:hanging="420"/>
      </w:pPr>
    </w:lvl>
    <w:lvl w:ilvl="4" w:tentative="0">
      <w:start w:val="1"/>
      <w:numFmt w:val="lowerLetter"/>
      <w:lvlText w:val="%5)"/>
      <w:lvlJc w:val="left"/>
      <w:pPr>
        <w:ind w:left="6740" w:hanging="420"/>
      </w:pPr>
    </w:lvl>
    <w:lvl w:ilvl="5" w:tentative="0">
      <w:start w:val="1"/>
      <w:numFmt w:val="lowerRoman"/>
      <w:lvlText w:val="%6."/>
      <w:lvlJc w:val="right"/>
      <w:pPr>
        <w:ind w:left="7160" w:hanging="420"/>
      </w:pPr>
    </w:lvl>
    <w:lvl w:ilvl="6" w:tentative="0">
      <w:start w:val="1"/>
      <w:numFmt w:val="decimal"/>
      <w:lvlText w:val="%7."/>
      <w:lvlJc w:val="left"/>
      <w:pPr>
        <w:ind w:left="7580" w:hanging="420"/>
      </w:pPr>
    </w:lvl>
    <w:lvl w:ilvl="7" w:tentative="0">
      <w:start w:val="1"/>
      <w:numFmt w:val="lowerLetter"/>
      <w:lvlText w:val="%8)"/>
      <w:lvlJc w:val="left"/>
      <w:pPr>
        <w:ind w:left="8000" w:hanging="420"/>
      </w:pPr>
    </w:lvl>
    <w:lvl w:ilvl="8" w:tentative="0">
      <w:start w:val="1"/>
      <w:numFmt w:val="lowerRoman"/>
      <w:lvlText w:val="%9."/>
      <w:lvlJc w:val="right"/>
      <w:pPr>
        <w:ind w:left="8420" w:hanging="420"/>
      </w:pPr>
    </w:lvl>
  </w:abstractNum>
  <w:abstractNum w:abstractNumId="3">
    <w:nsid w:val="519E5446"/>
    <w:multiLevelType w:val="multilevel"/>
    <w:tmpl w:val="519E5446"/>
    <w:lvl w:ilvl="0" w:tentative="0">
      <w:start w:val="1"/>
      <w:numFmt w:val="japaneseCounting"/>
      <w:lvlText w:val="（%1）"/>
      <w:lvlJc w:val="left"/>
      <w:pPr>
        <w:ind w:left="2280" w:hanging="720"/>
      </w:pPr>
      <w:rPr>
        <w:rFonts w:hint="default"/>
      </w:r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4">
    <w:nsid w:val="5A7E664E"/>
    <w:multiLevelType w:val="multilevel"/>
    <w:tmpl w:val="5A7E664E"/>
    <w:lvl w:ilvl="0" w:tentative="0">
      <w:start w:val="1"/>
      <w:numFmt w:val="japaneseCounting"/>
      <w:lvlText w:val="（%1）"/>
      <w:lvlJc w:val="left"/>
      <w:pPr>
        <w:ind w:left="1380" w:hanging="855"/>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0723EF8"/>
    <w:multiLevelType w:val="multilevel"/>
    <w:tmpl w:val="60723EF8"/>
    <w:lvl w:ilvl="0" w:tentative="0">
      <w:start w:val="1"/>
      <w:numFmt w:val="japaneseCounting"/>
      <w:lvlText w:val="（%1）"/>
      <w:lvlJc w:val="left"/>
      <w:pPr>
        <w:ind w:left="825" w:hanging="720"/>
      </w:pPr>
      <w:rPr>
        <w:rFonts w:hint="default"/>
      </w:r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6">
    <w:nsid w:val="68B379C3"/>
    <w:multiLevelType w:val="multilevel"/>
    <w:tmpl w:val="68B379C3"/>
    <w:lvl w:ilvl="0" w:tentative="0">
      <w:start w:val="1"/>
      <w:numFmt w:val="japaneseCounting"/>
      <w:lvlText w:val="（%1）"/>
      <w:lvlJc w:val="left"/>
      <w:pPr>
        <w:ind w:left="1647" w:hanging="795"/>
      </w:pPr>
      <w:rPr>
        <w:rFonts w:hint="default"/>
        <w:lang w:val="en-U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2"/>
  </w:num>
  <w:num w:numId="2">
    <w:abstractNumId w:val="0"/>
  </w:num>
  <w:num w:numId="3">
    <w:abstractNumId w:val="3"/>
  </w:num>
  <w:num w:numId="4">
    <w:abstractNumId w:val="5"/>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E8F"/>
    <w:rsid w:val="00000CFB"/>
    <w:rsid w:val="00001C0D"/>
    <w:rsid w:val="00005D31"/>
    <w:rsid w:val="0000628A"/>
    <w:rsid w:val="00006E4E"/>
    <w:rsid w:val="00006E71"/>
    <w:rsid w:val="00010B6B"/>
    <w:rsid w:val="0001227B"/>
    <w:rsid w:val="000132E3"/>
    <w:rsid w:val="00013690"/>
    <w:rsid w:val="0001428B"/>
    <w:rsid w:val="000152AE"/>
    <w:rsid w:val="0001595D"/>
    <w:rsid w:val="000202C5"/>
    <w:rsid w:val="00021C85"/>
    <w:rsid w:val="00023D42"/>
    <w:rsid w:val="00024651"/>
    <w:rsid w:val="000246A8"/>
    <w:rsid w:val="00030079"/>
    <w:rsid w:val="0003059E"/>
    <w:rsid w:val="00030729"/>
    <w:rsid w:val="00031D93"/>
    <w:rsid w:val="000322D9"/>
    <w:rsid w:val="00033149"/>
    <w:rsid w:val="00034C98"/>
    <w:rsid w:val="000370FA"/>
    <w:rsid w:val="0004719F"/>
    <w:rsid w:val="00050334"/>
    <w:rsid w:val="00052E95"/>
    <w:rsid w:val="0005346A"/>
    <w:rsid w:val="00054203"/>
    <w:rsid w:val="00055C6A"/>
    <w:rsid w:val="00061BAB"/>
    <w:rsid w:val="000620C2"/>
    <w:rsid w:val="000653F3"/>
    <w:rsid w:val="000668C5"/>
    <w:rsid w:val="000724F4"/>
    <w:rsid w:val="00083D81"/>
    <w:rsid w:val="0008443C"/>
    <w:rsid w:val="0008754F"/>
    <w:rsid w:val="00091D07"/>
    <w:rsid w:val="00096478"/>
    <w:rsid w:val="00096B94"/>
    <w:rsid w:val="000A049C"/>
    <w:rsid w:val="000A1692"/>
    <w:rsid w:val="000A291C"/>
    <w:rsid w:val="000A4540"/>
    <w:rsid w:val="000A46A6"/>
    <w:rsid w:val="000B2E9A"/>
    <w:rsid w:val="000B3222"/>
    <w:rsid w:val="000B337F"/>
    <w:rsid w:val="000B5287"/>
    <w:rsid w:val="000B66DB"/>
    <w:rsid w:val="000C1113"/>
    <w:rsid w:val="000C1817"/>
    <w:rsid w:val="000C3AF6"/>
    <w:rsid w:val="000C7608"/>
    <w:rsid w:val="000C7DD9"/>
    <w:rsid w:val="000D2B07"/>
    <w:rsid w:val="000D42C8"/>
    <w:rsid w:val="000D4801"/>
    <w:rsid w:val="000D6D78"/>
    <w:rsid w:val="000D6F9E"/>
    <w:rsid w:val="000D759B"/>
    <w:rsid w:val="000E0C4A"/>
    <w:rsid w:val="000E12EA"/>
    <w:rsid w:val="000E1773"/>
    <w:rsid w:val="000E1D59"/>
    <w:rsid w:val="000E4AB2"/>
    <w:rsid w:val="000E5019"/>
    <w:rsid w:val="000F351C"/>
    <w:rsid w:val="000F5A61"/>
    <w:rsid w:val="001044E6"/>
    <w:rsid w:val="00111373"/>
    <w:rsid w:val="00112683"/>
    <w:rsid w:val="001131EB"/>
    <w:rsid w:val="00115DEB"/>
    <w:rsid w:val="00117F43"/>
    <w:rsid w:val="001205A4"/>
    <w:rsid w:val="00123EA0"/>
    <w:rsid w:val="0012444B"/>
    <w:rsid w:val="00126D9B"/>
    <w:rsid w:val="001367E7"/>
    <w:rsid w:val="001406D0"/>
    <w:rsid w:val="0014189F"/>
    <w:rsid w:val="00142FC7"/>
    <w:rsid w:val="00143431"/>
    <w:rsid w:val="0014458F"/>
    <w:rsid w:val="00147ED7"/>
    <w:rsid w:val="0015449C"/>
    <w:rsid w:val="00155E6C"/>
    <w:rsid w:val="00156104"/>
    <w:rsid w:val="001565FC"/>
    <w:rsid w:val="001567D7"/>
    <w:rsid w:val="00163657"/>
    <w:rsid w:val="00164CF4"/>
    <w:rsid w:val="00167A4A"/>
    <w:rsid w:val="00170813"/>
    <w:rsid w:val="00170C4B"/>
    <w:rsid w:val="00173910"/>
    <w:rsid w:val="001768B0"/>
    <w:rsid w:val="001824BF"/>
    <w:rsid w:val="0018272E"/>
    <w:rsid w:val="00187D06"/>
    <w:rsid w:val="00190163"/>
    <w:rsid w:val="00191A83"/>
    <w:rsid w:val="00192034"/>
    <w:rsid w:val="00195178"/>
    <w:rsid w:val="001960AC"/>
    <w:rsid w:val="001A0EC5"/>
    <w:rsid w:val="001A17B7"/>
    <w:rsid w:val="001A5094"/>
    <w:rsid w:val="001A5A71"/>
    <w:rsid w:val="001A6DDC"/>
    <w:rsid w:val="001B0AF3"/>
    <w:rsid w:val="001B1B2D"/>
    <w:rsid w:val="001C54D9"/>
    <w:rsid w:val="001C729D"/>
    <w:rsid w:val="001C75D7"/>
    <w:rsid w:val="001D4C04"/>
    <w:rsid w:val="001D5A9C"/>
    <w:rsid w:val="001E10B4"/>
    <w:rsid w:val="001E1A6F"/>
    <w:rsid w:val="001E41F5"/>
    <w:rsid w:val="001E5FBA"/>
    <w:rsid w:val="001F3D97"/>
    <w:rsid w:val="001F54FC"/>
    <w:rsid w:val="00200A47"/>
    <w:rsid w:val="00201FE3"/>
    <w:rsid w:val="00202069"/>
    <w:rsid w:val="00203467"/>
    <w:rsid w:val="00204528"/>
    <w:rsid w:val="002053E5"/>
    <w:rsid w:val="0021013D"/>
    <w:rsid w:val="00210646"/>
    <w:rsid w:val="00211A71"/>
    <w:rsid w:val="0021312E"/>
    <w:rsid w:val="00220B6A"/>
    <w:rsid w:val="00223A48"/>
    <w:rsid w:val="002248D5"/>
    <w:rsid w:val="00224CCD"/>
    <w:rsid w:val="00226C7E"/>
    <w:rsid w:val="00226E8F"/>
    <w:rsid w:val="00227478"/>
    <w:rsid w:val="0023087A"/>
    <w:rsid w:val="00241512"/>
    <w:rsid w:val="002437CC"/>
    <w:rsid w:val="00244767"/>
    <w:rsid w:val="00244D7E"/>
    <w:rsid w:val="00247D9D"/>
    <w:rsid w:val="00250DCB"/>
    <w:rsid w:val="002569D1"/>
    <w:rsid w:val="00257B6A"/>
    <w:rsid w:val="00264D0F"/>
    <w:rsid w:val="00270416"/>
    <w:rsid w:val="00273D33"/>
    <w:rsid w:val="002841E5"/>
    <w:rsid w:val="00291F65"/>
    <w:rsid w:val="00292BF0"/>
    <w:rsid w:val="00293DF6"/>
    <w:rsid w:val="002A0037"/>
    <w:rsid w:val="002A1AD0"/>
    <w:rsid w:val="002A37A1"/>
    <w:rsid w:val="002A7E93"/>
    <w:rsid w:val="002B1154"/>
    <w:rsid w:val="002B3F64"/>
    <w:rsid w:val="002B4C64"/>
    <w:rsid w:val="002C354B"/>
    <w:rsid w:val="002C3984"/>
    <w:rsid w:val="002D5E61"/>
    <w:rsid w:val="002E0101"/>
    <w:rsid w:val="002E08FF"/>
    <w:rsid w:val="002E49CF"/>
    <w:rsid w:val="002E7452"/>
    <w:rsid w:val="002F199A"/>
    <w:rsid w:val="002F3393"/>
    <w:rsid w:val="002F3932"/>
    <w:rsid w:val="002F5573"/>
    <w:rsid w:val="0030044C"/>
    <w:rsid w:val="00300823"/>
    <w:rsid w:val="00301856"/>
    <w:rsid w:val="003060BC"/>
    <w:rsid w:val="003101D0"/>
    <w:rsid w:val="00311F1E"/>
    <w:rsid w:val="0031248B"/>
    <w:rsid w:val="00315703"/>
    <w:rsid w:val="003174B8"/>
    <w:rsid w:val="0031770F"/>
    <w:rsid w:val="0031787D"/>
    <w:rsid w:val="00317C50"/>
    <w:rsid w:val="003224EC"/>
    <w:rsid w:val="00326AFE"/>
    <w:rsid w:val="00330967"/>
    <w:rsid w:val="00334643"/>
    <w:rsid w:val="003354EC"/>
    <w:rsid w:val="003363F5"/>
    <w:rsid w:val="003408AA"/>
    <w:rsid w:val="0034174E"/>
    <w:rsid w:val="00342CDB"/>
    <w:rsid w:val="0034629B"/>
    <w:rsid w:val="003464E8"/>
    <w:rsid w:val="00351364"/>
    <w:rsid w:val="003563C3"/>
    <w:rsid w:val="00364AAC"/>
    <w:rsid w:val="00364CBD"/>
    <w:rsid w:val="00365B3F"/>
    <w:rsid w:val="0036718B"/>
    <w:rsid w:val="003704AC"/>
    <w:rsid w:val="003707FA"/>
    <w:rsid w:val="00370984"/>
    <w:rsid w:val="00371DC8"/>
    <w:rsid w:val="0037465E"/>
    <w:rsid w:val="00376044"/>
    <w:rsid w:val="00380FD3"/>
    <w:rsid w:val="00386E23"/>
    <w:rsid w:val="003911D4"/>
    <w:rsid w:val="00393192"/>
    <w:rsid w:val="003960C5"/>
    <w:rsid w:val="00396444"/>
    <w:rsid w:val="00396A37"/>
    <w:rsid w:val="003971EC"/>
    <w:rsid w:val="003A0DBA"/>
    <w:rsid w:val="003A2CF9"/>
    <w:rsid w:val="003A5A55"/>
    <w:rsid w:val="003A5EE3"/>
    <w:rsid w:val="003B1139"/>
    <w:rsid w:val="003B1627"/>
    <w:rsid w:val="003B1690"/>
    <w:rsid w:val="003B4066"/>
    <w:rsid w:val="003B4351"/>
    <w:rsid w:val="003B73EA"/>
    <w:rsid w:val="003C4397"/>
    <w:rsid w:val="003C4BD9"/>
    <w:rsid w:val="003D0C0B"/>
    <w:rsid w:val="003D374E"/>
    <w:rsid w:val="003E0568"/>
    <w:rsid w:val="003E0CEB"/>
    <w:rsid w:val="003E10FE"/>
    <w:rsid w:val="003E62D1"/>
    <w:rsid w:val="003E6ECF"/>
    <w:rsid w:val="003E7EC3"/>
    <w:rsid w:val="003F1DF8"/>
    <w:rsid w:val="003F1FBC"/>
    <w:rsid w:val="003F2E83"/>
    <w:rsid w:val="003F56C4"/>
    <w:rsid w:val="00401930"/>
    <w:rsid w:val="0040381E"/>
    <w:rsid w:val="00404EBC"/>
    <w:rsid w:val="00405086"/>
    <w:rsid w:val="00405663"/>
    <w:rsid w:val="004074DF"/>
    <w:rsid w:val="0040759A"/>
    <w:rsid w:val="00407B4D"/>
    <w:rsid w:val="00411006"/>
    <w:rsid w:val="00421687"/>
    <w:rsid w:val="0042231C"/>
    <w:rsid w:val="00424776"/>
    <w:rsid w:val="00426C7D"/>
    <w:rsid w:val="004319E3"/>
    <w:rsid w:val="00432008"/>
    <w:rsid w:val="0043268B"/>
    <w:rsid w:val="00434719"/>
    <w:rsid w:val="004365AE"/>
    <w:rsid w:val="0044124B"/>
    <w:rsid w:val="00443B32"/>
    <w:rsid w:val="0044483A"/>
    <w:rsid w:val="00451F8D"/>
    <w:rsid w:val="00455718"/>
    <w:rsid w:val="00456410"/>
    <w:rsid w:val="00456A63"/>
    <w:rsid w:val="00463F4B"/>
    <w:rsid w:val="00465067"/>
    <w:rsid w:val="00465367"/>
    <w:rsid w:val="00471922"/>
    <w:rsid w:val="00472A06"/>
    <w:rsid w:val="00474A39"/>
    <w:rsid w:val="00475F8A"/>
    <w:rsid w:val="004765E4"/>
    <w:rsid w:val="00476AF2"/>
    <w:rsid w:val="00477004"/>
    <w:rsid w:val="004778D7"/>
    <w:rsid w:val="00477927"/>
    <w:rsid w:val="00481FC6"/>
    <w:rsid w:val="00484125"/>
    <w:rsid w:val="004864CB"/>
    <w:rsid w:val="004870AD"/>
    <w:rsid w:val="004902A0"/>
    <w:rsid w:val="004A46A6"/>
    <w:rsid w:val="004A7E06"/>
    <w:rsid w:val="004B0485"/>
    <w:rsid w:val="004B4DC9"/>
    <w:rsid w:val="004C2C2C"/>
    <w:rsid w:val="004C4E12"/>
    <w:rsid w:val="004C57AB"/>
    <w:rsid w:val="004C6776"/>
    <w:rsid w:val="004D0269"/>
    <w:rsid w:val="004D06F4"/>
    <w:rsid w:val="004D3FE8"/>
    <w:rsid w:val="004D5D52"/>
    <w:rsid w:val="004D766B"/>
    <w:rsid w:val="004E0CDB"/>
    <w:rsid w:val="004E427C"/>
    <w:rsid w:val="004E5C3D"/>
    <w:rsid w:val="004E6406"/>
    <w:rsid w:val="004F3DAB"/>
    <w:rsid w:val="004F4AFF"/>
    <w:rsid w:val="004F6D5F"/>
    <w:rsid w:val="004F7BD3"/>
    <w:rsid w:val="005031D4"/>
    <w:rsid w:val="005104ED"/>
    <w:rsid w:val="0051106F"/>
    <w:rsid w:val="00526E58"/>
    <w:rsid w:val="00532761"/>
    <w:rsid w:val="00534C5E"/>
    <w:rsid w:val="00534C87"/>
    <w:rsid w:val="00536AE7"/>
    <w:rsid w:val="00540673"/>
    <w:rsid w:val="00542E5D"/>
    <w:rsid w:val="00546754"/>
    <w:rsid w:val="00547C8C"/>
    <w:rsid w:val="00547CD0"/>
    <w:rsid w:val="00551A92"/>
    <w:rsid w:val="0055480B"/>
    <w:rsid w:val="00554C98"/>
    <w:rsid w:val="00557D89"/>
    <w:rsid w:val="00563B09"/>
    <w:rsid w:val="00564CC4"/>
    <w:rsid w:val="005678FF"/>
    <w:rsid w:val="00570610"/>
    <w:rsid w:val="00570E9E"/>
    <w:rsid w:val="005713A3"/>
    <w:rsid w:val="005738D3"/>
    <w:rsid w:val="005743F9"/>
    <w:rsid w:val="005744BB"/>
    <w:rsid w:val="00586521"/>
    <w:rsid w:val="0058799D"/>
    <w:rsid w:val="0059035E"/>
    <w:rsid w:val="00592AD4"/>
    <w:rsid w:val="00594188"/>
    <w:rsid w:val="0059501A"/>
    <w:rsid w:val="005A1A84"/>
    <w:rsid w:val="005A25CE"/>
    <w:rsid w:val="005B4304"/>
    <w:rsid w:val="005B7EC7"/>
    <w:rsid w:val="005C09A4"/>
    <w:rsid w:val="005C1EB3"/>
    <w:rsid w:val="005C2C3D"/>
    <w:rsid w:val="005C4C98"/>
    <w:rsid w:val="005C5DD7"/>
    <w:rsid w:val="005C5FEF"/>
    <w:rsid w:val="005D0108"/>
    <w:rsid w:val="005D0E52"/>
    <w:rsid w:val="005D53A0"/>
    <w:rsid w:val="005D573E"/>
    <w:rsid w:val="005E4293"/>
    <w:rsid w:val="005E78BB"/>
    <w:rsid w:val="005F4E31"/>
    <w:rsid w:val="005F6AA1"/>
    <w:rsid w:val="005F7D31"/>
    <w:rsid w:val="00600644"/>
    <w:rsid w:val="006007E1"/>
    <w:rsid w:val="006027DB"/>
    <w:rsid w:val="00606401"/>
    <w:rsid w:val="00606C0B"/>
    <w:rsid w:val="00607999"/>
    <w:rsid w:val="00607B3B"/>
    <w:rsid w:val="00613CEB"/>
    <w:rsid w:val="00614978"/>
    <w:rsid w:val="00621969"/>
    <w:rsid w:val="006239D2"/>
    <w:rsid w:val="0063135C"/>
    <w:rsid w:val="00632EE7"/>
    <w:rsid w:val="006360F1"/>
    <w:rsid w:val="0063692E"/>
    <w:rsid w:val="00643AE9"/>
    <w:rsid w:val="00645C53"/>
    <w:rsid w:val="00646E18"/>
    <w:rsid w:val="00647FCA"/>
    <w:rsid w:val="00651E87"/>
    <w:rsid w:val="00663B23"/>
    <w:rsid w:val="0066482D"/>
    <w:rsid w:val="00665862"/>
    <w:rsid w:val="00666F6F"/>
    <w:rsid w:val="00667074"/>
    <w:rsid w:val="00670062"/>
    <w:rsid w:val="00672288"/>
    <w:rsid w:val="0067648F"/>
    <w:rsid w:val="0067774D"/>
    <w:rsid w:val="00677B13"/>
    <w:rsid w:val="006821C8"/>
    <w:rsid w:val="00682789"/>
    <w:rsid w:val="00682B26"/>
    <w:rsid w:val="006861DD"/>
    <w:rsid w:val="00687EA2"/>
    <w:rsid w:val="00690F46"/>
    <w:rsid w:val="00691C4E"/>
    <w:rsid w:val="00694F8D"/>
    <w:rsid w:val="0069746D"/>
    <w:rsid w:val="00697977"/>
    <w:rsid w:val="006A1626"/>
    <w:rsid w:val="006A1C3E"/>
    <w:rsid w:val="006A2065"/>
    <w:rsid w:val="006A45B4"/>
    <w:rsid w:val="006A50B2"/>
    <w:rsid w:val="006B09FB"/>
    <w:rsid w:val="006B1F97"/>
    <w:rsid w:val="006B61F6"/>
    <w:rsid w:val="006B7055"/>
    <w:rsid w:val="006B73B0"/>
    <w:rsid w:val="006D16E7"/>
    <w:rsid w:val="006D576E"/>
    <w:rsid w:val="006E23CD"/>
    <w:rsid w:val="006E3CCA"/>
    <w:rsid w:val="006E58D4"/>
    <w:rsid w:val="006F15A9"/>
    <w:rsid w:val="006F1E41"/>
    <w:rsid w:val="006F3187"/>
    <w:rsid w:val="006F5C00"/>
    <w:rsid w:val="006F6E57"/>
    <w:rsid w:val="00701154"/>
    <w:rsid w:val="00704E04"/>
    <w:rsid w:val="00705F65"/>
    <w:rsid w:val="00715414"/>
    <w:rsid w:val="007157AA"/>
    <w:rsid w:val="00717E11"/>
    <w:rsid w:val="00721E62"/>
    <w:rsid w:val="00723D03"/>
    <w:rsid w:val="0072503E"/>
    <w:rsid w:val="00730973"/>
    <w:rsid w:val="00730F02"/>
    <w:rsid w:val="0073205D"/>
    <w:rsid w:val="007321FB"/>
    <w:rsid w:val="00740436"/>
    <w:rsid w:val="007412AB"/>
    <w:rsid w:val="00743399"/>
    <w:rsid w:val="00744E00"/>
    <w:rsid w:val="00746991"/>
    <w:rsid w:val="00746FCF"/>
    <w:rsid w:val="00751BCE"/>
    <w:rsid w:val="007525F6"/>
    <w:rsid w:val="00752BAB"/>
    <w:rsid w:val="00755F74"/>
    <w:rsid w:val="007637B4"/>
    <w:rsid w:val="0076531E"/>
    <w:rsid w:val="00770BA2"/>
    <w:rsid w:val="00770E15"/>
    <w:rsid w:val="00771E6D"/>
    <w:rsid w:val="00774A32"/>
    <w:rsid w:val="0077692A"/>
    <w:rsid w:val="00783263"/>
    <w:rsid w:val="00792B52"/>
    <w:rsid w:val="007946F1"/>
    <w:rsid w:val="00795299"/>
    <w:rsid w:val="00795D16"/>
    <w:rsid w:val="007A025B"/>
    <w:rsid w:val="007A1D7D"/>
    <w:rsid w:val="007A4B03"/>
    <w:rsid w:val="007B1061"/>
    <w:rsid w:val="007B45A0"/>
    <w:rsid w:val="007C4295"/>
    <w:rsid w:val="007C467C"/>
    <w:rsid w:val="007C5238"/>
    <w:rsid w:val="007D04A9"/>
    <w:rsid w:val="007D04DE"/>
    <w:rsid w:val="007D18CC"/>
    <w:rsid w:val="007D6F89"/>
    <w:rsid w:val="007E0FB7"/>
    <w:rsid w:val="007F1E15"/>
    <w:rsid w:val="007F45A1"/>
    <w:rsid w:val="007F61E9"/>
    <w:rsid w:val="007F62A9"/>
    <w:rsid w:val="007F6D36"/>
    <w:rsid w:val="008020EA"/>
    <w:rsid w:val="00802AA8"/>
    <w:rsid w:val="00803DD1"/>
    <w:rsid w:val="00806079"/>
    <w:rsid w:val="00810BC8"/>
    <w:rsid w:val="0081167B"/>
    <w:rsid w:val="00812F18"/>
    <w:rsid w:val="00814547"/>
    <w:rsid w:val="0081753B"/>
    <w:rsid w:val="008227E4"/>
    <w:rsid w:val="00823C39"/>
    <w:rsid w:val="00823D57"/>
    <w:rsid w:val="008241DB"/>
    <w:rsid w:val="0082429D"/>
    <w:rsid w:val="00824F60"/>
    <w:rsid w:val="00826426"/>
    <w:rsid w:val="008266DD"/>
    <w:rsid w:val="008279FA"/>
    <w:rsid w:val="0083390A"/>
    <w:rsid w:val="008402F8"/>
    <w:rsid w:val="00840DE7"/>
    <w:rsid w:val="00840EAD"/>
    <w:rsid w:val="00841A26"/>
    <w:rsid w:val="00844B94"/>
    <w:rsid w:val="00854216"/>
    <w:rsid w:val="00854A68"/>
    <w:rsid w:val="0085578D"/>
    <w:rsid w:val="008574F1"/>
    <w:rsid w:val="00860C0A"/>
    <w:rsid w:val="008624B8"/>
    <w:rsid w:val="00864CEB"/>
    <w:rsid w:val="00867ABD"/>
    <w:rsid w:val="00867F86"/>
    <w:rsid w:val="00871816"/>
    <w:rsid w:val="00873813"/>
    <w:rsid w:val="00873F96"/>
    <w:rsid w:val="00883CE1"/>
    <w:rsid w:val="00885943"/>
    <w:rsid w:val="00885A1D"/>
    <w:rsid w:val="00887767"/>
    <w:rsid w:val="00887E39"/>
    <w:rsid w:val="0089059D"/>
    <w:rsid w:val="00892578"/>
    <w:rsid w:val="00894999"/>
    <w:rsid w:val="00896AD2"/>
    <w:rsid w:val="008A2660"/>
    <w:rsid w:val="008A44EA"/>
    <w:rsid w:val="008A5CE8"/>
    <w:rsid w:val="008B2EE9"/>
    <w:rsid w:val="008B3DDB"/>
    <w:rsid w:val="008B3F5E"/>
    <w:rsid w:val="008C6216"/>
    <w:rsid w:val="008C7022"/>
    <w:rsid w:val="008D3075"/>
    <w:rsid w:val="008D3463"/>
    <w:rsid w:val="008D439C"/>
    <w:rsid w:val="008D5E36"/>
    <w:rsid w:val="008D6666"/>
    <w:rsid w:val="008E2F67"/>
    <w:rsid w:val="008F0F56"/>
    <w:rsid w:val="008F1A2D"/>
    <w:rsid w:val="008F23DA"/>
    <w:rsid w:val="008F266F"/>
    <w:rsid w:val="008F4F2B"/>
    <w:rsid w:val="008F60F7"/>
    <w:rsid w:val="008F6721"/>
    <w:rsid w:val="008F79D7"/>
    <w:rsid w:val="00901D07"/>
    <w:rsid w:val="009020AE"/>
    <w:rsid w:val="00903E2C"/>
    <w:rsid w:val="00904DAA"/>
    <w:rsid w:val="0090522F"/>
    <w:rsid w:val="009120FD"/>
    <w:rsid w:val="00913136"/>
    <w:rsid w:val="00920528"/>
    <w:rsid w:val="00921A0F"/>
    <w:rsid w:val="009232AC"/>
    <w:rsid w:val="00923AF1"/>
    <w:rsid w:val="00923C48"/>
    <w:rsid w:val="00924BEC"/>
    <w:rsid w:val="0092777E"/>
    <w:rsid w:val="009304F9"/>
    <w:rsid w:val="00930EBB"/>
    <w:rsid w:val="0093230F"/>
    <w:rsid w:val="0093292C"/>
    <w:rsid w:val="00933E76"/>
    <w:rsid w:val="009373C5"/>
    <w:rsid w:val="00937D73"/>
    <w:rsid w:val="00937EE0"/>
    <w:rsid w:val="009405A9"/>
    <w:rsid w:val="00944882"/>
    <w:rsid w:val="00947640"/>
    <w:rsid w:val="009506EA"/>
    <w:rsid w:val="00955BD9"/>
    <w:rsid w:val="00956FF8"/>
    <w:rsid w:val="00962A6B"/>
    <w:rsid w:val="0096768A"/>
    <w:rsid w:val="009717ED"/>
    <w:rsid w:val="00974FCC"/>
    <w:rsid w:val="00981FBC"/>
    <w:rsid w:val="009840A9"/>
    <w:rsid w:val="009859E7"/>
    <w:rsid w:val="009879FB"/>
    <w:rsid w:val="009913BB"/>
    <w:rsid w:val="00992B50"/>
    <w:rsid w:val="0099409F"/>
    <w:rsid w:val="009944EB"/>
    <w:rsid w:val="00995EDD"/>
    <w:rsid w:val="00997960"/>
    <w:rsid w:val="009A0D70"/>
    <w:rsid w:val="009A3CAA"/>
    <w:rsid w:val="009B01DC"/>
    <w:rsid w:val="009B063E"/>
    <w:rsid w:val="009B1EAE"/>
    <w:rsid w:val="009B456A"/>
    <w:rsid w:val="009B46BD"/>
    <w:rsid w:val="009B5F07"/>
    <w:rsid w:val="009C39DD"/>
    <w:rsid w:val="009C48E0"/>
    <w:rsid w:val="009D1865"/>
    <w:rsid w:val="009D3F4C"/>
    <w:rsid w:val="009D466E"/>
    <w:rsid w:val="009D5A37"/>
    <w:rsid w:val="009E269A"/>
    <w:rsid w:val="009E3A20"/>
    <w:rsid w:val="009E6897"/>
    <w:rsid w:val="009F7329"/>
    <w:rsid w:val="009F7362"/>
    <w:rsid w:val="009F7D6B"/>
    <w:rsid w:val="00A00E57"/>
    <w:rsid w:val="00A058E2"/>
    <w:rsid w:val="00A070E1"/>
    <w:rsid w:val="00A10238"/>
    <w:rsid w:val="00A12593"/>
    <w:rsid w:val="00A128D8"/>
    <w:rsid w:val="00A13795"/>
    <w:rsid w:val="00A13E53"/>
    <w:rsid w:val="00A147BD"/>
    <w:rsid w:val="00A15522"/>
    <w:rsid w:val="00A15704"/>
    <w:rsid w:val="00A15BFB"/>
    <w:rsid w:val="00A17439"/>
    <w:rsid w:val="00A212A4"/>
    <w:rsid w:val="00A22963"/>
    <w:rsid w:val="00A30705"/>
    <w:rsid w:val="00A31DE2"/>
    <w:rsid w:val="00A32D57"/>
    <w:rsid w:val="00A35802"/>
    <w:rsid w:val="00A364AE"/>
    <w:rsid w:val="00A36B95"/>
    <w:rsid w:val="00A379A8"/>
    <w:rsid w:val="00A4067A"/>
    <w:rsid w:val="00A4211D"/>
    <w:rsid w:val="00A433A4"/>
    <w:rsid w:val="00A4602A"/>
    <w:rsid w:val="00A50506"/>
    <w:rsid w:val="00A50C7B"/>
    <w:rsid w:val="00A52E63"/>
    <w:rsid w:val="00A53816"/>
    <w:rsid w:val="00A63044"/>
    <w:rsid w:val="00A63C5D"/>
    <w:rsid w:val="00A64626"/>
    <w:rsid w:val="00A64952"/>
    <w:rsid w:val="00A73652"/>
    <w:rsid w:val="00A75415"/>
    <w:rsid w:val="00A762D0"/>
    <w:rsid w:val="00A77C51"/>
    <w:rsid w:val="00A91FDD"/>
    <w:rsid w:val="00A93E68"/>
    <w:rsid w:val="00A954F9"/>
    <w:rsid w:val="00AA28EA"/>
    <w:rsid w:val="00AA4AC7"/>
    <w:rsid w:val="00AA4CEB"/>
    <w:rsid w:val="00AA552E"/>
    <w:rsid w:val="00AA754F"/>
    <w:rsid w:val="00AB162E"/>
    <w:rsid w:val="00AB1AAD"/>
    <w:rsid w:val="00AB5F7C"/>
    <w:rsid w:val="00AB6788"/>
    <w:rsid w:val="00AB67A5"/>
    <w:rsid w:val="00AB6E39"/>
    <w:rsid w:val="00AB74F6"/>
    <w:rsid w:val="00AC0F81"/>
    <w:rsid w:val="00AC7A64"/>
    <w:rsid w:val="00AD007A"/>
    <w:rsid w:val="00AD0FF5"/>
    <w:rsid w:val="00AD17A4"/>
    <w:rsid w:val="00AD1A7E"/>
    <w:rsid w:val="00AD20B2"/>
    <w:rsid w:val="00AD552D"/>
    <w:rsid w:val="00AD637B"/>
    <w:rsid w:val="00AD7EE0"/>
    <w:rsid w:val="00AE0B15"/>
    <w:rsid w:val="00AE2E7C"/>
    <w:rsid w:val="00AE33C8"/>
    <w:rsid w:val="00AE3E00"/>
    <w:rsid w:val="00AE49DA"/>
    <w:rsid w:val="00AF1A21"/>
    <w:rsid w:val="00AF2176"/>
    <w:rsid w:val="00AF2A96"/>
    <w:rsid w:val="00AF6496"/>
    <w:rsid w:val="00AF771F"/>
    <w:rsid w:val="00AF77F4"/>
    <w:rsid w:val="00B02530"/>
    <w:rsid w:val="00B06B7E"/>
    <w:rsid w:val="00B07EDA"/>
    <w:rsid w:val="00B10659"/>
    <w:rsid w:val="00B1371B"/>
    <w:rsid w:val="00B14E7E"/>
    <w:rsid w:val="00B22029"/>
    <w:rsid w:val="00B2302A"/>
    <w:rsid w:val="00B23515"/>
    <w:rsid w:val="00B248A2"/>
    <w:rsid w:val="00B2513F"/>
    <w:rsid w:val="00B33D2C"/>
    <w:rsid w:val="00B3477B"/>
    <w:rsid w:val="00B37A60"/>
    <w:rsid w:val="00B37D11"/>
    <w:rsid w:val="00B44D7C"/>
    <w:rsid w:val="00B521B5"/>
    <w:rsid w:val="00B522AA"/>
    <w:rsid w:val="00B53182"/>
    <w:rsid w:val="00B53336"/>
    <w:rsid w:val="00B53AE5"/>
    <w:rsid w:val="00B55431"/>
    <w:rsid w:val="00B55BB2"/>
    <w:rsid w:val="00B57063"/>
    <w:rsid w:val="00B60680"/>
    <w:rsid w:val="00B62648"/>
    <w:rsid w:val="00B657B1"/>
    <w:rsid w:val="00B71507"/>
    <w:rsid w:val="00B735BC"/>
    <w:rsid w:val="00B76285"/>
    <w:rsid w:val="00B8313E"/>
    <w:rsid w:val="00B84F82"/>
    <w:rsid w:val="00B854F4"/>
    <w:rsid w:val="00B87552"/>
    <w:rsid w:val="00B91C5C"/>
    <w:rsid w:val="00B9355E"/>
    <w:rsid w:val="00B97020"/>
    <w:rsid w:val="00BA489A"/>
    <w:rsid w:val="00BA48FA"/>
    <w:rsid w:val="00BA5523"/>
    <w:rsid w:val="00BB0F71"/>
    <w:rsid w:val="00BB2C46"/>
    <w:rsid w:val="00BB6C3A"/>
    <w:rsid w:val="00BC0B2E"/>
    <w:rsid w:val="00BC3E8C"/>
    <w:rsid w:val="00BC4DB9"/>
    <w:rsid w:val="00BD5F9B"/>
    <w:rsid w:val="00BE1FC7"/>
    <w:rsid w:val="00BE3E65"/>
    <w:rsid w:val="00BE401B"/>
    <w:rsid w:val="00BE44CD"/>
    <w:rsid w:val="00BE5D5E"/>
    <w:rsid w:val="00BF34DF"/>
    <w:rsid w:val="00BF4C84"/>
    <w:rsid w:val="00BF57DB"/>
    <w:rsid w:val="00BF688E"/>
    <w:rsid w:val="00C01ED5"/>
    <w:rsid w:val="00C02DD1"/>
    <w:rsid w:val="00C03BFA"/>
    <w:rsid w:val="00C067B7"/>
    <w:rsid w:val="00C073D9"/>
    <w:rsid w:val="00C07786"/>
    <w:rsid w:val="00C11A76"/>
    <w:rsid w:val="00C120C1"/>
    <w:rsid w:val="00C12B52"/>
    <w:rsid w:val="00C15885"/>
    <w:rsid w:val="00C16D38"/>
    <w:rsid w:val="00C173C5"/>
    <w:rsid w:val="00C22C6D"/>
    <w:rsid w:val="00C2456F"/>
    <w:rsid w:val="00C25EA1"/>
    <w:rsid w:val="00C30D29"/>
    <w:rsid w:val="00C348C3"/>
    <w:rsid w:val="00C404C2"/>
    <w:rsid w:val="00C44319"/>
    <w:rsid w:val="00C47B62"/>
    <w:rsid w:val="00C5754B"/>
    <w:rsid w:val="00C60422"/>
    <w:rsid w:val="00C60693"/>
    <w:rsid w:val="00C700FA"/>
    <w:rsid w:val="00C75399"/>
    <w:rsid w:val="00C76B90"/>
    <w:rsid w:val="00C8022C"/>
    <w:rsid w:val="00C85D0E"/>
    <w:rsid w:val="00C86A6E"/>
    <w:rsid w:val="00C87BBE"/>
    <w:rsid w:val="00C90724"/>
    <w:rsid w:val="00C9533C"/>
    <w:rsid w:val="00CA6A82"/>
    <w:rsid w:val="00CA7D36"/>
    <w:rsid w:val="00CB232C"/>
    <w:rsid w:val="00CB39F6"/>
    <w:rsid w:val="00CB3E52"/>
    <w:rsid w:val="00CB419D"/>
    <w:rsid w:val="00CB74D8"/>
    <w:rsid w:val="00CC1DDA"/>
    <w:rsid w:val="00CC61F0"/>
    <w:rsid w:val="00CD0F02"/>
    <w:rsid w:val="00CD2108"/>
    <w:rsid w:val="00CD2B4B"/>
    <w:rsid w:val="00CD4E0B"/>
    <w:rsid w:val="00CD71F5"/>
    <w:rsid w:val="00CD763E"/>
    <w:rsid w:val="00CE0C63"/>
    <w:rsid w:val="00CE2FB7"/>
    <w:rsid w:val="00CE4761"/>
    <w:rsid w:val="00CE5D72"/>
    <w:rsid w:val="00CE77E0"/>
    <w:rsid w:val="00CF0D5C"/>
    <w:rsid w:val="00CF406C"/>
    <w:rsid w:val="00CF5903"/>
    <w:rsid w:val="00CF7416"/>
    <w:rsid w:val="00D02C14"/>
    <w:rsid w:val="00D04FC6"/>
    <w:rsid w:val="00D07F78"/>
    <w:rsid w:val="00D1131A"/>
    <w:rsid w:val="00D1575A"/>
    <w:rsid w:val="00D23139"/>
    <w:rsid w:val="00D258F7"/>
    <w:rsid w:val="00D2776E"/>
    <w:rsid w:val="00D31F9C"/>
    <w:rsid w:val="00D34BE6"/>
    <w:rsid w:val="00D34C31"/>
    <w:rsid w:val="00D34CD4"/>
    <w:rsid w:val="00D365D0"/>
    <w:rsid w:val="00D3690E"/>
    <w:rsid w:val="00D40620"/>
    <w:rsid w:val="00D45450"/>
    <w:rsid w:val="00D46C39"/>
    <w:rsid w:val="00D47D4E"/>
    <w:rsid w:val="00D47F83"/>
    <w:rsid w:val="00D50288"/>
    <w:rsid w:val="00D51146"/>
    <w:rsid w:val="00D52C2A"/>
    <w:rsid w:val="00D52C4A"/>
    <w:rsid w:val="00D55460"/>
    <w:rsid w:val="00D57CCE"/>
    <w:rsid w:val="00D6061C"/>
    <w:rsid w:val="00D6153C"/>
    <w:rsid w:val="00D61CDB"/>
    <w:rsid w:val="00D63C66"/>
    <w:rsid w:val="00D63E85"/>
    <w:rsid w:val="00D65B7A"/>
    <w:rsid w:val="00D66E30"/>
    <w:rsid w:val="00D676E0"/>
    <w:rsid w:val="00D81443"/>
    <w:rsid w:val="00D81485"/>
    <w:rsid w:val="00D8251B"/>
    <w:rsid w:val="00D91C6A"/>
    <w:rsid w:val="00D95691"/>
    <w:rsid w:val="00DA0737"/>
    <w:rsid w:val="00DA0CA0"/>
    <w:rsid w:val="00DA2324"/>
    <w:rsid w:val="00DA27C7"/>
    <w:rsid w:val="00DA4416"/>
    <w:rsid w:val="00DA4CA4"/>
    <w:rsid w:val="00DA5A69"/>
    <w:rsid w:val="00DA5F5D"/>
    <w:rsid w:val="00DB1B1A"/>
    <w:rsid w:val="00DB28CB"/>
    <w:rsid w:val="00DB63EC"/>
    <w:rsid w:val="00DB7CA6"/>
    <w:rsid w:val="00DC674F"/>
    <w:rsid w:val="00DD0186"/>
    <w:rsid w:val="00DD0AAE"/>
    <w:rsid w:val="00DD1148"/>
    <w:rsid w:val="00DD6AD6"/>
    <w:rsid w:val="00DE13F3"/>
    <w:rsid w:val="00DE1950"/>
    <w:rsid w:val="00DE36B8"/>
    <w:rsid w:val="00DE45CF"/>
    <w:rsid w:val="00DE74C2"/>
    <w:rsid w:val="00DE7C03"/>
    <w:rsid w:val="00DF068B"/>
    <w:rsid w:val="00DF23BC"/>
    <w:rsid w:val="00DF3AD3"/>
    <w:rsid w:val="00DF6A1B"/>
    <w:rsid w:val="00E0062C"/>
    <w:rsid w:val="00E01832"/>
    <w:rsid w:val="00E01F75"/>
    <w:rsid w:val="00E043AD"/>
    <w:rsid w:val="00E06CE1"/>
    <w:rsid w:val="00E1220D"/>
    <w:rsid w:val="00E123B8"/>
    <w:rsid w:val="00E16861"/>
    <w:rsid w:val="00E2029F"/>
    <w:rsid w:val="00E2087B"/>
    <w:rsid w:val="00E26AEE"/>
    <w:rsid w:val="00E27AF7"/>
    <w:rsid w:val="00E3262B"/>
    <w:rsid w:val="00E341A5"/>
    <w:rsid w:val="00E34429"/>
    <w:rsid w:val="00E356F8"/>
    <w:rsid w:val="00E45443"/>
    <w:rsid w:val="00E50FA9"/>
    <w:rsid w:val="00E54C44"/>
    <w:rsid w:val="00E56B0A"/>
    <w:rsid w:val="00E5799B"/>
    <w:rsid w:val="00E623F5"/>
    <w:rsid w:val="00E62753"/>
    <w:rsid w:val="00E6339E"/>
    <w:rsid w:val="00E664D5"/>
    <w:rsid w:val="00E66F90"/>
    <w:rsid w:val="00E671F2"/>
    <w:rsid w:val="00E7075F"/>
    <w:rsid w:val="00E70966"/>
    <w:rsid w:val="00E70D31"/>
    <w:rsid w:val="00E759B6"/>
    <w:rsid w:val="00E75B74"/>
    <w:rsid w:val="00E8011D"/>
    <w:rsid w:val="00E802FE"/>
    <w:rsid w:val="00E808F0"/>
    <w:rsid w:val="00E815C7"/>
    <w:rsid w:val="00E8598F"/>
    <w:rsid w:val="00E865CC"/>
    <w:rsid w:val="00E91761"/>
    <w:rsid w:val="00E93041"/>
    <w:rsid w:val="00E9599D"/>
    <w:rsid w:val="00EA0C31"/>
    <w:rsid w:val="00EA4757"/>
    <w:rsid w:val="00EB1ED9"/>
    <w:rsid w:val="00EB3669"/>
    <w:rsid w:val="00EB44E4"/>
    <w:rsid w:val="00EB4E26"/>
    <w:rsid w:val="00EB5FD5"/>
    <w:rsid w:val="00EB69BD"/>
    <w:rsid w:val="00EC599B"/>
    <w:rsid w:val="00EC7423"/>
    <w:rsid w:val="00ED46B7"/>
    <w:rsid w:val="00ED4A6E"/>
    <w:rsid w:val="00ED548D"/>
    <w:rsid w:val="00ED57EA"/>
    <w:rsid w:val="00ED6D9F"/>
    <w:rsid w:val="00EE04F8"/>
    <w:rsid w:val="00EE0934"/>
    <w:rsid w:val="00EE182E"/>
    <w:rsid w:val="00EE3A20"/>
    <w:rsid w:val="00EE6406"/>
    <w:rsid w:val="00EE6F1F"/>
    <w:rsid w:val="00EF6DF8"/>
    <w:rsid w:val="00F0003A"/>
    <w:rsid w:val="00F0087E"/>
    <w:rsid w:val="00F01F93"/>
    <w:rsid w:val="00F058F6"/>
    <w:rsid w:val="00F06D2D"/>
    <w:rsid w:val="00F077E7"/>
    <w:rsid w:val="00F10958"/>
    <w:rsid w:val="00F130F0"/>
    <w:rsid w:val="00F1358C"/>
    <w:rsid w:val="00F136C4"/>
    <w:rsid w:val="00F147A9"/>
    <w:rsid w:val="00F15EBA"/>
    <w:rsid w:val="00F17760"/>
    <w:rsid w:val="00F17E38"/>
    <w:rsid w:val="00F2070A"/>
    <w:rsid w:val="00F2169D"/>
    <w:rsid w:val="00F2241C"/>
    <w:rsid w:val="00F22F3A"/>
    <w:rsid w:val="00F237D6"/>
    <w:rsid w:val="00F2426F"/>
    <w:rsid w:val="00F30E34"/>
    <w:rsid w:val="00F35F53"/>
    <w:rsid w:val="00F375CE"/>
    <w:rsid w:val="00F37844"/>
    <w:rsid w:val="00F44842"/>
    <w:rsid w:val="00F44F76"/>
    <w:rsid w:val="00F45B67"/>
    <w:rsid w:val="00F4735F"/>
    <w:rsid w:val="00F5026A"/>
    <w:rsid w:val="00F517EE"/>
    <w:rsid w:val="00F54AA2"/>
    <w:rsid w:val="00F5533C"/>
    <w:rsid w:val="00F5625F"/>
    <w:rsid w:val="00F67543"/>
    <w:rsid w:val="00F67C9E"/>
    <w:rsid w:val="00F70B73"/>
    <w:rsid w:val="00F71F0E"/>
    <w:rsid w:val="00F7651F"/>
    <w:rsid w:val="00F77C90"/>
    <w:rsid w:val="00F804C5"/>
    <w:rsid w:val="00F80BD7"/>
    <w:rsid w:val="00F810F4"/>
    <w:rsid w:val="00F8269E"/>
    <w:rsid w:val="00F845D6"/>
    <w:rsid w:val="00F924B5"/>
    <w:rsid w:val="00F942D3"/>
    <w:rsid w:val="00F94F84"/>
    <w:rsid w:val="00F96584"/>
    <w:rsid w:val="00FA04FA"/>
    <w:rsid w:val="00FA2946"/>
    <w:rsid w:val="00FA7660"/>
    <w:rsid w:val="00FA7DF7"/>
    <w:rsid w:val="00FB1FFE"/>
    <w:rsid w:val="00FB5EEA"/>
    <w:rsid w:val="00FC15CC"/>
    <w:rsid w:val="00FC298D"/>
    <w:rsid w:val="00FC2AF0"/>
    <w:rsid w:val="00FC4B46"/>
    <w:rsid w:val="00FC7694"/>
    <w:rsid w:val="00FD52A1"/>
    <w:rsid w:val="00FE152A"/>
    <w:rsid w:val="00FE16AD"/>
    <w:rsid w:val="00FF2DCE"/>
    <w:rsid w:val="00FF2F7E"/>
    <w:rsid w:val="2E77EF60"/>
    <w:rsid w:val="6FF69A39"/>
    <w:rsid w:val="7EF5D6CD"/>
    <w:rsid w:val="7F757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semiHidden/>
    <w:unhideWhenUsed/>
    <w:qFormat/>
    <w:uiPriority w:val="99"/>
    <w:pPr>
      <w:jc w:val="left"/>
    </w:pPr>
  </w:style>
  <w:style w:type="paragraph" w:styleId="3">
    <w:name w:val="Balloon Text"/>
    <w:basedOn w:val="1"/>
    <w:link w:val="12"/>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paragraph" w:styleId="10">
    <w:name w:val="List Paragraph"/>
    <w:basedOn w:val="1"/>
    <w:qFormat/>
    <w:uiPriority w:val="34"/>
    <w:pPr>
      <w:ind w:firstLine="420" w:firstLineChars="200"/>
    </w:pPr>
  </w:style>
  <w:style w:type="character" w:customStyle="1" w:styleId="11">
    <w:name w:val="批注文字 字符"/>
    <w:basedOn w:val="8"/>
    <w:link w:val="2"/>
    <w:semiHidden/>
    <w:qFormat/>
    <w:uiPriority w:val="99"/>
  </w:style>
  <w:style w:type="character" w:customStyle="1" w:styleId="12">
    <w:name w:val="批注框文本 字符"/>
    <w:basedOn w:val="8"/>
    <w:link w:val="3"/>
    <w:semiHidden/>
    <w:qFormat/>
    <w:uiPriority w:val="99"/>
    <w:rPr>
      <w:sz w:val="18"/>
      <w:szCs w:val="18"/>
    </w:rPr>
  </w:style>
  <w:style w:type="character" w:customStyle="1" w:styleId="13">
    <w:name w:val="页眉 字符"/>
    <w:basedOn w:val="8"/>
    <w:link w:val="5"/>
    <w:qFormat/>
    <w:uiPriority w:val="99"/>
    <w:rPr>
      <w:sz w:val="18"/>
      <w:szCs w:val="18"/>
    </w:rPr>
  </w:style>
  <w:style w:type="character" w:customStyle="1" w:styleId="14">
    <w:name w:val="页脚 字符"/>
    <w:basedOn w:val="8"/>
    <w:link w:val="4"/>
    <w:qFormat/>
    <w:uiPriority w:val="99"/>
    <w:rPr>
      <w:sz w:val="18"/>
      <w:szCs w:val="18"/>
    </w:rPr>
  </w:style>
  <w:style w:type="character" w:customStyle="1" w:styleId="15">
    <w:name w:val="批注主题 字符"/>
    <w:basedOn w:val="11"/>
    <w:link w:val="6"/>
    <w:semiHidden/>
    <w:qFormat/>
    <w:uiPriority w:val="99"/>
    <w:rPr>
      <w:b/>
      <w:bCs/>
    </w:rPr>
  </w:style>
  <w:style w:type="paragraph" w:customStyle="1" w:styleId="16">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3455</Words>
  <Characters>3460</Characters>
  <Lines>25</Lines>
  <Paragraphs>7</Paragraphs>
  <TotalTime>1</TotalTime>
  <ScaleCrop>false</ScaleCrop>
  <LinksUpToDate>false</LinksUpToDate>
  <CharactersWithSpaces>3462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2020-08-03T22:19:00Z</dcterms:created>
  <dc:creator>neeq</dc:creator>
  <cp:lastModifiedBy>shejx</cp:lastModifiedBy>
  <cp:lastPrinted>2016-08-30T00:53:00Z</cp:lastPrinted>
  <dcterms:modified xsi:type="dcterms:W3CDTF">2025-07-03T11:44:02Z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