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pPr>
        <w:spacing w:line="640" w:lineRule="exact"/>
        <w:rPr>
          <w:rFonts w:ascii="黑体" w:hAnsi="黑体" w:eastAsia="黑体"/>
          <w:sz w:val="36"/>
          <w:szCs w:val="32"/>
        </w:rPr>
      </w:pPr>
      <w:bookmarkStart w:id="0" w:name="_GoBack"/>
      <w:bookmarkEnd w:id="0"/>
    </w:p>
    <w:p>
      <w:pPr>
        <w:widowControl/>
        <w:spacing w:line="640" w:lineRule="exact"/>
        <w:jc w:val="center"/>
        <w:rPr>
          <w:rFonts w:eastAsia="方正大标宋简体"/>
          <w:kern w:val="0"/>
          <w:sz w:val="44"/>
          <w:szCs w:val="44"/>
        </w:rPr>
      </w:pPr>
      <w:r>
        <w:rPr>
          <w:rFonts w:hint="eastAsia" w:eastAsia="方正大标宋简体"/>
          <w:kern w:val="0"/>
          <w:sz w:val="44"/>
          <w:szCs w:val="44"/>
        </w:rPr>
        <w:t>全国中小企业</w:t>
      </w:r>
      <w:r>
        <w:rPr>
          <w:rFonts w:eastAsia="方正大标宋简体"/>
          <w:kern w:val="0"/>
          <w:sz w:val="44"/>
          <w:szCs w:val="44"/>
        </w:rPr>
        <w:t>股份转让系统</w:t>
      </w:r>
      <w:r>
        <w:rPr>
          <w:rFonts w:hint="eastAsia" w:eastAsia="方正大标宋简体"/>
          <w:kern w:val="0"/>
          <w:sz w:val="44"/>
          <w:szCs w:val="44"/>
        </w:rPr>
        <w:t>挂牌公司</w:t>
      </w:r>
    </w:p>
    <w:p>
      <w:pPr>
        <w:widowControl/>
        <w:spacing w:line="640" w:lineRule="exact"/>
        <w:jc w:val="center"/>
        <w:rPr>
          <w:rFonts w:eastAsia="方正大标宋简体"/>
          <w:kern w:val="0"/>
          <w:sz w:val="44"/>
          <w:szCs w:val="44"/>
        </w:rPr>
      </w:pPr>
      <w:r>
        <w:rPr>
          <w:rFonts w:hint="eastAsia" w:eastAsia="方正大标宋简体"/>
          <w:kern w:val="0"/>
          <w:sz w:val="44"/>
          <w:szCs w:val="44"/>
        </w:rPr>
        <w:t>信息披露指引——计算机、通信</w:t>
      </w:r>
    </w:p>
    <w:p>
      <w:pPr>
        <w:widowControl/>
        <w:spacing w:line="640" w:lineRule="exact"/>
        <w:jc w:val="center"/>
        <w:rPr>
          <w:rFonts w:eastAsia="方正大标宋简体"/>
          <w:kern w:val="0"/>
          <w:sz w:val="44"/>
          <w:szCs w:val="44"/>
        </w:rPr>
      </w:pPr>
      <w:r>
        <w:rPr>
          <w:rFonts w:hint="eastAsia" w:eastAsia="方正大标宋简体"/>
          <w:kern w:val="0"/>
          <w:sz w:val="44"/>
          <w:szCs w:val="44"/>
        </w:rPr>
        <w:t>和其他电子设备制造公司</w:t>
      </w:r>
    </w:p>
    <w:p>
      <w:pPr>
        <w:spacing w:line="600" w:lineRule="exact"/>
        <w:rPr>
          <w:rFonts w:ascii="黑体" w:hAnsi="微软雅黑" w:eastAsia="黑体"/>
          <w:b/>
          <w:color w:val="000000"/>
          <w:sz w:val="36"/>
          <w:szCs w:val="36"/>
        </w:rPr>
      </w:pPr>
    </w:p>
    <w:p>
      <w:pPr>
        <w:widowControl/>
        <w:snapToGrid w:val="0"/>
        <w:spacing w:line="600" w:lineRule="exact"/>
        <w:jc w:val="center"/>
        <w:outlineLvl w:val="1"/>
        <w:rPr>
          <w:rFonts w:ascii="黑体" w:eastAsia="黑体" w:hAnsiTheme="minorHAnsi" w:cstheme="minorBidi"/>
          <w:color w:val="000000"/>
          <w:kern w:val="0"/>
          <w:sz w:val="32"/>
          <w:szCs w:val="32"/>
        </w:rPr>
      </w:pPr>
      <w:r>
        <w:rPr>
          <w:rFonts w:hint="eastAsia" w:ascii="黑体" w:eastAsia="黑体" w:hAnsiTheme="minorHAnsi" w:cstheme="minorBidi"/>
          <w:color w:val="000000"/>
          <w:kern w:val="0"/>
          <w:sz w:val="32"/>
          <w:szCs w:val="32"/>
        </w:rPr>
        <w:t>第一章  总 则</w:t>
      </w:r>
    </w:p>
    <w:p>
      <w:pPr>
        <w:widowControl/>
        <w:snapToGrid w:val="0"/>
        <w:spacing w:line="600" w:lineRule="exact"/>
        <w:rPr>
          <w:rFonts w:eastAsia="仿宋"/>
          <w:sz w:val="32"/>
          <w:szCs w:val="32"/>
        </w:rPr>
      </w:pPr>
      <w:r>
        <w:rPr>
          <w:rFonts w:hint="eastAsia" w:eastAsia="仿宋"/>
          <w:sz w:val="32"/>
          <w:szCs w:val="32"/>
        </w:rPr>
        <w:t xml:space="preserve">    </w:t>
      </w:r>
    </w:p>
    <w:p>
      <w:pPr>
        <w:widowControl/>
        <w:snapToGrid w:val="0"/>
        <w:spacing w:line="600" w:lineRule="exact"/>
        <w:ind w:firstLine="642" w:firstLineChars="200"/>
        <w:outlineLvl w:val="2"/>
        <w:rPr>
          <w:rFonts w:eastAsia="仿宋"/>
          <w:sz w:val="32"/>
          <w:szCs w:val="32"/>
        </w:rPr>
      </w:pPr>
      <w:r>
        <w:rPr>
          <w:rFonts w:hint="eastAsia" w:eastAsia="仿宋"/>
          <w:b/>
          <w:sz w:val="32"/>
          <w:szCs w:val="32"/>
        </w:rPr>
        <w:t>第一条</w:t>
      </w:r>
      <w:r>
        <w:rPr>
          <w:rFonts w:hint="eastAsia" w:eastAsia="仿宋"/>
          <w:sz w:val="32"/>
          <w:szCs w:val="32"/>
        </w:rPr>
        <w:t xml:space="preserve"> 为满足差异化信息披露要求，规范计算机、通信和其他电子设备制造业挂牌公司的持续信息披露行为，提高信息披露针对性和有效性，保障投资者的合法权益，根据《全国中小企业股份转让系统业务规则（试行）》、《全国中小企业股份转让系统信息披露规则》等业务规则，制定本指引。</w:t>
      </w:r>
    </w:p>
    <w:p>
      <w:pPr>
        <w:widowControl/>
        <w:snapToGrid w:val="0"/>
        <w:spacing w:line="600" w:lineRule="exact"/>
        <w:ind w:firstLine="642" w:firstLineChars="200"/>
        <w:outlineLvl w:val="2"/>
        <w:rPr>
          <w:rFonts w:eastAsia="仿宋"/>
          <w:sz w:val="32"/>
          <w:szCs w:val="32"/>
        </w:rPr>
      </w:pPr>
      <w:r>
        <w:rPr>
          <w:rFonts w:hint="eastAsia" w:eastAsia="仿宋"/>
          <w:b/>
          <w:sz w:val="32"/>
          <w:szCs w:val="32"/>
        </w:rPr>
        <w:t xml:space="preserve">第二条 </w:t>
      </w:r>
      <w:r>
        <w:rPr>
          <w:rFonts w:hint="eastAsia" w:eastAsia="仿宋"/>
          <w:sz w:val="32"/>
          <w:szCs w:val="32"/>
        </w:rPr>
        <w:t>计算机、通信和其他电子设备制造业挂牌公司（以下简称“公司”）在年度报告和临时报告中披露行业经营性信息，适用本指引的规定。</w:t>
      </w:r>
    </w:p>
    <w:p>
      <w:pPr>
        <w:widowControl/>
        <w:snapToGrid w:val="0"/>
        <w:spacing w:line="600" w:lineRule="exact"/>
        <w:ind w:firstLine="640" w:firstLineChars="200"/>
        <w:rPr>
          <w:rFonts w:eastAsia="仿宋"/>
          <w:sz w:val="32"/>
          <w:szCs w:val="32"/>
        </w:rPr>
      </w:pPr>
      <w:r>
        <w:rPr>
          <w:rFonts w:hint="eastAsia" w:eastAsia="仿宋"/>
          <w:sz w:val="32"/>
          <w:szCs w:val="32"/>
        </w:rPr>
        <w:t>本指引所称计算机、通信和其他电子设备制造业</w:t>
      </w:r>
      <w:r>
        <w:rPr>
          <w:rFonts w:eastAsia="仿宋"/>
          <w:sz w:val="32"/>
          <w:szCs w:val="32"/>
        </w:rPr>
        <w:t>挂牌</w:t>
      </w:r>
      <w:r>
        <w:rPr>
          <w:rFonts w:hint="eastAsia" w:eastAsia="仿宋"/>
          <w:sz w:val="32"/>
          <w:szCs w:val="32"/>
        </w:rPr>
        <w:t>公司是指根据全国中小企业股份转让系统有限责任公司（以下简称</w:t>
      </w:r>
      <w:r>
        <w:rPr>
          <w:rFonts w:ascii="仿宋" w:hAnsi="仿宋" w:eastAsia="仿宋"/>
          <w:sz w:val="32"/>
          <w:szCs w:val="32"/>
        </w:rPr>
        <w:t>“</w:t>
      </w:r>
      <w:r>
        <w:rPr>
          <w:rFonts w:hint="eastAsia" w:ascii="仿宋" w:hAnsi="仿宋" w:eastAsia="仿宋"/>
          <w:sz w:val="32"/>
          <w:szCs w:val="32"/>
        </w:rPr>
        <w:t>全国股转公司</w:t>
      </w:r>
      <w:r>
        <w:rPr>
          <w:rFonts w:ascii="仿宋" w:hAnsi="仿宋" w:eastAsia="仿宋"/>
          <w:sz w:val="32"/>
          <w:szCs w:val="32"/>
        </w:rPr>
        <w:t>”</w:t>
      </w:r>
      <w:r>
        <w:rPr>
          <w:rFonts w:hint="eastAsia" w:eastAsia="仿宋"/>
          <w:sz w:val="32"/>
          <w:szCs w:val="32"/>
        </w:rPr>
        <w:t>）制定并发布的《挂牌公司管理型行业分类指引》中属于计算机、通信和其他电子设备制造业的公司。</w:t>
      </w:r>
    </w:p>
    <w:p>
      <w:pPr>
        <w:widowControl/>
        <w:snapToGrid w:val="0"/>
        <w:spacing w:line="600" w:lineRule="exact"/>
        <w:ind w:firstLine="642" w:firstLineChars="200"/>
        <w:outlineLvl w:val="2"/>
        <w:rPr>
          <w:rFonts w:eastAsia="仿宋"/>
          <w:sz w:val="32"/>
          <w:szCs w:val="32"/>
        </w:rPr>
      </w:pPr>
      <w:r>
        <w:rPr>
          <w:rFonts w:hint="eastAsia" w:eastAsia="仿宋"/>
          <w:b/>
          <w:sz w:val="32"/>
          <w:szCs w:val="32"/>
        </w:rPr>
        <w:t xml:space="preserve">第三条 </w:t>
      </w:r>
      <w:r>
        <w:rPr>
          <w:rFonts w:hint="eastAsia" w:eastAsia="仿宋"/>
          <w:sz w:val="32"/>
          <w:szCs w:val="32"/>
        </w:rPr>
        <w:t>公司在适用本指引时，还应当同时遵循法律法规、中国证券监督管理委员会关于信息披露的相关规定、《全国中小企业股份转让系统业务规则（试行）》、《全国中小企业股份转让系统挂牌公司信息披露规则》及全国股转公司关于信息披露的其他规定。</w:t>
      </w:r>
    </w:p>
    <w:p>
      <w:pPr>
        <w:widowControl/>
        <w:snapToGrid w:val="0"/>
        <w:spacing w:line="600" w:lineRule="exact"/>
        <w:ind w:firstLine="640" w:firstLineChars="200"/>
        <w:rPr>
          <w:rFonts w:eastAsia="仿宋"/>
          <w:sz w:val="32"/>
          <w:szCs w:val="32"/>
        </w:rPr>
      </w:pPr>
      <w:r>
        <w:rPr>
          <w:rFonts w:hint="eastAsia" w:eastAsia="仿宋"/>
          <w:sz w:val="32"/>
          <w:szCs w:val="32"/>
        </w:rPr>
        <w:t>公司确属客观原因难以按照本指引要求披露相关信息的，可以不予披露，但应当在年度报告或临时报告中解释未按要求进行披露的原因，并予以特别提示。</w:t>
      </w:r>
    </w:p>
    <w:p>
      <w:pPr>
        <w:widowControl/>
        <w:snapToGrid w:val="0"/>
        <w:spacing w:line="600" w:lineRule="exact"/>
        <w:ind w:firstLine="642" w:firstLineChars="200"/>
        <w:outlineLvl w:val="2"/>
        <w:rPr>
          <w:rFonts w:eastAsia="仿宋"/>
          <w:sz w:val="32"/>
          <w:szCs w:val="32"/>
        </w:rPr>
      </w:pPr>
      <w:r>
        <w:rPr>
          <w:rFonts w:hint="eastAsia" w:eastAsia="仿宋"/>
          <w:b/>
          <w:sz w:val="32"/>
          <w:szCs w:val="32"/>
        </w:rPr>
        <w:t>第四条</w:t>
      </w:r>
      <w:r>
        <w:rPr>
          <w:rFonts w:hint="eastAsia" w:eastAsia="仿宋"/>
          <w:sz w:val="32"/>
          <w:szCs w:val="32"/>
        </w:rPr>
        <w:t xml:space="preserve"> 公司披露行业经营性信息时，应对行业专业术语、专业背景、行业知识等进行必要的介绍和解释说明，便于投资者理解公司实际经营状况和风险信息。</w:t>
      </w:r>
    </w:p>
    <w:p>
      <w:pPr>
        <w:widowControl/>
        <w:snapToGrid w:val="0"/>
        <w:spacing w:line="600" w:lineRule="exact"/>
        <w:ind w:firstLine="640" w:firstLineChars="200"/>
        <w:rPr>
          <w:rFonts w:eastAsia="仿宋"/>
          <w:sz w:val="32"/>
          <w:szCs w:val="32"/>
        </w:rPr>
      </w:pPr>
      <w:r>
        <w:rPr>
          <w:rFonts w:hint="eastAsia" w:eastAsia="仿宋"/>
          <w:sz w:val="32"/>
          <w:szCs w:val="32"/>
        </w:rPr>
        <w:t>公司在披露行业经营性信息时引用相关数据、资料的，应保证引用内容充分可靠、客观权威，并注明其来源。</w:t>
      </w:r>
    </w:p>
    <w:p>
      <w:pPr>
        <w:widowControl/>
        <w:snapToGrid w:val="0"/>
        <w:spacing w:line="600" w:lineRule="exact"/>
        <w:ind w:firstLine="640" w:firstLineChars="200"/>
        <w:rPr>
          <w:rFonts w:eastAsia="仿宋"/>
          <w:sz w:val="32"/>
          <w:szCs w:val="32"/>
        </w:rPr>
      </w:pPr>
    </w:p>
    <w:p>
      <w:pPr>
        <w:widowControl/>
        <w:snapToGrid w:val="0"/>
        <w:spacing w:line="600" w:lineRule="exact"/>
        <w:jc w:val="center"/>
        <w:outlineLvl w:val="1"/>
        <w:rPr>
          <w:rFonts w:ascii="黑体" w:eastAsia="黑体" w:hAnsiTheme="minorHAnsi" w:cstheme="minorBidi"/>
          <w:color w:val="000000"/>
          <w:kern w:val="0"/>
          <w:sz w:val="32"/>
          <w:szCs w:val="32"/>
        </w:rPr>
      </w:pPr>
      <w:r>
        <w:rPr>
          <w:rFonts w:hint="eastAsia" w:ascii="黑体" w:eastAsia="黑体" w:hAnsiTheme="minorHAnsi" w:cstheme="minorBidi"/>
          <w:color w:val="000000"/>
          <w:kern w:val="0"/>
          <w:sz w:val="32"/>
          <w:szCs w:val="32"/>
        </w:rPr>
        <w:t>第二章  年度报告</w:t>
      </w:r>
    </w:p>
    <w:p>
      <w:pPr>
        <w:widowControl/>
        <w:snapToGrid w:val="0"/>
        <w:spacing w:line="600" w:lineRule="exact"/>
        <w:jc w:val="center"/>
        <w:rPr>
          <w:rFonts w:ascii="黑体" w:eastAsia="黑体" w:hAnsiTheme="minorHAnsi" w:cstheme="minorBidi"/>
          <w:b/>
          <w:color w:val="000000"/>
          <w:kern w:val="0"/>
          <w:sz w:val="32"/>
          <w:szCs w:val="32"/>
        </w:rPr>
      </w:pPr>
    </w:p>
    <w:p>
      <w:pPr>
        <w:widowControl/>
        <w:snapToGrid w:val="0"/>
        <w:spacing w:line="600" w:lineRule="exact"/>
        <w:ind w:firstLine="642" w:firstLineChars="200"/>
        <w:outlineLvl w:val="2"/>
        <w:rPr>
          <w:rFonts w:eastAsia="仿宋"/>
          <w:sz w:val="32"/>
          <w:szCs w:val="32"/>
        </w:rPr>
      </w:pPr>
      <w:r>
        <w:rPr>
          <w:rFonts w:hint="eastAsia" w:eastAsia="仿宋"/>
          <w:b/>
          <w:sz w:val="32"/>
          <w:szCs w:val="32"/>
        </w:rPr>
        <w:t>第五条</w:t>
      </w:r>
      <w:r>
        <w:rPr>
          <w:rFonts w:hint="eastAsia" w:eastAsia="仿宋"/>
          <w:sz w:val="32"/>
          <w:szCs w:val="32"/>
        </w:rPr>
        <w:t xml:space="preserve"> 公司根据全国股转公司年度报告内容与格式指引要求披露年度报告时，应当同时按照本章要求履行信息披露义务。</w:t>
      </w:r>
    </w:p>
    <w:p>
      <w:pPr>
        <w:widowControl/>
        <w:snapToGrid w:val="0"/>
        <w:spacing w:line="600" w:lineRule="exact"/>
        <w:ind w:firstLine="642" w:firstLineChars="200"/>
        <w:outlineLvl w:val="2"/>
        <w:rPr>
          <w:rFonts w:eastAsia="仿宋"/>
          <w:sz w:val="32"/>
          <w:szCs w:val="32"/>
        </w:rPr>
      </w:pPr>
      <w:r>
        <w:rPr>
          <w:rFonts w:hint="eastAsia" w:eastAsia="仿宋"/>
          <w:b/>
          <w:sz w:val="32"/>
          <w:szCs w:val="32"/>
        </w:rPr>
        <w:t>第六条</w:t>
      </w:r>
      <w:r>
        <w:rPr>
          <w:rFonts w:hint="eastAsia" w:eastAsia="仿宋"/>
          <w:sz w:val="32"/>
          <w:szCs w:val="32"/>
        </w:rPr>
        <w:t xml:space="preserve"> 公司按照本指引披露年度报告时，应遵循相关性和重要性原则，充分揭示并披露报告期内影响或可能影响其经营活动的重大风险因素及其变化情况，包括但不限于行业政策风险、产品或技术研发风险、原材料价格波动风险、关键原材料和零部件进口依赖风险、核心资产大额减值风险、人才流失风险、高新技术企业资格丧失风险、重大知识产权争议风险、技术泄密风险等。</w:t>
      </w:r>
    </w:p>
    <w:p>
      <w:pPr>
        <w:widowControl/>
        <w:snapToGrid w:val="0"/>
        <w:spacing w:line="600" w:lineRule="exact"/>
        <w:ind w:firstLine="642" w:firstLineChars="200"/>
        <w:outlineLvl w:val="2"/>
        <w:rPr>
          <w:rFonts w:eastAsia="仿宋"/>
          <w:sz w:val="32"/>
          <w:szCs w:val="32"/>
        </w:rPr>
      </w:pPr>
      <w:r>
        <w:rPr>
          <w:rFonts w:hint="eastAsia" w:eastAsia="仿宋"/>
          <w:b/>
          <w:sz w:val="32"/>
          <w:szCs w:val="32"/>
        </w:rPr>
        <w:t>第七条</w:t>
      </w:r>
      <w:r>
        <w:rPr>
          <w:rFonts w:hint="eastAsia" w:eastAsia="仿宋"/>
          <w:sz w:val="32"/>
          <w:szCs w:val="32"/>
        </w:rPr>
        <w:t xml:space="preserve"> 公司应当披露报告期内对公司生产经营可能产生重大影响的国内外产业发展政策、财政税收政策、贸易政策等变化情况，并说明对公司当期和未来发展的具体影响，以及公司已经或计划采取的应对措施。</w:t>
      </w:r>
    </w:p>
    <w:p>
      <w:pPr>
        <w:widowControl/>
        <w:snapToGrid w:val="0"/>
        <w:spacing w:line="600" w:lineRule="exact"/>
        <w:ind w:firstLine="642" w:firstLineChars="200"/>
        <w:outlineLvl w:val="2"/>
        <w:rPr>
          <w:rFonts w:eastAsia="仿宋"/>
          <w:sz w:val="32"/>
          <w:szCs w:val="32"/>
        </w:rPr>
      </w:pPr>
      <w:r>
        <w:rPr>
          <w:rFonts w:hint="eastAsia" w:eastAsia="仿宋"/>
          <w:b/>
          <w:sz w:val="32"/>
          <w:szCs w:val="32"/>
        </w:rPr>
        <w:t xml:space="preserve">第八条 </w:t>
      </w:r>
      <w:r>
        <w:rPr>
          <w:rFonts w:hint="eastAsia" w:eastAsia="仿宋"/>
          <w:sz w:val="32"/>
          <w:szCs w:val="32"/>
        </w:rPr>
        <w:t>公司应当披露报告期内所处细分行业的发展情况，市场竞争格局、技术水平或特点的变化情况。</w:t>
      </w:r>
    </w:p>
    <w:p>
      <w:pPr>
        <w:widowControl/>
        <w:snapToGrid w:val="0"/>
        <w:spacing w:line="600" w:lineRule="exact"/>
        <w:ind w:firstLine="640" w:firstLineChars="200"/>
        <w:rPr>
          <w:rFonts w:eastAsia="仿宋"/>
          <w:sz w:val="32"/>
          <w:szCs w:val="32"/>
        </w:rPr>
      </w:pPr>
      <w:r>
        <w:rPr>
          <w:rFonts w:hint="eastAsia" w:eastAsia="仿宋"/>
          <w:sz w:val="32"/>
          <w:szCs w:val="32"/>
        </w:rPr>
        <w:t>公司应当结合报告期内产业链上下游市场的发展状况，披露报告期内上下游市场的价格波动情况，并说明对当期生产经营的影响。</w:t>
      </w:r>
    </w:p>
    <w:p>
      <w:pPr>
        <w:widowControl/>
        <w:snapToGrid w:val="0"/>
        <w:spacing w:line="600" w:lineRule="exact"/>
        <w:ind w:firstLine="642" w:firstLineChars="200"/>
        <w:outlineLvl w:val="2"/>
        <w:rPr>
          <w:rFonts w:eastAsia="仿宋"/>
          <w:sz w:val="32"/>
          <w:szCs w:val="32"/>
        </w:rPr>
      </w:pPr>
      <w:r>
        <w:rPr>
          <w:rFonts w:hint="eastAsia" w:eastAsia="仿宋"/>
          <w:b/>
          <w:sz w:val="32"/>
          <w:szCs w:val="32"/>
        </w:rPr>
        <w:t xml:space="preserve">第九条 </w:t>
      </w:r>
      <w:r>
        <w:rPr>
          <w:rFonts w:hint="eastAsia" w:eastAsia="仿宋"/>
          <w:sz w:val="32"/>
          <w:szCs w:val="32"/>
        </w:rPr>
        <w:t>公司应当结合所处细分行业的特点，披露主要产品的核心竞争力，主要产品迭代的，还应当披露迭代情况并分析对当期经营的影响。</w:t>
      </w:r>
    </w:p>
    <w:p>
      <w:pPr>
        <w:widowControl/>
        <w:snapToGrid w:val="0"/>
        <w:spacing w:line="600" w:lineRule="exact"/>
        <w:ind w:firstLine="642" w:firstLineChars="200"/>
        <w:outlineLvl w:val="2"/>
        <w:rPr>
          <w:rFonts w:eastAsia="仿宋"/>
          <w:sz w:val="32"/>
          <w:szCs w:val="32"/>
        </w:rPr>
      </w:pPr>
      <w:r>
        <w:rPr>
          <w:rFonts w:hint="eastAsia" w:eastAsia="仿宋"/>
          <w:b/>
          <w:sz w:val="32"/>
          <w:szCs w:val="32"/>
        </w:rPr>
        <w:t>第十条</w:t>
      </w:r>
      <w:r>
        <w:rPr>
          <w:rFonts w:hint="eastAsia" w:eastAsia="仿宋"/>
          <w:sz w:val="32"/>
          <w:szCs w:val="32"/>
        </w:rPr>
        <w:t xml:space="preserve"> 公司应当披露报告期内主要产品的产能情况，包括：</w:t>
      </w:r>
    </w:p>
    <w:p>
      <w:pPr>
        <w:widowControl/>
        <w:snapToGrid w:val="0"/>
        <w:spacing w:line="600" w:lineRule="exact"/>
        <w:ind w:firstLine="640" w:firstLineChars="200"/>
        <w:rPr>
          <w:rFonts w:eastAsia="仿宋"/>
          <w:sz w:val="32"/>
          <w:szCs w:val="32"/>
        </w:rPr>
      </w:pPr>
      <w:r>
        <w:rPr>
          <w:rFonts w:hint="eastAsia" w:eastAsia="仿宋"/>
          <w:sz w:val="32"/>
          <w:szCs w:val="32"/>
        </w:rPr>
        <w:t>（一）主要产品的产量和产能利用率，若利用率较低，应当说明不能充分利用产能的原因；</w:t>
      </w:r>
    </w:p>
    <w:p>
      <w:pPr>
        <w:widowControl/>
        <w:snapToGrid w:val="0"/>
        <w:spacing w:line="600" w:lineRule="exact"/>
        <w:ind w:firstLine="640" w:firstLineChars="200"/>
        <w:rPr>
          <w:rFonts w:eastAsia="仿宋"/>
          <w:sz w:val="32"/>
          <w:szCs w:val="32"/>
        </w:rPr>
      </w:pPr>
      <w:r>
        <w:rPr>
          <w:rFonts w:hint="eastAsia" w:eastAsia="仿宋"/>
          <w:sz w:val="32"/>
          <w:szCs w:val="32"/>
        </w:rPr>
        <w:t>（二）在建产能的总投资额、设计产能、预计投产时间、工艺路线及环保投入等。</w:t>
      </w:r>
    </w:p>
    <w:p>
      <w:pPr>
        <w:widowControl/>
        <w:snapToGrid w:val="0"/>
        <w:spacing w:line="600" w:lineRule="exact"/>
        <w:ind w:firstLine="640" w:firstLineChars="200"/>
        <w:rPr>
          <w:rFonts w:eastAsia="仿宋"/>
          <w:sz w:val="32"/>
          <w:szCs w:val="32"/>
        </w:rPr>
      </w:pPr>
      <w:r>
        <w:rPr>
          <w:rFonts w:hint="eastAsia" w:eastAsia="仿宋"/>
          <w:sz w:val="32"/>
          <w:szCs w:val="32"/>
        </w:rPr>
        <w:t>公司的主要产品在报告期</w:t>
      </w:r>
      <w:r>
        <w:rPr>
          <w:rFonts w:eastAsia="仿宋"/>
          <w:sz w:val="32"/>
          <w:szCs w:val="32"/>
        </w:rPr>
        <w:t>内</w:t>
      </w:r>
      <w:r>
        <w:rPr>
          <w:rFonts w:hint="eastAsia" w:eastAsia="仿宋"/>
          <w:sz w:val="32"/>
          <w:szCs w:val="32"/>
        </w:rPr>
        <w:t>存在委托生产的，应当披露委托生产产品的种类及占同类产品的比例，受托方基本情况，公司与受托厂商之间的排他性协议签订情况。</w:t>
      </w:r>
    </w:p>
    <w:p>
      <w:pPr>
        <w:widowControl/>
        <w:snapToGrid w:val="0"/>
        <w:spacing w:line="600" w:lineRule="exact"/>
        <w:ind w:firstLine="642" w:firstLineChars="200"/>
        <w:outlineLvl w:val="2"/>
        <w:rPr>
          <w:rFonts w:eastAsia="仿宋"/>
          <w:sz w:val="32"/>
          <w:szCs w:val="32"/>
        </w:rPr>
      </w:pPr>
      <w:r>
        <w:rPr>
          <w:rFonts w:hint="eastAsia" w:eastAsia="仿宋"/>
          <w:b/>
          <w:sz w:val="32"/>
          <w:szCs w:val="32"/>
        </w:rPr>
        <w:t>第十一条</w:t>
      </w:r>
      <w:r>
        <w:rPr>
          <w:rFonts w:hint="eastAsia" w:eastAsia="仿宋"/>
          <w:sz w:val="32"/>
          <w:szCs w:val="32"/>
        </w:rPr>
        <w:t xml:space="preserve"> 公司通过招投标获得生产订单的，应当披露报告期内通过招投标获得的主要订单数量、金额及占当期销售收入比重。</w:t>
      </w:r>
    </w:p>
    <w:p>
      <w:pPr>
        <w:widowControl/>
        <w:snapToGrid w:val="0"/>
        <w:spacing w:line="600" w:lineRule="exact"/>
        <w:ind w:firstLine="640" w:firstLineChars="200"/>
        <w:rPr>
          <w:rFonts w:eastAsia="仿宋"/>
          <w:sz w:val="32"/>
          <w:szCs w:val="32"/>
        </w:rPr>
      </w:pPr>
      <w:r>
        <w:rPr>
          <w:rFonts w:hint="eastAsia" w:eastAsia="仿宋"/>
          <w:sz w:val="32"/>
          <w:szCs w:val="32"/>
        </w:rPr>
        <w:t>公司在报告期内存在未按规定实施招投标的，还应当披露相关风险及已采取或拟采取的整改措施。</w:t>
      </w:r>
    </w:p>
    <w:p>
      <w:pPr>
        <w:widowControl/>
        <w:snapToGrid w:val="0"/>
        <w:spacing w:line="600" w:lineRule="exact"/>
        <w:ind w:firstLine="642" w:firstLineChars="200"/>
        <w:outlineLvl w:val="2"/>
        <w:rPr>
          <w:rFonts w:eastAsia="仿宋"/>
          <w:sz w:val="32"/>
          <w:szCs w:val="32"/>
        </w:rPr>
      </w:pPr>
      <w:r>
        <w:rPr>
          <w:rFonts w:hint="eastAsia" w:eastAsia="仿宋"/>
          <w:b/>
          <w:sz w:val="32"/>
          <w:szCs w:val="32"/>
        </w:rPr>
        <w:t>第十二条</w:t>
      </w:r>
      <w:r>
        <w:rPr>
          <w:rFonts w:hint="eastAsia" w:eastAsia="仿宋"/>
          <w:sz w:val="32"/>
          <w:szCs w:val="32"/>
        </w:rPr>
        <w:t xml:space="preserve"> 公司应当披露报告期内的研发模式，包括研发方式（自主研发、合作研发、外包研发等）、研发机构设置、研发人员构成，</w:t>
      </w:r>
      <w:r>
        <w:rPr>
          <w:rFonts w:hint="eastAsia" w:ascii="仿宋" w:hAnsi="仿宋" w:eastAsia="仿宋"/>
          <w:sz w:val="32"/>
          <w:szCs w:val="32"/>
        </w:rPr>
        <w:t>在研项目、已取得研发成果及权属</w:t>
      </w:r>
      <w:r>
        <w:rPr>
          <w:rFonts w:hint="eastAsia" w:eastAsia="仿宋"/>
          <w:sz w:val="32"/>
          <w:szCs w:val="32"/>
        </w:rPr>
        <w:t>等方面。</w:t>
      </w:r>
    </w:p>
    <w:p>
      <w:pPr>
        <w:widowControl/>
        <w:snapToGrid w:val="0"/>
        <w:spacing w:line="600" w:lineRule="exact"/>
        <w:ind w:firstLine="640" w:firstLineChars="200"/>
        <w:rPr>
          <w:rFonts w:eastAsia="仿宋"/>
          <w:sz w:val="32"/>
          <w:szCs w:val="32"/>
        </w:rPr>
      </w:pPr>
      <w:r>
        <w:rPr>
          <w:rFonts w:hint="eastAsia" w:eastAsia="仿宋"/>
          <w:sz w:val="32"/>
          <w:szCs w:val="32"/>
        </w:rPr>
        <w:t>公司报告期内存在合作或外包研发的，应当披露合作或外包研发对公司核心技术的贡献情况，</w:t>
      </w:r>
      <w:r>
        <w:rPr>
          <w:rFonts w:eastAsia="仿宋"/>
          <w:sz w:val="32"/>
          <w:szCs w:val="32"/>
        </w:rPr>
        <w:t>并说明</w:t>
      </w:r>
      <w:r>
        <w:rPr>
          <w:rFonts w:hint="eastAsia" w:eastAsia="仿宋"/>
          <w:sz w:val="32"/>
          <w:szCs w:val="32"/>
        </w:rPr>
        <w:t>对合作方或外包方是否存在技术依赖。</w:t>
      </w:r>
    </w:p>
    <w:p>
      <w:pPr>
        <w:widowControl/>
        <w:snapToGrid w:val="0"/>
        <w:spacing w:line="600" w:lineRule="exact"/>
        <w:ind w:firstLine="642" w:firstLineChars="200"/>
        <w:outlineLvl w:val="2"/>
        <w:rPr>
          <w:rFonts w:eastAsia="仿宋"/>
          <w:sz w:val="32"/>
          <w:szCs w:val="32"/>
        </w:rPr>
      </w:pPr>
      <w:r>
        <w:rPr>
          <w:rFonts w:hint="eastAsia" w:eastAsia="仿宋"/>
          <w:b/>
          <w:sz w:val="32"/>
          <w:szCs w:val="32"/>
        </w:rPr>
        <w:t xml:space="preserve">第十三条 </w:t>
      </w:r>
      <w:r>
        <w:rPr>
          <w:rFonts w:hint="eastAsia" w:eastAsia="仿宋"/>
          <w:sz w:val="32"/>
          <w:szCs w:val="32"/>
        </w:rPr>
        <w:t>公司应当披露报告期内的研发支出情况，包括研发支出前五名的研发项目名称、研发费用明细及其占营业收入的比重，如存在研发支出资本化，应当披露研发支出资本化对公司损益的影响。</w:t>
      </w:r>
    </w:p>
    <w:p>
      <w:pPr>
        <w:widowControl/>
        <w:snapToGrid w:val="0"/>
        <w:spacing w:line="600" w:lineRule="exact"/>
        <w:ind w:firstLine="642" w:firstLineChars="200"/>
        <w:outlineLvl w:val="2"/>
        <w:rPr>
          <w:rFonts w:eastAsia="仿宋"/>
          <w:sz w:val="32"/>
          <w:szCs w:val="32"/>
        </w:rPr>
      </w:pPr>
      <w:r>
        <w:rPr>
          <w:rFonts w:hint="eastAsia" w:eastAsia="仿宋"/>
          <w:b/>
          <w:sz w:val="32"/>
          <w:szCs w:val="32"/>
        </w:rPr>
        <w:t>第十四条</w:t>
      </w:r>
      <w:r>
        <w:rPr>
          <w:rFonts w:hint="eastAsia" w:eastAsia="仿宋"/>
          <w:sz w:val="32"/>
          <w:szCs w:val="32"/>
        </w:rPr>
        <w:t xml:space="preserve"> 报告期内对公司主要产品有重要影响的专利发生变动的，应当披露相关专利的基本信息、对应的产品及其实际应用，并按下列要求披露相关信息：</w:t>
      </w:r>
    </w:p>
    <w:p>
      <w:pPr>
        <w:widowControl/>
        <w:snapToGrid w:val="0"/>
        <w:spacing w:line="600" w:lineRule="exact"/>
        <w:ind w:firstLine="640" w:firstLineChars="200"/>
        <w:rPr>
          <w:rFonts w:eastAsia="仿宋"/>
          <w:sz w:val="32"/>
          <w:szCs w:val="32"/>
        </w:rPr>
      </w:pPr>
      <w:r>
        <w:rPr>
          <w:rFonts w:hint="eastAsia" w:eastAsia="仿宋"/>
          <w:sz w:val="32"/>
          <w:szCs w:val="32"/>
        </w:rPr>
        <w:t>（一）专利新增的，若涉及受让方式取得，披露合同签署、登记备案等情况；若涉及与他方共享权利，披露该</w:t>
      </w:r>
      <w:r>
        <w:rPr>
          <w:rFonts w:hint="eastAsia" w:ascii="仿宋" w:hAnsi="仿宋" w:eastAsia="仿宋"/>
          <w:sz w:val="32"/>
          <w:szCs w:val="32"/>
        </w:rPr>
        <w:t>专利使用、收益及</w:t>
      </w:r>
      <w:r>
        <w:rPr>
          <w:rFonts w:ascii="仿宋" w:hAnsi="仿宋" w:eastAsia="仿宋"/>
          <w:sz w:val="32"/>
          <w:szCs w:val="32"/>
        </w:rPr>
        <w:t>其</w:t>
      </w:r>
      <w:r>
        <w:rPr>
          <w:rFonts w:hint="eastAsia" w:ascii="仿宋" w:hAnsi="仿宋" w:eastAsia="仿宋"/>
          <w:sz w:val="32"/>
          <w:szCs w:val="32"/>
        </w:rPr>
        <w:t>争议解决的主要约定</w:t>
      </w:r>
      <w:r>
        <w:rPr>
          <w:rFonts w:hint="eastAsia" w:eastAsia="仿宋"/>
          <w:sz w:val="32"/>
          <w:szCs w:val="32"/>
        </w:rPr>
        <w:t>；若涉及许可使用，披露许可协议的主要条款，公司对该专利的依赖情况等；</w:t>
      </w:r>
    </w:p>
    <w:p>
      <w:pPr>
        <w:widowControl/>
        <w:snapToGrid w:val="0"/>
        <w:spacing w:line="600" w:lineRule="exact"/>
        <w:ind w:firstLine="640" w:firstLineChars="200"/>
        <w:rPr>
          <w:rFonts w:eastAsia="仿宋"/>
          <w:sz w:val="32"/>
          <w:szCs w:val="32"/>
        </w:rPr>
      </w:pPr>
      <w:r>
        <w:rPr>
          <w:rFonts w:hint="eastAsia" w:eastAsia="仿宋"/>
          <w:sz w:val="32"/>
          <w:szCs w:val="32"/>
        </w:rPr>
        <w:t>（二）专利减少或发生其他变动的，应当披露该专利减少或变动的原因及对公司经营的影响。</w:t>
      </w:r>
    </w:p>
    <w:p>
      <w:pPr>
        <w:widowControl/>
        <w:snapToGrid w:val="0"/>
        <w:spacing w:line="600" w:lineRule="exact"/>
        <w:ind w:firstLine="642" w:firstLineChars="200"/>
        <w:outlineLvl w:val="2"/>
        <w:rPr>
          <w:rFonts w:eastAsia="仿宋"/>
          <w:sz w:val="32"/>
          <w:szCs w:val="32"/>
        </w:rPr>
      </w:pPr>
      <w:r>
        <w:rPr>
          <w:rFonts w:hint="eastAsia" w:eastAsia="仿宋"/>
          <w:b/>
          <w:sz w:val="32"/>
          <w:szCs w:val="32"/>
        </w:rPr>
        <w:t>第十五条</w:t>
      </w:r>
      <w:r>
        <w:rPr>
          <w:rFonts w:hint="eastAsia" w:eastAsia="仿宋"/>
          <w:sz w:val="32"/>
          <w:szCs w:val="32"/>
        </w:rPr>
        <w:t xml:space="preserve"> 公司应当披露报告期内对专利或非专利技术所采取的保护措施。</w:t>
      </w:r>
    </w:p>
    <w:p>
      <w:pPr>
        <w:widowControl/>
        <w:snapToGrid w:val="0"/>
        <w:spacing w:line="600" w:lineRule="exact"/>
        <w:ind w:firstLine="640" w:firstLineChars="200"/>
        <w:rPr>
          <w:rFonts w:eastAsia="仿宋"/>
          <w:sz w:val="32"/>
          <w:szCs w:val="32"/>
        </w:rPr>
      </w:pPr>
      <w:r>
        <w:rPr>
          <w:rFonts w:hint="eastAsia" w:eastAsia="仿宋"/>
          <w:sz w:val="32"/>
          <w:szCs w:val="32"/>
        </w:rPr>
        <w:t>对公司产品有重要影响的专利或非专利技术出现权利瑕疵或法律争议的，应当披露该专利或非专利技术的产品应用情况及对公司生产经营的影响。</w:t>
      </w:r>
    </w:p>
    <w:p>
      <w:pPr>
        <w:widowControl/>
        <w:snapToGrid w:val="0"/>
        <w:spacing w:line="600" w:lineRule="exact"/>
        <w:ind w:firstLine="642" w:firstLineChars="200"/>
        <w:outlineLvl w:val="2"/>
        <w:rPr>
          <w:rFonts w:eastAsia="仿宋"/>
          <w:sz w:val="32"/>
          <w:szCs w:val="32"/>
        </w:rPr>
      </w:pPr>
      <w:r>
        <w:rPr>
          <w:rFonts w:hint="eastAsia" w:eastAsia="仿宋"/>
          <w:b/>
          <w:sz w:val="32"/>
          <w:szCs w:val="32"/>
        </w:rPr>
        <w:t>第十六条</w:t>
      </w:r>
      <w:r>
        <w:rPr>
          <w:rFonts w:hint="eastAsia" w:eastAsia="仿宋"/>
          <w:sz w:val="32"/>
          <w:szCs w:val="32"/>
        </w:rPr>
        <w:t xml:space="preserve"> 公司从事通用计算机、计算机外围设备或相关零部件制造的，应当披露相关产品的品牌种类（包括自主品牌和代加工品牌），相关产品在产品定位、外观设计、性能提升或者功耗等方面具备的特性或竞争优劣势。</w:t>
      </w:r>
    </w:p>
    <w:p>
      <w:pPr>
        <w:widowControl/>
        <w:snapToGrid w:val="0"/>
        <w:spacing w:line="600" w:lineRule="exact"/>
        <w:ind w:firstLine="642" w:firstLineChars="200"/>
        <w:outlineLvl w:val="2"/>
        <w:rPr>
          <w:rFonts w:eastAsia="仿宋"/>
          <w:sz w:val="32"/>
          <w:szCs w:val="32"/>
        </w:rPr>
      </w:pPr>
      <w:r>
        <w:rPr>
          <w:rFonts w:hint="eastAsia" w:eastAsia="仿宋"/>
          <w:b/>
          <w:sz w:val="32"/>
          <w:szCs w:val="32"/>
        </w:rPr>
        <w:t>第十七条</w:t>
      </w:r>
      <w:r>
        <w:rPr>
          <w:rFonts w:hint="eastAsia" w:eastAsia="仿宋"/>
          <w:sz w:val="32"/>
          <w:szCs w:val="32"/>
        </w:rPr>
        <w:t xml:space="preserve"> 公司从事安</w:t>
      </w:r>
      <w:r>
        <w:rPr>
          <w:rFonts w:eastAsia="仿宋"/>
          <w:sz w:val="32"/>
          <w:szCs w:val="32"/>
        </w:rPr>
        <w:t>防、</w:t>
      </w:r>
      <w:r>
        <w:rPr>
          <w:rFonts w:hint="eastAsia" w:eastAsia="仿宋"/>
          <w:sz w:val="32"/>
          <w:szCs w:val="32"/>
        </w:rPr>
        <w:t>金融、医疗卫生、税务等特定行业相关计算机设备或其零部件制造的，应当结合所处细分市场情况披露相关产品的主要客户群体、特定行业准入的门槛或资质条件等情况。</w:t>
      </w:r>
    </w:p>
    <w:p>
      <w:pPr>
        <w:widowControl/>
        <w:snapToGrid w:val="0"/>
        <w:spacing w:line="600" w:lineRule="exact"/>
        <w:ind w:firstLine="642" w:firstLineChars="200"/>
        <w:outlineLvl w:val="2"/>
        <w:rPr>
          <w:rFonts w:eastAsia="仿宋"/>
          <w:sz w:val="32"/>
          <w:szCs w:val="32"/>
        </w:rPr>
      </w:pPr>
      <w:r>
        <w:rPr>
          <w:rFonts w:hint="eastAsia" w:eastAsia="仿宋"/>
          <w:b/>
          <w:sz w:val="32"/>
          <w:szCs w:val="32"/>
        </w:rPr>
        <w:t>第十八条</w:t>
      </w:r>
      <w:r>
        <w:rPr>
          <w:rFonts w:hint="eastAsia" w:eastAsia="仿宋"/>
          <w:sz w:val="32"/>
          <w:szCs w:val="32"/>
        </w:rPr>
        <w:t xml:space="preserve"> 公司从事通信系统设备制造的，应当披露主要终端客户的行业地位、公司在终端客户供应链体系中的位置或级别，并按照下列要求披露相关信息：</w:t>
      </w:r>
    </w:p>
    <w:p>
      <w:pPr>
        <w:widowControl/>
        <w:snapToGrid w:val="0"/>
        <w:spacing w:line="600" w:lineRule="exact"/>
        <w:ind w:firstLine="640" w:firstLineChars="200"/>
        <w:rPr>
          <w:rFonts w:eastAsia="仿宋"/>
          <w:sz w:val="32"/>
          <w:szCs w:val="32"/>
        </w:rPr>
      </w:pPr>
      <w:r>
        <w:rPr>
          <w:rFonts w:hint="eastAsia" w:eastAsia="仿宋"/>
          <w:sz w:val="32"/>
          <w:szCs w:val="32"/>
        </w:rPr>
        <w:t>（一）涉及通信传输材料、设备或相关零部件制造的，披露报告期内相关产品在解决信号传输损耗、熔接损耗、复用技术、光增益、抗干扰等方面所采用的技术手段及其优劣势；</w:t>
      </w:r>
    </w:p>
    <w:p>
      <w:pPr>
        <w:widowControl/>
        <w:snapToGrid w:val="0"/>
        <w:spacing w:line="600" w:lineRule="exact"/>
        <w:ind w:firstLine="640" w:firstLineChars="200"/>
        <w:rPr>
          <w:rFonts w:eastAsia="仿宋"/>
          <w:sz w:val="32"/>
          <w:szCs w:val="32"/>
        </w:rPr>
      </w:pPr>
      <w:r>
        <w:rPr>
          <w:rFonts w:hint="eastAsia" w:eastAsia="仿宋"/>
          <w:sz w:val="32"/>
          <w:szCs w:val="32"/>
        </w:rPr>
        <w:t>（二）涉及通信交换设备或其零部件制造的，披露报告期内相关产品在解决调制解调效率、误比特率以及信号差错控制等方面所采用的技术手段及其优劣势；</w:t>
      </w:r>
    </w:p>
    <w:p>
      <w:pPr>
        <w:widowControl/>
        <w:snapToGrid w:val="0"/>
        <w:spacing w:line="600" w:lineRule="exact"/>
        <w:ind w:firstLine="640" w:firstLineChars="200"/>
        <w:rPr>
          <w:rFonts w:eastAsia="仿宋"/>
          <w:sz w:val="32"/>
          <w:szCs w:val="32"/>
        </w:rPr>
      </w:pPr>
      <w:r>
        <w:rPr>
          <w:rFonts w:hint="eastAsia" w:eastAsia="仿宋"/>
          <w:sz w:val="32"/>
          <w:szCs w:val="32"/>
        </w:rPr>
        <w:t>（三）涉及通信接入设备或其零部件制造的，披露相关产品适用的接入网类型（如铜线接入、光纤接入、光纤同轴电缆混合接入、无线接入等），公司产品在提高传输速率或宽带利用率，降低运行维护成本等方面所采用的技术手段及其优劣势。</w:t>
      </w:r>
    </w:p>
    <w:p>
      <w:pPr>
        <w:widowControl/>
        <w:snapToGrid w:val="0"/>
        <w:spacing w:line="600" w:lineRule="exact"/>
        <w:ind w:firstLine="642" w:firstLineChars="200"/>
        <w:outlineLvl w:val="2"/>
        <w:rPr>
          <w:rFonts w:eastAsia="仿宋"/>
          <w:sz w:val="32"/>
          <w:szCs w:val="32"/>
        </w:rPr>
      </w:pPr>
      <w:r>
        <w:rPr>
          <w:rFonts w:hint="eastAsia" w:eastAsia="仿宋"/>
          <w:b/>
          <w:sz w:val="32"/>
          <w:szCs w:val="32"/>
        </w:rPr>
        <w:t>第十九条</w:t>
      </w:r>
      <w:r>
        <w:rPr>
          <w:rFonts w:hint="eastAsia" w:eastAsia="仿宋"/>
          <w:sz w:val="32"/>
          <w:szCs w:val="32"/>
        </w:rPr>
        <w:t xml:space="preserve"> 公司从事通信终端设备制造的，应当披露相关产品的应用领域以及在外观设计、产品性能提升、功耗等方面的竞争优劣势。</w:t>
      </w:r>
    </w:p>
    <w:p>
      <w:pPr>
        <w:widowControl/>
        <w:snapToGrid w:val="0"/>
        <w:spacing w:line="600" w:lineRule="exact"/>
        <w:ind w:firstLine="642" w:firstLineChars="200"/>
        <w:outlineLvl w:val="2"/>
        <w:rPr>
          <w:rFonts w:eastAsia="仿宋"/>
          <w:sz w:val="32"/>
          <w:szCs w:val="32"/>
        </w:rPr>
      </w:pPr>
      <w:r>
        <w:rPr>
          <w:rFonts w:hint="eastAsia" w:eastAsia="仿宋"/>
          <w:b/>
          <w:sz w:val="32"/>
          <w:szCs w:val="32"/>
        </w:rPr>
        <w:t xml:space="preserve">第二十条 </w:t>
      </w:r>
      <w:r>
        <w:rPr>
          <w:rFonts w:hint="eastAsia" w:eastAsia="仿宋"/>
          <w:sz w:val="32"/>
          <w:szCs w:val="32"/>
        </w:rPr>
        <w:t>公司从事半导体分立器件、光电子器件、显示器件或组件制造的，应当结合用途或应用领域披露相关产品在关键性能上的优劣势或特点，如</w:t>
      </w:r>
      <w:r>
        <w:rPr>
          <w:rFonts w:hint="eastAsia" w:ascii="仿宋" w:hAnsi="仿宋" w:eastAsia="仿宋"/>
          <w:kern w:val="0"/>
          <w:sz w:val="32"/>
          <w:szCs w:val="32"/>
        </w:rPr>
        <w:t>最大整流电流、最大耗散功率、发光强度、像素点间距、衰减特性、能耗等</w:t>
      </w:r>
      <w:r>
        <w:rPr>
          <w:rFonts w:hint="eastAsia" w:eastAsia="仿宋"/>
          <w:sz w:val="32"/>
          <w:szCs w:val="32"/>
        </w:rPr>
        <w:t>。</w:t>
      </w:r>
    </w:p>
    <w:p>
      <w:pPr>
        <w:widowControl/>
        <w:snapToGrid w:val="0"/>
        <w:spacing w:line="600" w:lineRule="exact"/>
        <w:ind w:firstLine="642" w:firstLineChars="200"/>
        <w:outlineLvl w:val="2"/>
        <w:rPr>
          <w:rFonts w:eastAsia="仿宋"/>
          <w:sz w:val="32"/>
          <w:szCs w:val="32"/>
        </w:rPr>
      </w:pPr>
      <w:r>
        <w:rPr>
          <w:rFonts w:hint="eastAsia" w:eastAsia="仿宋"/>
          <w:b/>
          <w:sz w:val="32"/>
          <w:szCs w:val="32"/>
        </w:rPr>
        <w:t>第二十一条</w:t>
      </w:r>
      <w:r>
        <w:rPr>
          <w:rFonts w:hint="eastAsia" w:eastAsia="仿宋"/>
          <w:sz w:val="32"/>
          <w:szCs w:val="32"/>
        </w:rPr>
        <w:t xml:space="preserve"> 公司从事集成电路制造的，应当披露主要产品的类型（逻辑电路、存储电路、微处理器等）、用途及应用领域、晶圆尺寸，产品良品率和重要性能指标（特征尺寸、功耗水平等）等。</w:t>
      </w:r>
    </w:p>
    <w:p>
      <w:pPr>
        <w:widowControl/>
        <w:snapToGrid w:val="0"/>
        <w:spacing w:line="600" w:lineRule="exact"/>
        <w:ind w:firstLine="640" w:firstLineChars="200"/>
        <w:rPr>
          <w:rFonts w:eastAsia="仿宋"/>
          <w:sz w:val="32"/>
          <w:szCs w:val="32"/>
        </w:rPr>
      </w:pPr>
      <w:r>
        <w:rPr>
          <w:rFonts w:hint="eastAsia" w:eastAsia="仿宋"/>
          <w:sz w:val="32"/>
          <w:szCs w:val="32"/>
        </w:rPr>
        <w:t>公司</w:t>
      </w:r>
      <w:r>
        <w:rPr>
          <w:rFonts w:eastAsia="仿宋"/>
          <w:sz w:val="32"/>
          <w:szCs w:val="32"/>
        </w:rPr>
        <w:t>从事集成电路封装</w:t>
      </w:r>
      <w:r>
        <w:rPr>
          <w:rFonts w:hint="eastAsia" w:ascii="仿宋" w:hAnsi="仿宋" w:eastAsia="仿宋"/>
          <w:sz w:val="32"/>
          <w:szCs w:val="32"/>
        </w:rPr>
        <w:t>业务</w:t>
      </w:r>
      <w:r>
        <w:rPr>
          <w:rFonts w:eastAsia="仿宋"/>
          <w:sz w:val="32"/>
          <w:szCs w:val="32"/>
        </w:rPr>
        <w:t>，</w:t>
      </w:r>
      <w:r>
        <w:rPr>
          <w:rFonts w:hint="eastAsia" w:eastAsia="仿宋"/>
          <w:sz w:val="32"/>
          <w:szCs w:val="32"/>
        </w:rPr>
        <w:t>报告</w:t>
      </w:r>
      <w:r>
        <w:rPr>
          <w:rFonts w:eastAsia="仿宋"/>
          <w:sz w:val="32"/>
          <w:szCs w:val="32"/>
        </w:rPr>
        <w:t>期内</w:t>
      </w:r>
      <w:r>
        <w:rPr>
          <w:rFonts w:hint="eastAsia" w:eastAsia="仿宋"/>
          <w:sz w:val="32"/>
          <w:szCs w:val="32"/>
        </w:rPr>
        <w:t>相关封装技术发生重大</w:t>
      </w:r>
      <w:r>
        <w:rPr>
          <w:rFonts w:eastAsia="仿宋"/>
          <w:sz w:val="32"/>
          <w:szCs w:val="32"/>
        </w:rPr>
        <w:t>变化</w:t>
      </w:r>
      <w:r>
        <w:rPr>
          <w:rFonts w:hint="eastAsia" w:eastAsia="仿宋"/>
          <w:sz w:val="32"/>
          <w:szCs w:val="32"/>
        </w:rPr>
        <w:t>的</w:t>
      </w:r>
      <w:r>
        <w:rPr>
          <w:rFonts w:eastAsia="仿宋"/>
          <w:sz w:val="32"/>
          <w:szCs w:val="32"/>
        </w:rPr>
        <w:t>，应当</w:t>
      </w:r>
      <w:r>
        <w:rPr>
          <w:rFonts w:hint="eastAsia" w:eastAsia="仿宋"/>
          <w:sz w:val="32"/>
          <w:szCs w:val="32"/>
        </w:rPr>
        <w:t>披露具体变化情况，如芯片粘结方法、引线键合方法、封装材料、封装形式、密封方法、芯片面积与封装面积之比、封装薄厚与散热情况等。</w:t>
      </w:r>
    </w:p>
    <w:p>
      <w:pPr>
        <w:widowControl/>
        <w:snapToGrid w:val="0"/>
        <w:spacing w:line="600" w:lineRule="exact"/>
        <w:ind w:firstLine="642" w:firstLineChars="200"/>
        <w:outlineLvl w:val="2"/>
        <w:rPr>
          <w:rFonts w:eastAsia="仿宋"/>
          <w:sz w:val="32"/>
          <w:szCs w:val="32"/>
        </w:rPr>
      </w:pPr>
      <w:r>
        <w:rPr>
          <w:rFonts w:hint="eastAsia" w:eastAsia="仿宋"/>
          <w:b/>
          <w:sz w:val="32"/>
          <w:szCs w:val="32"/>
        </w:rPr>
        <w:t xml:space="preserve">第二十二条 </w:t>
      </w:r>
      <w:r>
        <w:rPr>
          <w:rFonts w:hint="eastAsia" w:eastAsia="仿宋"/>
          <w:sz w:val="32"/>
          <w:szCs w:val="32"/>
        </w:rPr>
        <w:t>公司从事电子元件或组件、印制电路板或者其他电子设备制造的，应当披露公司主要产品的关键性能指标，并结合主要客户类别及所属应用领域，披露报告期</w:t>
      </w:r>
      <w:r>
        <w:rPr>
          <w:rFonts w:eastAsia="仿宋"/>
          <w:sz w:val="32"/>
          <w:szCs w:val="32"/>
        </w:rPr>
        <w:t>内</w:t>
      </w:r>
      <w:r>
        <w:rPr>
          <w:rFonts w:hint="eastAsia" w:eastAsia="仿宋"/>
          <w:sz w:val="32"/>
          <w:szCs w:val="32"/>
        </w:rPr>
        <w:t>对上游供应商或下游客户的依赖情况。</w:t>
      </w:r>
    </w:p>
    <w:p>
      <w:pPr>
        <w:widowControl/>
        <w:snapToGrid w:val="0"/>
        <w:spacing w:line="600" w:lineRule="exact"/>
        <w:ind w:firstLine="642" w:firstLineChars="200"/>
        <w:outlineLvl w:val="2"/>
        <w:rPr>
          <w:rFonts w:eastAsia="仿宋"/>
          <w:sz w:val="32"/>
          <w:szCs w:val="32"/>
        </w:rPr>
      </w:pPr>
      <w:r>
        <w:rPr>
          <w:rFonts w:hint="eastAsia" w:eastAsia="仿宋"/>
          <w:b/>
          <w:sz w:val="32"/>
          <w:szCs w:val="32"/>
        </w:rPr>
        <w:t xml:space="preserve">第二十三条 </w:t>
      </w:r>
      <w:r>
        <w:rPr>
          <w:rFonts w:eastAsia="仿宋"/>
          <w:sz w:val="32"/>
          <w:szCs w:val="32"/>
        </w:rPr>
        <w:t>公司参照《公开发行证券的公司信息披露编报规则第15号</w:t>
      </w:r>
      <w:r>
        <w:rPr>
          <w:rFonts w:hint="eastAsia" w:eastAsia="仿宋"/>
          <w:sz w:val="32"/>
          <w:szCs w:val="32"/>
        </w:rPr>
        <w:t>——</w:t>
      </w:r>
      <w:r>
        <w:rPr>
          <w:rFonts w:eastAsia="仿宋"/>
          <w:sz w:val="32"/>
          <w:szCs w:val="32"/>
        </w:rPr>
        <w:t>财务报告的一般规定》披露财务报告附注时，应同时披露以下信息：</w:t>
      </w:r>
    </w:p>
    <w:p>
      <w:pPr>
        <w:widowControl/>
        <w:snapToGrid w:val="0"/>
        <w:spacing w:line="600" w:lineRule="exact"/>
        <w:ind w:firstLine="640" w:firstLineChars="200"/>
        <w:rPr>
          <w:rFonts w:eastAsia="仿宋"/>
          <w:sz w:val="32"/>
          <w:szCs w:val="32"/>
        </w:rPr>
      </w:pPr>
      <w:r>
        <w:rPr>
          <w:rFonts w:hint="eastAsia" w:eastAsia="仿宋"/>
          <w:sz w:val="32"/>
          <w:szCs w:val="32"/>
        </w:rPr>
        <w:t>（</w:t>
      </w:r>
      <w:r>
        <w:rPr>
          <w:rFonts w:eastAsia="仿宋"/>
          <w:sz w:val="32"/>
          <w:szCs w:val="32"/>
        </w:rPr>
        <w:t>一）</w:t>
      </w:r>
      <w:r>
        <w:rPr>
          <w:rFonts w:hint="eastAsia" w:eastAsia="仿宋"/>
          <w:sz w:val="32"/>
          <w:szCs w:val="32"/>
        </w:rPr>
        <w:t>存货或核心生产设备等重要资产科目发生减值的，应当结合自身技术水平、市场行情、产品销售等情况，分析并披露上述减值的具体情况和依据；</w:t>
      </w:r>
    </w:p>
    <w:p>
      <w:pPr>
        <w:widowControl/>
        <w:snapToGrid w:val="0"/>
        <w:spacing w:line="600" w:lineRule="exact"/>
        <w:ind w:firstLine="640" w:firstLineChars="200"/>
        <w:rPr>
          <w:rFonts w:eastAsia="仿宋"/>
          <w:sz w:val="32"/>
          <w:szCs w:val="32"/>
        </w:rPr>
      </w:pPr>
      <w:r>
        <w:rPr>
          <w:rFonts w:hint="eastAsia" w:eastAsia="仿宋"/>
          <w:sz w:val="32"/>
          <w:szCs w:val="32"/>
        </w:rPr>
        <w:t>（</w:t>
      </w:r>
      <w:r>
        <w:rPr>
          <w:rFonts w:eastAsia="仿宋"/>
          <w:sz w:val="32"/>
          <w:szCs w:val="32"/>
        </w:rPr>
        <w:t>二）</w:t>
      </w:r>
      <w:r>
        <w:rPr>
          <w:rFonts w:hint="eastAsia" w:eastAsia="仿宋"/>
          <w:sz w:val="32"/>
          <w:szCs w:val="32"/>
        </w:rPr>
        <w:t>报告期内收到的政府补助金额明细，结合政府补助占同期利润总额的占比情况和行业特点说明报告期内对政府补助的依赖情况。报告期内公司业绩对政府补助存在较大依赖的，还应当进行重大风险提示，分析并披露对公司持续经营能力的影响。</w:t>
      </w:r>
    </w:p>
    <w:p>
      <w:pPr>
        <w:widowControl/>
        <w:snapToGrid w:val="0"/>
        <w:spacing w:line="600" w:lineRule="exact"/>
        <w:ind w:firstLine="640" w:firstLineChars="200"/>
        <w:rPr>
          <w:rFonts w:eastAsia="仿宋"/>
          <w:sz w:val="32"/>
          <w:szCs w:val="32"/>
        </w:rPr>
      </w:pPr>
    </w:p>
    <w:p>
      <w:pPr>
        <w:widowControl/>
        <w:snapToGrid w:val="0"/>
        <w:spacing w:line="600" w:lineRule="exact"/>
        <w:ind w:firstLine="640" w:firstLineChars="200"/>
        <w:jc w:val="center"/>
        <w:outlineLvl w:val="1"/>
        <w:rPr>
          <w:rFonts w:ascii="黑体" w:eastAsia="黑体" w:hAnsiTheme="minorHAnsi" w:cstheme="minorBidi"/>
          <w:color w:val="000000"/>
          <w:kern w:val="0"/>
          <w:sz w:val="32"/>
          <w:szCs w:val="32"/>
        </w:rPr>
      </w:pPr>
      <w:r>
        <w:rPr>
          <w:rFonts w:hint="eastAsia" w:ascii="黑体" w:eastAsia="黑体" w:hAnsiTheme="minorHAnsi" w:cstheme="minorBidi"/>
          <w:color w:val="000000"/>
          <w:kern w:val="0"/>
          <w:sz w:val="32"/>
          <w:szCs w:val="32"/>
        </w:rPr>
        <w:t>第三章  临时报告</w:t>
      </w:r>
    </w:p>
    <w:p>
      <w:pPr>
        <w:widowControl/>
        <w:snapToGrid w:val="0"/>
        <w:spacing w:line="600" w:lineRule="exact"/>
        <w:ind w:firstLine="640" w:firstLineChars="200"/>
        <w:rPr>
          <w:rFonts w:eastAsia="仿宋"/>
          <w:sz w:val="32"/>
          <w:szCs w:val="32"/>
        </w:rPr>
      </w:pPr>
    </w:p>
    <w:p>
      <w:pPr>
        <w:widowControl/>
        <w:snapToGrid w:val="0"/>
        <w:spacing w:line="600" w:lineRule="exact"/>
        <w:ind w:firstLine="642" w:firstLineChars="200"/>
        <w:outlineLvl w:val="2"/>
        <w:rPr>
          <w:rFonts w:eastAsia="仿宋"/>
          <w:sz w:val="32"/>
          <w:szCs w:val="32"/>
        </w:rPr>
      </w:pPr>
      <w:r>
        <w:rPr>
          <w:rFonts w:hint="eastAsia" w:eastAsia="仿宋"/>
          <w:b/>
          <w:sz w:val="32"/>
          <w:szCs w:val="32"/>
        </w:rPr>
        <w:t xml:space="preserve">第二十四条 </w:t>
      </w:r>
      <w:r>
        <w:rPr>
          <w:rFonts w:hint="eastAsia" w:eastAsia="仿宋"/>
          <w:sz w:val="32"/>
          <w:szCs w:val="32"/>
        </w:rPr>
        <w:t>公司所属细分行业的政策法规或其他行业性事件发生重大变化且对公司具有重大影响的，应当及时披露相关情况，并分析对公司当期与未来发展的影响。</w:t>
      </w:r>
    </w:p>
    <w:p>
      <w:pPr>
        <w:widowControl/>
        <w:snapToGrid w:val="0"/>
        <w:spacing w:line="600" w:lineRule="exact"/>
        <w:ind w:firstLine="642" w:firstLineChars="200"/>
        <w:outlineLvl w:val="2"/>
        <w:rPr>
          <w:rFonts w:eastAsia="仿宋"/>
          <w:sz w:val="32"/>
          <w:szCs w:val="32"/>
        </w:rPr>
      </w:pPr>
      <w:r>
        <w:rPr>
          <w:rFonts w:hint="eastAsia" w:eastAsia="仿宋"/>
          <w:b/>
          <w:sz w:val="32"/>
          <w:szCs w:val="32"/>
        </w:rPr>
        <w:t>第二十五条</w:t>
      </w:r>
      <w:r>
        <w:rPr>
          <w:rFonts w:hint="eastAsia" w:eastAsia="仿宋"/>
          <w:sz w:val="32"/>
          <w:szCs w:val="32"/>
        </w:rPr>
        <w:t xml:space="preserve"> </w:t>
      </w:r>
      <w:r>
        <w:rPr>
          <w:rFonts w:hint="eastAsia" w:eastAsia="仿宋"/>
          <w:color w:val="000000" w:themeColor="text1"/>
          <w:sz w:val="32"/>
          <w:szCs w:val="32"/>
          <w14:textFill>
            <w14:solidFill>
              <w14:schemeClr w14:val="tx1"/>
            </w14:solidFill>
          </w14:textFill>
        </w:rPr>
        <w:t>公司核心技术人员发生变动，预计对公司生产经营产生重大影响的，</w:t>
      </w:r>
      <w:r>
        <w:rPr>
          <w:rFonts w:hint="eastAsia" w:eastAsia="仿宋"/>
          <w:sz w:val="32"/>
          <w:szCs w:val="32"/>
        </w:rPr>
        <w:t>应当及时披露提示性公告，说明上述核心技术人员变动对公司主要产品或业务升级的影响。</w:t>
      </w:r>
    </w:p>
    <w:p>
      <w:pPr>
        <w:widowControl/>
        <w:snapToGrid w:val="0"/>
        <w:spacing w:line="600" w:lineRule="exact"/>
        <w:ind w:firstLine="642" w:firstLineChars="200"/>
        <w:outlineLvl w:val="2"/>
        <w:rPr>
          <w:rFonts w:eastAsia="仿宋"/>
          <w:sz w:val="32"/>
          <w:szCs w:val="32"/>
        </w:rPr>
      </w:pPr>
      <w:r>
        <w:rPr>
          <w:rFonts w:hint="eastAsia" w:eastAsia="仿宋"/>
          <w:b/>
          <w:sz w:val="32"/>
          <w:szCs w:val="32"/>
        </w:rPr>
        <w:t>第二十六条</w:t>
      </w:r>
      <w:r>
        <w:rPr>
          <w:rFonts w:hint="eastAsia" w:eastAsia="仿宋"/>
          <w:sz w:val="32"/>
          <w:szCs w:val="32"/>
        </w:rPr>
        <w:t xml:space="preserve"> 当出现原材料价格异常波动、断供等紧急情况，影响公司正常运营或预期对当期利润产生重大影响的，公司应当及时披露并揭示相关风险。</w:t>
      </w:r>
    </w:p>
    <w:p>
      <w:pPr>
        <w:widowControl/>
        <w:snapToGrid w:val="0"/>
        <w:spacing w:line="600" w:lineRule="exact"/>
        <w:ind w:firstLine="642" w:firstLineChars="200"/>
        <w:outlineLvl w:val="2"/>
        <w:rPr>
          <w:rFonts w:eastAsia="仿宋"/>
          <w:sz w:val="32"/>
          <w:szCs w:val="32"/>
        </w:rPr>
      </w:pPr>
      <w:r>
        <w:rPr>
          <w:rFonts w:hint="eastAsia" w:eastAsia="仿宋"/>
          <w:b/>
          <w:sz w:val="32"/>
          <w:szCs w:val="32"/>
        </w:rPr>
        <w:t>第二十七条</w:t>
      </w:r>
      <w:r>
        <w:rPr>
          <w:rFonts w:hint="eastAsia" w:eastAsia="仿宋"/>
          <w:sz w:val="32"/>
          <w:szCs w:val="32"/>
        </w:rPr>
        <w:t xml:space="preserve"> 公司主要客户的采购政策或主要供应商的销售政策发生重大变化，预计对当年业绩或生产经营产生较大影响的，应当及时进行披露。</w:t>
      </w:r>
    </w:p>
    <w:p>
      <w:pPr>
        <w:widowControl/>
        <w:snapToGrid w:val="0"/>
        <w:spacing w:line="600" w:lineRule="exact"/>
        <w:ind w:firstLine="642" w:firstLineChars="200"/>
        <w:outlineLvl w:val="2"/>
        <w:rPr>
          <w:rFonts w:eastAsia="仿宋"/>
          <w:sz w:val="32"/>
          <w:szCs w:val="32"/>
        </w:rPr>
      </w:pPr>
      <w:r>
        <w:rPr>
          <w:rFonts w:hint="eastAsia" w:eastAsia="仿宋"/>
          <w:b/>
          <w:sz w:val="32"/>
          <w:szCs w:val="32"/>
        </w:rPr>
        <w:t>第二十八条</w:t>
      </w:r>
      <w:r>
        <w:rPr>
          <w:rFonts w:hint="eastAsia" w:eastAsia="仿宋"/>
          <w:sz w:val="32"/>
          <w:szCs w:val="32"/>
        </w:rPr>
        <w:t xml:space="preserve"> 公司拟投资建设新生产线的，应当披露新增生产线涉及的产品、工艺路线、预计投产时间和预期产能等情况。</w:t>
      </w:r>
    </w:p>
    <w:p>
      <w:pPr>
        <w:widowControl/>
        <w:snapToGrid w:val="0"/>
        <w:spacing w:line="600" w:lineRule="exact"/>
        <w:ind w:firstLine="640" w:firstLineChars="200"/>
        <w:rPr>
          <w:rFonts w:eastAsia="仿宋"/>
          <w:sz w:val="32"/>
          <w:szCs w:val="32"/>
        </w:rPr>
      </w:pPr>
      <w:r>
        <w:rPr>
          <w:rFonts w:hint="eastAsia" w:eastAsia="仿宋"/>
          <w:sz w:val="32"/>
          <w:szCs w:val="32"/>
        </w:rPr>
        <w:t>公司拟关闭当前生产线，预计对当期经营产生重大影响的，应当披露该</w:t>
      </w:r>
      <w:r>
        <w:rPr>
          <w:rFonts w:eastAsia="仿宋"/>
          <w:sz w:val="32"/>
          <w:szCs w:val="32"/>
        </w:rPr>
        <w:t>生产线产品</w:t>
      </w:r>
      <w:r>
        <w:rPr>
          <w:rFonts w:hint="eastAsia" w:eastAsia="仿宋"/>
          <w:sz w:val="32"/>
          <w:szCs w:val="32"/>
        </w:rPr>
        <w:t>上</w:t>
      </w:r>
      <w:r>
        <w:rPr>
          <w:rFonts w:eastAsia="仿宋"/>
          <w:sz w:val="32"/>
          <w:szCs w:val="32"/>
        </w:rPr>
        <w:t>一年</w:t>
      </w:r>
      <w:r>
        <w:rPr>
          <w:rFonts w:hint="eastAsia" w:eastAsia="仿宋"/>
          <w:sz w:val="32"/>
          <w:szCs w:val="32"/>
        </w:rPr>
        <w:t>的销售</w:t>
      </w:r>
      <w:r>
        <w:rPr>
          <w:rFonts w:eastAsia="仿宋"/>
          <w:sz w:val="32"/>
          <w:szCs w:val="32"/>
        </w:rPr>
        <w:t>收</w:t>
      </w:r>
      <w:r>
        <w:rPr>
          <w:rFonts w:hint="eastAsia" w:eastAsia="仿宋"/>
          <w:sz w:val="32"/>
          <w:szCs w:val="32"/>
        </w:rPr>
        <w:t>入和</w:t>
      </w:r>
      <w:r>
        <w:rPr>
          <w:rFonts w:eastAsia="仿宋"/>
          <w:sz w:val="32"/>
          <w:szCs w:val="32"/>
        </w:rPr>
        <w:t>关闭生产线</w:t>
      </w:r>
      <w:r>
        <w:rPr>
          <w:rFonts w:hint="eastAsia" w:eastAsia="仿宋"/>
          <w:sz w:val="32"/>
          <w:szCs w:val="32"/>
        </w:rPr>
        <w:t>对当期经营的影响。</w:t>
      </w:r>
    </w:p>
    <w:p>
      <w:pPr>
        <w:widowControl/>
        <w:snapToGrid w:val="0"/>
        <w:spacing w:line="600" w:lineRule="exact"/>
        <w:ind w:firstLine="642" w:firstLineChars="200"/>
        <w:outlineLvl w:val="2"/>
        <w:rPr>
          <w:rFonts w:eastAsia="仿宋"/>
          <w:sz w:val="32"/>
          <w:szCs w:val="32"/>
        </w:rPr>
      </w:pPr>
      <w:r>
        <w:rPr>
          <w:rFonts w:hint="eastAsia" w:eastAsia="仿宋"/>
          <w:b/>
          <w:sz w:val="32"/>
          <w:szCs w:val="32"/>
        </w:rPr>
        <w:t>第二十九条</w:t>
      </w:r>
      <w:r>
        <w:rPr>
          <w:rFonts w:hint="eastAsia" w:eastAsia="仿宋"/>
          <w:sz w:val="32"/>
          <w:szCs w:val="32"/>
        </w:rPr>
        <w:t xml:space="preserve"> 公司或主要产品委托生产企业发生重大安全、质量、环保事故，或被有关部门要求进行安全、环保整改，影响公司或委托生产企业正常经营的，应当及时披露涉事生产线预计全年产量、停产整改期限及对公司生产经营的影响。</w:t>
      </w:r>
    </w:p>
    <w:p>
      <w:pPr>
        <w:widowControl/>
        <w:snapToGrid w:val="0"/>
        <w:spacing w:line="600" w:lineRule="exact"/>
        <w:ind w:firstLine="642" w:firstLineChars="200"/>
        <w:outlineLvl w:val="2"/>
        <w:rPr>
          <w:rFonts w:eastAsia="仿宋"/>
          <w:sz w:val="32"/>
          <w:szCs w:val="32"/>
        </w:rPr>
      </w:pPr>
      <w:r>
        <w:rPr>
          <w:rFonts w:hint="eastAsia" w:eastAsia="仿宋"/>
          <w:b/>
          <w:sz w:val="32"/>
          <w:szCs w:val="32"/>
        </w:rPr>
        <w:t>第三十条</w:t>
      </w:r>
      <w:r>
        <w:rPr>
          <w:rFonts w:hint="eastAsia" w:eastAsia="仿宋"/>
          <w:sz w:val="32"/>
          <w:szCs w:val="32"/>
        </w:rPr>
        <w:t xml:space="preserve"> 公司核心专利或非专利技术出现纠纷的，应当及时披露相关专利或非专利技术的基本情况及其所应用产品的</w:t>
      </w:r>
      <w:r>
        <w:rPr>
          <w:rFonts w:eastAsia="仿宋"/>
          <w:sz w:val="32"/>
          <w:szCs w:val="32"/>
        </w:rPr>
        <w:t>名称</w:t>
      </w:r>
      <w:r>
        <w:rPr>
          <w:rFonts w:hint="eastAsia" w:eastAsia="仿宋"/>
          <w:sz w:val="32"/>
          <w:szCs w:val="32"/>
        </w:rPr>
        <w:t>、上一年的销量、营业收入和利润等情况。</w:t>
      </w:r>
    </w:p>
    <w:p>
      <w:pPr>
        <w:widowControl/>
        <w:snapToGrid w:val="0"/>
        <w:spacing w:line="600" w:lineRule="exact"/>
        <w:ind w:firstLine="640" w:firstLineChars="200"/>
        <w:rPr>
          <w:rFonts w:eastAsia="仿宋"/>
          <w:sz w:val="32"/>
          <w:szCs w:val="32"/>
          <w:highlight w:val="yellow"/>
        </w:rPr>
      </w:pPr>
    </w:p>
    <w:p>
      <w:pPr>
        <w:widowControl/>
        <w:snapToGrid w:val="0"/>
        <w:spacing w:line="600" w:lineRule="exact"/>
        <w:ind w:firstLine="640" w:firstLineChars="200"/>
        <w:jc w:val="center"/>
        <w:outlineLvl w:val="1"/>
        <w:rPr>
          <w:rFonts w:ascii="黑体" w:eastAsia="黑体" w:hAnsiTheme="minorHAnsi" w:cstheme="minorBidi"/>
          <w:color w:val="000000"/>
          <w:kern w:val="0"/>
          <w:sz w:val="32"/>
          <w:szCs w:val="32"/>
        </w:rPr>
      </w:pPr>
      <w:r>
        <w:rPr>
          <w:rFonts w:hint="eastAsia" w:ascii="黑体" w:eastAsia="黑体" w:hAnsiTheme="minorHAnsi" w:cstheme="minorBidi"/>
          <w:color w:val="000000"/>
          <w:kern w:val="0"/>
          <w:sz w:val="32"/>
          <w:szCs w:val="32"/>
        </w:rPr>
        <w:t>第四章 附 则</w:t>
      </w:r>
    </w:p>
    <w:p>
      <w:pPr>
        <w:widowControl/>
        <w:snapToGrid w:val="0"/>
        <w:spacing w:line="600" w:lineRule="exact"/>
        <w:ind w:firstLine="640" w:firstLineChars="200"/>
        <w:rPr>
          <w:rFonts w:eastAsia="仿宋"/>
          <w:sz w:val="32"/>
          <w:szCs w:val="32"/>
        </w:rPr>
      </w:pPr>
    </w:p>
    <w:p>
      <w:pPr>
        <w:widowControl/>
        <w:snapToGrid w:val="0"/>
        <w:spacing w:line="600" w:lineRule="exact"/>
        <w:ind w:firstLine="642" w:firstLineChars="200"/>
        <w:outlineLvl w:val="2"/>
        <w:rPr>
          <w:rFonts w:eastAsia="仿宋"/>
          <w:sz w:val="32"/>
          <w:szCs w:val="32"/>
        </w:rPr>
      </w:pPr>
      <w:r>
        <w:rPr>
          <w:rFonts w:hint="eastAsia" w:eastAsia="仿宋"/>
          <w:b/>
          <w:sz w:val="32"/>
          <w:szCs w:val="32"/>
        </w:rPr>
        <w:t>第三十一条</w:t>
      </w:r>
      <w:r>
        <w:rPr>
          <w:rFonts w:hint="eastAsia" w:eastAsia="仿宋"/>
          <w:sz w:val="32"/>
          <w:szCs w:val="32"/>
        </w:rPr>
        <w:t xml:space="preserve"> 本指引由全国股转公司负责解释。</w:t>
      </w:r>
    </w:p>
    <w:p>
      <w:pPr>
        <w:widowControl/>
        <w:snapToGrid w:val="0"/>
        <w:spacing w:line="600" w:lineRule="exact"/>
        <w:ind w:firstLine="642" w:firstLineChars="200"/>
        <w:outlineLvl w:val="2"/>
        <w:rPr>
          <w:rFonts w:eastAsia="仿宋"/>
          <w:sz w:val="32"/>
          <w:szCs w:val="32"/>
        </w:rPr>
      </w:pPr>
      <w:r>
        <w:rPr>
          <w:rFonts w:hint="eastAsia" w:eastAsia="仿宋"/>
          <w:b/>
          <w:sz w:val="32"/>
          <w:szCs w:val="32"/>
        </w:rPr>
        <w:t>第三十二条</w:t>
      </w:r>
      <w:r>
        <w:rPr>
          <w:rFonts w:hint="eastAsia" w:eastAsia="仿宋"/>
          <w:sz w:val="32"/>
          <w:szCs w:val="32"/>
        </w:rPr>
        <w:t xml:space="preserve"> 本指引自公布之日起施行。</w:t>
      </w:r>
    </w:p>
    <w:sectPr>
      <w:footerReference r:id="rId5" w:type="default"/>
      <w:pgSz w:w="11906" w:h="16838"/>
      <w:pgMar w:top="1758" w:right="1588" w:bottom="1758" w:left="1588" w:header="851" w:footer="1077" w:gutter="0"/>
      <w:pgNumType w:fmt="numberInDash"/>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Arial">
    <w:altName w:val="Times New Roman"/>
    <w:panose1 w:val="020B0604020202020204"/>
    <w:charset w:val="00"/>
    <w:family w:val="swiss"/>
    <w:pitch w:val="default"/>
    <w:sig w:usb0="00000000" w:usb1="00000000" w:usb2="00000009" w:usb3="00000000" w:csb0="000001FF" w:csb1="00000000"/>
  </w:font>
  <w:font w:name="方正大标宋简体">
    <w:panose1 w:val="02010601030101010101"/>
    <w:charset w:val="86"/>
    <w:family w:val="auto"/>
    <w:pitch w:val="default"/>
    <w:sig w:usb0="00000001" w:usb1="080E0000" w:usb2="00000000" w:usb3="00000000" w:csb0="00040000" w:csb1="00000000"/>
  </w:font>
  <w:font w:name="微软雅黑">
    <w:altName w:val="黑体"/>
    <w:panose1 w:val="020B0503020204020204"/>
    <w:charset w:val="86"/>
    <w:family w:val="swiss"/>
    <w:pitch w:val="default"/>
    <w:sig w:usb0="00000000" w:usb1="00000000" w:usb2="00000016" w:usb3="00000000" w:csb0="0004001F" w:csb1="00000000"/>
  </w:font>
  <w:font w:name="仿宋">
    <w:panose1 w:val="02010609060101010101"/>
    <w:charset w:val="86"/>
    <w:family w:val="modern"/>
    <w:pitch w:val="default"/>
    <w:sig w:usb0="800002BF" w:usb1="38CF7CFA" w:usb2="00000016" w:usb3="00000000" w:csb0="00040001" w:csb1="00000000"/>
  </w:font>
  <w:font w:name="方正书宋_GBK">
    <w:panose1 w:val="02000000000000000000"/>
    <w:charset w:val="86"/>
    <w:family w:val="auto"/>
    <w:pitch w:val="default"/>
    <w:sig w:usb0="00000001" w:usb1="08000000" w:usb2="00000000" w:usb3="00000000" w:csb0="00040000" w:csb1="00000000"/>
  </w:font>
  <w:font w:name="Noto Sans CJK JP Bold">
    <w:panose1 w:val="020B0800000000000000"/>
    <w:charset w:val="86"/>
    <w:family w:val="auto"/>
    <w:pitch w:val="default"/>
    <w:sig w:usb0="30000003" w:usb1="2BDF3C10" w:usb2="00000016" w:usb3="00000000" w:csb0="602E0107" w:csb1="0000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10730615"/>
      <w:docPartObj>
        <w:docPartGallery w:val="autotext"/>
      </w:docPartObj>
    </w:sdtPr>
    <w:sdtEndPr>
      <w:rPr>
        <w:rFonts w:ascii="宋体" w:hAnsi="宋体"/>
        <w:sz w:val="28"/>
      </w:rPr>
    </w:sdtEndPr>
    <w:sdtContent>
      <w:p>
        <w:pPr>
          <w:pStyle w:val="4"/>
          <w:jc w:val="center"/>
          <w:rPr>
            <w:rFonts w:ascii="宋体" w:hAnsi="宋体"/>
            <w:sz w:val="28"/>
          </w:rPr>
        </w:pPr>
        <w:r>
          <w:rPr>
            <w:rFonts w:ascii="宋体" w:hAnsi="宋体"/>
            <w:sz w:val="28"/>
          </w:rPr>
          <w:fldChar w:fldCharType="begin"/>
        </w:r>
        <w:r>
          <w:rPr>
            <w:rFonts w:ascii="宋体" w:hAnsi="宋体"/>
            <w:sz w:val="28"/>
          </w:rPr>
          <w:instrText xml:space="preserve">PAGE   \* MERGEFORMAT</w:instrText>
        </w:r>
        <w:r>
          <w:rPr>
            <w:rFonts w:ascii="宋体" w:hAnsi="宋体"/>
            <w:sz w:val="28"/>
          </w:rPr>
          <w:fldChar w:fldCharType="separate"/>
        </w:r>
        <w:r>
          <w:rPr>
            <w:rFonts w:ascii="宋体" w:hAnsi="宋体"/>
            <w:sz w:val="28"/>
            <w:lang w:val="zh-CN"/>
          </w:rPr>
          <w:t>-</w:t>
        </w:r>
        <w:r>
          <w:rPr>
            <w:rFonts w:ascii="宋体" w:hAnsi="宋体"/>
            <w:sz w:val="28"/>
          </w:rPr>
          <w:t xml:space="preserve"> 9 -</w:t>
        </w:r>
        <w:r>
          <w:rPr>
            <w:rFonts w:ascii="宋体" w:hAnsi="宋体"/>
            <w:sz w:val="28"/>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true"/>
  <w:bordersDoNotSurroundHeader w:val="true"/>
  <w:bordersDoNotSurroundFooter w:val="true"/>
  <w:trackRevisions w:val="true"/>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4431"/>
    <w:rsid w:val="000010FA"/>
    <w:rsid w:val="00004CE3"/>
    <w:rsid w:val="00010024"/>
    <w:rsid w:val="000138F9"/>
    <w:rsid w:val="00013D39"/>
    <w:rsid w:val="0001539D"/>
    <w:rsid w:val="00020D0C"/>
    <w:rsid w:val="00022DF4"/>
    <w:rsid w:val="00023B63"/>
    <w:rsid w:val="00026652"/>
    <w:rsid w:val="0003231D"/>
    <w:rsid w:val="00032BDD"/>
    <w:rsid w:val="000413EE"/>
    <w:rsid w:val="00042351"/>
    <w:rsid w:val="000424FA"/>
    <w:rsid w:val="00043343"/>
    <w:rsid w:val="0004355F"/>
    <w:rsid w:val="000438CE"/>
    <w:rsid w:val="0004627B"/>
    <w:rsid w:val="00055968"/>
    <w:rsid w:val="000559FE"/>
    <w:rsid w:val="00056F77"/>
    <w:rsid w:val="00057836"/>
    <w:rsid w:val="00057D07"/>
    <w:rsid w:val="00057E5D"/>
    <w:rsid w:val="000627E1"/>
    <w:rsid w:val="00064782"/>
    <w:rsid w:val="000668DE"/>
    <w:rsid w:val="0007315E"/>
    <w:rsid w:val="00082C72"/>
    <w:rsid w:val="000867A6"/>
    <w:rsid w:val="000868E0"/>
    <w:rsid w:val="000917DB"/>
    <w:rsid w:val="0009397C"/>
    <w:rsid w:val="00093E42"/>
    <w:rsid w:val="000A4033"/>
    <w:rsid w:val="000B0AB6"/>
    <w:rsid w:val="000B193F"/>
    <w:rsid w:val="000B424E"/>
    <w:rsid w:val="000B44FE"/>
    <w:rsid w:val="000B5AA0"/>
    <w:rsid w:val="000B6E80"/>
    <w:rsid w:val="000B6E8C"/>
    <w:rsid w:val="000C0584"/>
    <w:rsid w:val="000C6EA6"/>
    <w:rsid w:val="000D2090"/>
    <w:rsid w:val="000D2C72"/>
    <w:rsid w:val="000D2E84"/>
    <w:rsid w:val="000D7845"/>
    <w:rsid w:val="000E246F"/>
    <w:rsid w:val="000E6258"/>
    <w:rsid w:val="000F0906"/>
    <w:rsid w:val="000F0E07"/>
    <w:rsid w:val="000F1FD2"/>
    <w:rsid w:val="000F4BA0"/>
    <w:rsid w:val="000F5448"/>
    <w:rsid w:val="00100759"/>
    <w:rsid w:val="0010127E"/>
    <w:rsid w:val="00101803"/>
    <w:rsid w:val="001047FC"/>
    <w:rsid w:val="00106E3F"/>
    <w:rsid w:val="00107007"/>
    <w:rsid w:val="001078EA"/>
    <w:rsid w:val="00111530"/>
    <w:rsid w:val="00111B58"/>
    <w:rsid w:val="001126D6"/>
    <w:rsid w:val="00116130"/>
    <w:rsid w:val="001161B0"/>
    <w:rsid w:val="00116977"/>
    <w:rsid w:val="00121E80"/>
    <w:rsid w:val="00122044"/>
    <w:rsid w:val="001229EC"/>
    <w:rsid w:val="001239EA"/>
    <w:rsid w:val="0012548C"/>
    <w:rsid w:val="00126370"/>
    <w:rsid w:val="001344EE"/>
    <w:rsid w:val="001345C8"/>
    <w:rsid w:val="001367FC"/>
    <w:rsid w:val="001370E3"/>
    <w:rsid w:val="0013731B"/>
    <w:rsid w:val="0014006E"/>
    <w:rsid w:val="00144300"/>
    <w:rsid w:val="00150258"/>
    <w:rsid w:val="00153726"/>
    <w:rsid w:val="00155391"/>
    <w:rsid w:val="001562CA"/>
    <w:rsid w:val="00160FAB"/>
    <w:rsid w:val="001624BE"/>
    <w:rsid w:val="00162698"/>
    <w:rsid w:val="001638E7"/>
    <w:rsid w:val="00163F78"/>
    <w:rsid w:val="00165CA7"/>
    <w:rsid w:val="0017090A"/>
    <w:rsid w:val="001730D0"/>
    <w:rsid w:val="001747ED"/>
    <w:rsid w:val="00174830"/>
    <w:rsid w:val="00175FCC"/>
    <w:rsid w:val="00180931"/>
    <w:rsid w:val="0018175E"/>
    <w:rsid w:val="00182832"/>
    <w:rsid w:val="00182AD8"/>
    <w:rsid w:val="00183C0A"/>
    <w:rsid w:val="00183DF4"/>
    <w:rsid w:val="00185701"/>
    <w:rsid w:val="00187976"/>
    <w:rsid w:val="001912D1"/>
    <w:rsid w:val="00191D02"/>
    <w:rsid w:val="001959A6"/>
    <w:rsid w:val="001A1C54"/>
    <w:rsid w:val="001A2A69"/>
    <w:rsid w:val="001A2CBD"/>
    <w:rsid w:val="001A2EFA"/>
    <w:rsid w:val="001A31AA"/>
    <w:rsid w:val="001A31F5"/>
    <w:rsid w:val="001A7F81"/>
    <w:rsid w:val="001B0C35"/>
    <w:rsid w:val="001B28E6"/>
    <w:rsid w:val="001B3E9E"/>
    <w:rsid w:val="001C2A5C"/>
    <w:rsid w:val="001C3A25"/>
    <w:rsid w:val="001C66E6"/>
    <w:rsid w:val="001D143A"/>
    <w:rsid w:val="001D285F"/>
    <w:rsid w:val="001D3D17"/>
    <w:rsid w:val="001D4C96"/>
    <w:rsid w:val="001D735D"/>
    <w:rsid w:val="001D7B17"/>
    <w:rsid w:val="001E3230"/>
    <w:rsid w:val="001E5A3A"/>
    <w:rsid w:val="001E60AA"/>
    <w:rsid w:val="001E6828"/>
    <w:rsid w:val="001E6DEC"/>
    <w:rsid w:val="001E7EE3"/>
    <w:rsid w:val="001F0B0E"/>
    <w:rsid w:val="001F48B6"/>
    <w:rsid w:val="001F4F5B"/>
    <w:rsid w:val="00203883"/>
    <w:rsid w:val="00204BC8"/>
    <w:rsid w:val="00207227"/>
    <w:rsid w:val="0021276A"/>
    <w:rsid w:val="0021482C"/>
    <w:rsid w:val="0021582D"/>
    <w:rsid w:val="00215F22"/>
    <w:rsid w:val="0022299B"/>
    <w:rsid w:val="00224329"/>
    <w:rsid w:val="00225E36"/>
    <w:rsid w:val="00226C7C"/>
    <w:rsid w:val="00227A0C"/>
    <w:rsid w:val="00230AD5"/>
    <w:rsid w:val="00230D8E"/>
    <w:rsid w:val="00231CB1"/>
    <w:rsid w:val="002330CB"/>
    <w:rsid w:val="0023578E"/>
    <w:rsid w:val="00241958"/>
    <w:rsid w:val="00244B04"/>
    <w:rsid w:val="00255F90"/>
    <w:rsid w:val="0025691E"/>
    <w:rsid w:val="00264816"/>
    <w:rsid w:val="00266835"/>
    <w:rsid w:val="0026724C"/>
    <w:rsid w:val="0027059C"/>
    <w:rsid w:val="00272AAF"/>
    <w:rsid w:val="00283B5C"/>
    <w:rsid w:val="00285437"/>
    <w:rsid w:val="00286371"/>
    <w:rsid w:val="00287AD4"/>
    <w:rsid w:val="00287C2C"/>
    <w:rsid w:val="00287E93"/>
    <w:rsid w:val="002918E2"/>
    <w:rsid w:val="002956D6"/>
    <w:rsid w:val="00296ADD"/>
    <w:rsid w:val="0029763F"/>
    <w:rsid w:val="002A0365"/>
    <w:rsid w:val="002A0EE4"/>
    <w:rsid w:val="002A1BBC"/>
    <w:rsid w:val="002B2481"/>
    <w:rsid w:val="002B2DB4"/>
    <w:rsid w:val="002B337B"/>
    <w:rsid w:val="002B53D2"/>
    <w:rsid w:val="002B5DD4"/>
    <w:rsid w:val="002C20AC"/>
    <w:rsid w:val="002C405F"/>
    <w:rsid w:val="002C5E21"/>
    <w:rsid w:val="002D05F4"/>
    <w:rsid w:val="002D360C"/>
    <w:rsid w:val="002D3E3D"/>
    <w:rsid w:val="002D739C"/>
    <w:rsid w:val="002D78CF"/>
    <w:rsid w:val="002E22BD"/>
    <w:rsid w:val="002E2C42"/>
    <w:rsid w:val="002E5096"/>
    <w:rsid w:val="002E5FE4"/>
    <w:rsid w:val="002E79C4"/>
    <w:rsid w:val="002F3F8C"/>
    <w:rsid w:val="002F608B"/>
    <w:rsid w:val="002F6EEB"/>
    <w:rsid w:val="002F71DA"/>
    <w:rsid w:val="00302086"/>
    <w:rsid w:val="00303CB0"/>
    <w:rsid w:val="00307BD1"/>
    <w:rsid w:val="00307D6A"/>
    <w:rsid w:val="003134B5"/>
    <w:rsid w:val="0032028D"/>
    <w:rsid w:val="003203D9"/>
    <w:rsid w:val="003211B5"/>
    <w:rsid w:val="00323ACF"/>
    <w:rsid w:val="0032438D"/>
    <w:rsid w:val="00335AF8"/>
    <w:rsid w:val="00336A07"/>
    <w:rsid w:val="00340D8E"/>
    <w:rsid w:val="00342E76"/>
    <w:rsid w:val="00344260"/>
    <w:rsid w:val="00346E9C"/>
    <w:rsid w:val="00351EE3"/>
    <w:rsid w:val="00351F67"/>
    <w:rsid w:val="0035297B"/>
    <w:rsid w:val="00354E7C"/>
    <w:rsid w:val="00366D75"/>
    <w:rsid w:val="003704FF"/>
    <w:rsid w:val="0037088A"/>
    <w:rsid w:val="003721E2"/>
    <w:rsid w:val="00374CE6"/>
    <w:rsid w:val="00375A4F"/>
    <w:rsid w:val="00376E4F"/>
    <w:rsid w:val="00376F3A"/>
    <w:rsid w:val="00380F31"/>
    <w:rsid w:val="00382BA7"/>
    <w:rsid w:val="0038453E"/>
    <w:rsid w:val="003915EF"/>
    <w:rsid w:val="00391628"/>
    <w:rsid w:val="003917CE"/>
    <w:rsid w:val="00396A4C"/>
    <w:rsid w:val="00396DAB"/>
    <w:rsid w:val="003A123D"/>
    <w:rsid w:val="003A37CD"/>
    <w:rsid w:val="003B45C7"/>
    <w:rsid w:val="003B5229"/>
    <w:rsid w:val="003B5F6A"/>
    <w:rsid w:val="003C2053"/>
    <w:rsid w:val="003C390B"/>
    <w:rsid w:val="003C697F"/>
    <w:rsid w:val="003D094C"/>
    <w:rsid w:val="003D1AF8"/>
    <w:rsid w:val="003D261D"/>
    <w:rsid w:val="003D3032"/>
    <w:rsid w:val="003D601B"/>
    <w:rsid w:val="003D6CD6"/>
    <w:rsid w:val="003E34EC"/>
    <w:rsid w:val="003E4021"/>
    <w:rsid w:val="003E42EF"/>
    <w:rsid w:val="003E4477"/>
    <w:rsid w:val="003E71CD"/>
    <w:rsid w:val="003F2295"/>
    <w:rsid w:val="003F35A2"/>
    <w:rsid w:val="003F4C3F"/>
    <w:rsid w:val="003F7E96"/>
    <w:rsid w:val="00400F19"/>
    <w:rsid w:val="00401815"/>
    <w:rsid w:val="004022C8"/>
    <w:rsid w:val="00403C43"/>
    <w:rsid w:val="00403ECD"/>
    <w:rsid w:val="004046B7"/>
    <w:rsid w:val="00406788"/>
    <w:rsid w:val="00411726"/>
    <w:rsid w:val="00413004"/>
    <w:rsid w:val="00413B79"/>
    <w:rsid w:val="00413E47"/>
    <w:rsid w:val="00416524"/>
    <w:rsid w:val="004168E6"/>
    <w:rsid w:val="00416B5E"/>
    <w:rsid w:val="00416D9E"/>
    <w:rsid w:val="00420E0D"/>
    <w:rsid w:val="0042100D"/>
    <w:rsid w:val="00421192"/>
    <w:rsid w:val="00422BC7"/>
    <w:rsid w:val="0042559C"/>
    <w:rsid w:val="00425D99"/>
    <w:rsid w:val="00427581"/>
    <w:rsid w:val="00430BEA"/>
    <w:rsid w:val="00432981"/>
    <w:rsid w:val="00433751"/>
    <w:rsid w:val="00434A87"/>
    <w:rsid w:val="00446B16"/>
    <w:rsid w:val="0045200E"/>
    <w:rsid w:val="0045280C"/>
    <w:rsid w:val="00457B77"/>
    <w:rsid w:val="004613D5"/>
    <w:rsid w:val="00463D75"/>
    <w:rsid w:val="00466E17"/>
    <w:rsid w:val="0047348A"/>
    <w:rsid w:val="00480823"/>
    <w:rsid w:val="004832CB"/>
    <w:rsid w:val="00486F53"/>
    <w:rsid w:val="00491C1A"/>
    <w:rsid w:val="00494F75"/>
    <w:rsid w:val="00496D33"/>
    <w:rsid w:val="00497738"/>
    <w:rsid w:val="004A09AB"/>
    <w:rsid w:val="004A386A"/>
    <w:rsid w:val="004A44AC"/>
    <w:rsid w:val="004B17F0"/>
    <w:rsid w:val="004B3F34"/>
    <w:rsid w:val="004B4C13"/>
    <w:rsid w:val="004B4D78"/>
    <w:rsid w:val="004B6D2C"/>
    <w:rsid w:val="004C0FB2"/>
    <w:rsid w:val="004C2BD9"/>
    <w:rsid w:val="004D312F"/>
    <w:rsid w:val="004D363A"/>
    <w:rsid w:val="004D74FC"/>
    <w:rsid w:val="004D7969"/>
    <w:rsid w:val="004E2620"/>
    <w:rsid w:val="004E3358"/>
    <w:rsid w:val="004E3B30"/>
    <w:rsid w:val="004E5C0B"/>
    <w:rsid w:val="004E776B"/>
    <w:rsid w:val="004F0B8D"/>
    <w:rsid w:val="004F392C"/>
    <w:rsid w:val="004F3AB0"/>
    <w:rsid w:val="004F4193"/>
    <w:rsid w:val="004F4F75"/>
    <w:rsid w:val="004F6B16"/>
    <w:rsid w:val="00501509"/>
    <w:rsid w:val="0050175C"/>
    <w:rsid w:val="00504B28"/>
    <w:rsid w:val="00505FD7"/>
    <w:rsid w:val="005074DF"/>
    <w:rsid w:val="005103DB"/>
    <w:rsid w:val="00513E92"/>
    <w:rsid w:val="0051424B"/>
    <w:rsid w:val="0051597C"/>
    <w:rsid w:val="00522FD3"/>
    <w:rsid w:val="005230D1"/>
    <w:rsid w:val="0052334A"/>
    <w:rsid w:val="00524B7E"/>
    <w:rsid w:val="0052576A"/>
    <w:rsid w:val="00525A0D"/>
    <w:rsid w:val="00526661"/>
    <w:rsid w:val="005269CC"/>
    <w:rsid w:val="0053036D"/>
    <w:rsid w:val="0053041C"/>
    <w:rsid w:val="00530B81"/>
    <w:rsid w:val="00532D30"/>
    <w:rsid w:val="0053497C"/>
    <w:rsid w:val="00535750"/>
    <w:rsid w:val="0053713E"/>
    <w:rsid w:val="00537706"/>
    <w:rsid w:val="00541AD9"/>
    <w:rsid w:val="00542B52"/>
    <w:rsid w:val="00545C42"/>
    <w:rsid w:val="005463A9"/>
    <w:rsid w:val="005500D9"/>
    <w:rsid w:val="0055104F"/>
    <w:rsid w:val="00553EC0"/>
    <w:rsid w:val="005553D7"/>
    <w:rsid w:val="005566F3"/>
    <w:rsid w:val="00567AD6"/>
    <w:rsid w:val="00571117"/>
    <w:rsid w:val="00572143"/>
    <w:rsid w:val="00573E0A"/>
    <w:rsid w:val="005746D4"/>
    <w:rsid w:val="00574C82"/>
    <w:rsid w:val="005768F8"/>
    <w:rsid w:val="0058009E"/>
    <w:rsid w:val="005807AA"/>
    <w:rsid w:val="00580C9B"/>
    <w:rsid w:val="0058413A"/>
    <w:rsid w:val="00584989"/>
    <w:rsid w:val="00585E09"/>
    <w:rsid w:val="00586F51"/>
    <w:rsid w:val="00590304"/>
    <w:rsid w:val="00591C1F"/>
    <w:rsid w:val="005933F1"/>
    <w:rsid w:val="005A004B"/>
    <w:rsid w:val="005A585A"/>
    <w:rsid w:val="005A72A0"/>
    <w:rsid w:val="005B0634"/>
    <w:rsid w:val="005B3716"/>
    <w:rsid w:val="005B531E"/>
    <w:rsid w:val="005B691D"/>
    <w:rsid w:val="005B7762"/>
    <w:rsid w:val="005B7AED"/>
    <w:rsid w:val="005C37C0"/>
    <w:rsid w:val="005C45B0"/>
    <w:rsid w:val="005C48E0"/>
    <w:rsid w:val="005C4C7C"/>
    <w:rsid w:val="005C557E"/>
    <w:rsid w:val="005C6A2E"/>
    <w:rsid w:val="005D276F"/>
    <w:rsid w:val="005D2F38"/>
    <w:rsid w:val="005D462F"/>
    <w:rsid w:val="005D4D00"/>
    <w:rsid w:val="005D777E"/>
    <w:rsid w:val="005E1F2E"/>
    <w:rsid w:val="005E2B67"/>
    <w:rsid w:val="005E3E66"/>
    <w:rsid w:val="005F03F8"/>
    <w:rsid w:val="005F50F0"/>
    <w:rsid w:val="005F537C"/>
    <w:rsid w:val="00600226"/>
    <w:rsid w:val="00604678"/>
    <w:rsid w:val="00613818"/>
    <w:rsid w:val="0061573F"/>
    <w:rsid w:val="0061686C"/>
    <w:rsid w:val="00616E36"/>
    <w:rsid w:val="006174BC"/>
    <w:rsid w:val="00620034"/>
    <w:rsid w:val="0062175A"/>
    <w:rsid w:val="00627E08"/>
    <w:rsid w:val="00630AB8"/>
    <w:rsid w:val="00634195"/>
    <w:rsid w:val="0064447D"/>
    <w:rsid w:val="0064616C"/>
    <w:rsid w:val="00647CC5"/>
    <w:rsid w:val="00647E1C"/>
    <w:rsid w:val="00650F71"/>
    <w:rsid w:val="006523C3"/>
    <w:rsid w:val="006543B8"/>
    <w:rsid w:val="006756AD"/>
    <w:rsid w:val="00675E62"/>
    <w:rsid w:val="00675FB7"/>
    <w:rsid w:val="00690BFE"/>
    <w:rsid w:val="00691A79"/>
    <w:rsid w:val="00692633"/>
    <w:rsid w:val="006A2824"/>
    <w:rsid w:val="006B15FE"/>
    <w:rsid w:val="006B47AF"/>
    <w:rsid w:val="006B7220"/>
    <w:rsid w:val="006B7C1E"/>
    <w:rsid w:val="006C1531"/>
    <w:rsid w:val="006C551F"/>
    <w:rsid w:val="006C5867"/>
    <w:rsid w:val="006C70B9"/>
    <w:rsid w:val="006C7C36"/>
    <w:rsid w:val="006D2023"/>
    <w:rsid w:val="006D58D3"/>
    <w:rsid w:val="006D6825"/>
    <w:rsid w:val="006D6D4F"/>
    <w:rsid w:val="006E5684"/>
    <w:rsid w:val="006E6F4F"/>
    <w:rsid w:val="006E7F5D"/>
    <w:rsid w:val="006F5191"/>
    <w:rsid w:val="007042FE"/>
    <w:rsid w:val="00704417"/>
    <w:rsid w:val="00706A22"/>
    <w:rsid w:val="0070799C"/>
    <w:rsid w:val="00707B0D"/>
    <w:rsid w:val="00712716"/>
    <w:rsid w:val="0071283C"/>
    <w:rsid w:val="00716C84"/>
    <w:rsid w:val="00720B08"/>
    <w:rsid w:val="007213FA"/>
    <w:rsid w:val="00721C98"/>
    <w:rsid w:val="0072224E"/>
    <w:rsid w:val="00722C9D"/>
    <w:rsid w:val="00730C13"/>
    <w:rsid w:val="00733C18"/>
    <w:rsid w:val="00733E95"/>
    <w:rsid w:val="007340FF"/>
    <w:rsid w:val="0073411F"/>
    <w:rsid w:val="0074373F"/>
    <w:rsid w:val="00743F5E"/>
    <w:rsid w:val="007446A8"/>
    <w:rsid w:val="0074614B"/>
    <w:rsid w:val="007478C6"/>
    <w:rsid w:val="00751B65"/>
    <w:rsid w:val="00753625"/>
    <w:rsid w:val="007539D8"/>
    <w:rsid w:val="00754751"/>
    <w:rsid w:val="0076056C"/>
    <w:rsid w:val="00761D61"/>
    <w:rsid w:val="00761F5C"/>
    <w:rsid w:val="007624A1"/>
    <w:rsid w:val="00766FE2"/>
    <w:rsid w:val="00771931"/>
    <w:rsid w:val="007751F5"/>
    <w:rsid w:val="00775921"/>
    <w:rsid w:val="0077725A"/>
    <w:rsid w:val="007819FB"/>
    <w:rsid w:val="0078528A"/>
    <w:rsid w:val="007858BD"/>
    <w:rsid w:val="00786F90"/>
    <w:rsid w:val="0078722B"/>
    <w:rsid w:val="007872EB"/>
    <w:rsid w:val="007913DA"/>
    <w:rsid w:val="00791D0A"/>
    <w:rsid w:val="00793AAC"/>
    <w:rsid w:val="007972EF"/>
    <w:rsid w:val="0079749E"/>
    <w:rsid w:val="007A2310"/>
    <w:rsid w:val="007A321C"/>
    <w:rsid w:val="007A4235"/>
    <w:rsid w:val="007A5134"/>
    <w:rsid w:val="007A5A44"/>
    <w:rsid w:val="007A61FA"/>
    <w:rsid w:val="007B0AFF"/>
    <w:rsid w:val="007B0D22"/>
    <w:rsid w:val="007B6B7A"/>
    <w:rsid w:val="007C2FBF"/>
    <w:rsid w:val="007C42B6"/>
    <w:rsid w:val="007C545F"/>
    <w:rsid w:val="007C574B"/>
    <w:rsid w:val="007C6317"/>
    <w:rsid w:val="007D34FD"/>
    <w:rsid w:val="007D4F65"/>
    <w:rsid w:val="007D6BE0"/>
    <w:rsid w:val="007D6EC1"/>
    <w:rsid w:val="007D7013"/>
    <w:rsid w:val="007E0A3D"/>
    <w:rsid w:val="007E355D"/>
    <w:rsid w:val="007E44F0"/>
    <w:rsid w:val="007F0365"/>
    <w:rsid w:val="007F2F86"/>
    <w:rsid w:val="007F5940"/>
    <w:rsid w:val="00800F8C"/>
    <w:rsid w:val="0080274C"/>
    <w:rsid w:val="00803482"/>
    <w:rsid w:val="00804315"/>
    <w:rsid w:val="00804A9C"/>
    <w:rsid w:val="008077E1"/>
    <w:rsid w:val="008078C3"/>
    <w:rsid w:val="008120EC"/>
    <w:rsid w:val="008135D2"/>
    <w:rsid w:val="0081452A"/>
    <w:rsid w:val="00816EFF"/>
    <w:rsid w:val="008172AB"/>
    <w:rsid w:val="00821A4B"/>
    <w:rsid w:val="00822059"/>
    <w:rsid w:val="00822DB0"/>
    <w:rsid w:val="00825119"/>
    <w:rsid w:val="00833DD2"/>
    <w:rsid w:val="00834ABF"/>
    <w:rsid w:val="0083626B"/>
    <w:rsid w:val="00841A74"/>
    <w:rsid w:val="00842D35"/>
    <w:rsid w:val="00843804"/>
    <w:rsid w:val="00844045"/>
    <w:rsid w:val="00844785"/>
    <w:rsid w:val="00846C96"/>
    <w:rsid w:val="0084769C"/>
    <w:rsid w:val="008523D7"/>
    <w:rsid w:val="00852519"/>
    <w:rsid w:val="00855572"/>
    <w:rsid w:val="00855DBE"/>
    <w:rsid w:val="00856F2F"/>
    <w:rsid w:val="00861CFF"/>
    <w:rsid w:val="00862968"/>
    <w:rsid w:val="0086555E"/>
    <w:rsid w:val="00870F52"/>
    <w:rsid w:val="00873D6F"/>
    <w:rsid w:val="00873FF8"/>
    <w:rsid w:val="0087766B"/>
    <w:rsid w:val="00877BDD"/>
    <w:rsid w:val="00880EC2"/>
    <w:rsid w:val="0088517E"/>
    <w:rsid w:val="0089216B"/>
    <w:rsid w:val="00893D79"/>
    <w:rsid w:val="0089609A"/>
    <w:rsid w:val="008A132C"/>
    <w:rsid w:val="008A1485"/>
    <w:rsid w:val="008A2397"/>
    <w:rsid w:val="008A2724"/>
    <w:rsid w:val="008A5855"/>
    <w:rsid w:val="008A790D"/>
    <w:rsid w:val="008B63D0"/>
    <w:rsid w:val="008B6FF6"/>
    <w:rsid w:val="008C32E9"/>
    <w:rsid w:val="008C3419"/>
    <w:rsid w:val="008D1B3D"/>
    <w:rsid w:val="008D1D2D"/>
    <w:rsid w:val="008E47C3"/>
    <w:rsid w:val="008E630B"/>
    <w:rsid w:val="008E7124"/>
    <w:rsid w:val="008E74B9"/>
    <w:rsid w:val="008F17B7"/>
    <w:rsid w:val="008F43DE"/>
    <w:rsid w:val="008F5726"/>
    <w:rsid w:val="008F67D5"/>
    <w:rsid w:val="00900540"/>
    <w:rsid w:val="00902C0E"/>
    <w:rsid w:val="0091071D"/>
    <w:rsid w:val="009117B4"/>
    <w:rsid w:val="00915F8C"/>
    <w:rsid w:val="00916E27"/>
    <w:rsid w:val="00917E43"/>
    <w:rsid w:val="00917FE7"/>
    <w:rsid w:val="00924F07"/>
    <w:rsid w:val="0092583A"/>
    <w:rsid w:val="0092608E"/>
    <w:rsid w:val="00927FEC"/>
    <w:rsid w:val="00933618"/>
    <w:rsid w:val="00934DAD"/>
    <w:rsid w:val="00934EE7"/>
    <w:rsid w:val="00937B4A"/>
    <w:rsid w:val="00947A5E"/>
    <w:rsid w:val="00950523"/>
    <w:rsid w:val="00950A25"/>
    <w:rsid w:val="00953769"/>
    <w:rsid w:val="00955247"/>
    <w:rsid w:val="00960345"/>
    <w:rsid w:val="00961B85"/>
    <w:rsid w:val="00962B59"/>
    <w:rsid w:val="00974B84"/>
    <w:rsid w:val="009774BA"/>
    <w:rsid w:val="009815E4"/>
    <w:rsid w:val="00981A44"/>
    <w:rsid w:val="00981DE6"/>
    <w:rsid w:val="00991F18"/>
    <w:rsid w:val="009938E4"/>
    <w:rsid w:val="00993F83"/>
    <w:rsid w:val="00994CF2"/>
    <w:rsid w:val="0099574D"/>
    <w:rsid w:val="009963E2"/>
    <w:rsid w:val="009975C7"/>
    <w:rsid w:val="009A0521"/>
    <w:rsid w:val="009A230F"/>
    <w:rsid w:val="009A323C"/>
    <w:rsid w:val="009A4798"/>
    <w:rsid w:val="009B2F9F"/>
    <w:rsid w:val="009B501C"/>
    <w:rsid w:val="009B57E9"/>
    <w:rsid w:val="009B6077"/>
    <w:rsid w:val="009B6DC7"/>
    <w:rsid w:val="009C3397"/>
    <w:rsid w:val="009C45BB"/>
    <w:rsid w:val="009C7DD1"/>
    <w:rsid w:val="009D1AB8"/>
    <w:rsid w:val="009D1F25"/>
    <w:rsid w:val="009E322F"/>
    <w:rsid w:val="009E4644"/>
    <w:rsid w:val="009E5CD3"/>
    <w:rsid w:val="009E5E8E"/>
    <w:rsid w:val="009E796F"/>
    <w:rsid w:val="009E7A82"/>
    <w:rsid w:val="009F005C"/>
    <w:rsid w:val="009F01FA"/>
    <w:rsid w:val="009F131A"/>
    <w:rsid w:val="009F166E"/>
    <w:rsid w:val="009F24BE"/>
    <w:rsid w:val="009F37FB"/>
    <w:rsid w:val="009F660F"/>
    <w:rsid w:val="009F757E"/>
    <w:rsid w:val="00A000C2"/>
    <w:rsid w:val="00A02C7C"/>
    <w:rsid w:val="00A04095"/>
    <w:rsid w:val="00A052BA"/>
    <w:rsid w:val="00A07F3B"/>
    <w:rsid w:val="00A10A4F"/>
    <w:rsid w:val="00A124C4"/>
    <w:rsid w:val="00A218F6"/>
    <w:rsid w:val="00A23F57"/>
    <w:rsid w:val="00A24154"/>
    <w:rsid w:val="00A25EE4"/>
    <w:rsid w:val="00A3087D"/>
    <w:rsid w:val="00A330C3"/>
    <w:rsid w:val="00A41C29"/>
    <w:rsid w:val="00A42FF7"/>
    <w:rsid w:val="00A44C09"/>
    <w:rsid w:val="00A46253"/>
    <w:rsid w:val="00A52A31"/>
    <w:rsid w:val="00A52BDC"/>
    <w:rsid w:val="00A53C51"/>
    <w:rsid w:val="00A53CE8"/>
    <w:rsid w:val="00A55CBD"/>
    <w:rsid w:val="00A60726"/>
    <w:rsid w:val="00A649CA"/>
    <w:rsid w:val="00A64A92"/>
    <w:rsid w:val="00A66FC0"/>
    <w:rsid w:val="00A744AD"/>
    <w:rsid w:val="00A74A81"/>
    <w:rsid w:val="00A75F0B"/>
    <w:rsid w:val="00A779B8"/>
    <w:rsid w:val="00A824B9"/>
    <w:rsid w:val="00A828B0"/>
    <w:rsid w:val="00A84100"/>
    <w:rsid w:val="00A84F64"/>
    <w:rsid w:val="00A86E34"/>
    <w:rsid w:val="00A90B49"/>
    <w:rsid w:val="00A9319E"/>
    <w:rsid w:val="00A93B38"/>
    <w:rsid w:val="00A94128"/>
    <w:rsid w:val="00A96359"/>
    <w:rsid w:val="00A9697B"/>
    <w:rsid w:val="00AA06A8"/>
    <w:rsid w:val="00AA1D14"/>
    <w:rsid w:val="00AA2840"/>
    <w:rsid w:val="00AA6A27"/>
    <w:rsid w:val="00AB0F59"/>
    <w:rsid w:val="00AB1BA2"/>
    <w:rsid w:val="00AB2999"/>
    <w:rsid w:val="00AB2BEE"/>
    <w:rsid w:val="00AB3279"/>
    <w:rsid w:val="00AB33F0"/>
    <w:rsid w:val="00AB3959"/>
    <w:rsid w:val="00AB6868"/>
    <w:rsid w:val="00AB7BC6"/>
    <w:rsid w:val="00AC03AC"/>
    <w:rsid w:val="00AC115A"/>
    <w:rsid w:val="00AC11EA"/>
    <w:rsid w:val="00AC534B"/>
    <w:rsid w:val="00AC5877"/>
    <w:rsid w:val="00AD1E24"/>
    <w:rsid w:val="00AD217B"/>
    <w:rsid w:val="00AD532B"/>
    <w:rsid w:val="00AD6894"/>
    <w:rsid w:val="00AE1D19"/>
    <w:rsid w:val="00AE2875"/>
    <w:rsid w:val="00AE544F"/>
    <w:rsid w:val="00AF249F"/>
    <w:rsid w:val="00AF4BDC"/>
    <w:rsid w:val="00AF5230"/>
    <w:rsid w:val="00AF6955"/>
    <w:rsid w:val="00AF7006"/>
    <w:rsid w:val="00B066A5"/>
    <w:rsid w:val="00B10447"/>
    <w:rsid w:val="00B104EA"/>
    <w:rsid w:val="00B1141E"/>
    <w:rsid w:val="00B13A4B"/>
    <w:rsid w:val="00B21EF4"/>
    <w:rsid w:val="00B226EC"/>
    <w:rsid w:val="00B2426A"/>
    <w:rsid w:val="00B2434A"/>
    <w:rsid w:val="00B24AB3"/>
    <w:rsid w:val="00B30E79"/>
    <w:rsid w:val="00B33A5E"/>
    <w:rsid w:val="00B34155"/>
    <w:rsid w:val="00B37673"/>
    <w:rsid w:val="00B4323E"/>
    <w:rsid w:val="00B43B16"/>
    <w:rsid w:val="00B43DF2"/>
    <w:rsid w:val="00B443DF"/>
    <w:rsid w:val="00B453E2"/>
    <w:rsid w:val="00B46F63"/>
    <w:rsid w:val="00B47276"/>
    <w:rsid w:val="00B502D7"/>
    <w:rsid w:val="00B51218"/>
    <w:rsid w:val="00B53DD2"/>
    <w:rsid w:val="00B558A7"/>
    <w:rsid w:val="00B61512"/>
    <w:rsid w:val="00B6174B"/>
    <w:rsid w:val="00B6377E"/>
    <w:rsid w:val="00B64058"/>
    <w:rsid w:val="00B6556E"/>
    <w:rsid w:val="00B66482"/>
    <w:rsid w:val="00B67B2C"/>
    <w:rsid w:val="00B70315"/>
    <w:rsid w:val="00B71406"/>
    <w:rsid w:val="00B74119"/>
    <w:rsid w:val="00B804FB"/>
    <w:rsid w:val="00B82C02"/>
    <w:rsid w:val="00B843AF"/>
    <w:rsid w:val="00B85982"/>
    <w:rsid w:val="00B924EE"/>
    <w:rsid w:val="00B92CEA"/>
    <w:rsid w:val="00B9367E"/>
    <w:rsid w:val="00B93BCD"/>
    <w:rsid w:val="00B9412F"/>
    <w:rsid w:val="00B947AF"/>
    <w:rsid w:val="00B95780"/>
    <w:rsid w:val="00B97774"/>
    <w:rsid w:val="00BA3637"/>
    <w:rsid w:val="00BA4886"/>
    <w:rsid w:val="00BA730A"/>
    <w:rsid w:val="00BB15A6"/>
    <w:rsid w:val="00BB1CED"/>
    <w:rsid w:val="00BB5207"/>
    <w:rsid w:val="00BB5A03"/>
    <w:rsid w:val="00BC338F"/>
    <w:rsid w:val="00BC4D4D"/>
    <w:rsid w:val="00BD53E9"/>
    <w:rsid w:val="00BD647D"/>
    <w:rsid w:val="00BD6CBF"/>
    <w:rsid w:val="00BE4673"/>
    <w:rsid w:val="00BE5029"/>
    <w:rsid w:val="00BE7EE2"/>
    <w:rsid w:val="00BF1A01"/>
    <w:rsid w:val="00BF1D1F"/>
    <w:rsid w:val="00BF6E05"/>
    <w:rsid w:val="00C003CF"/>
    <w:rsid w:val="00C00DE1"/>
    <w:rsid w:val="00C0188F"/>
    <w:rsid w:val="00C11D04"/>
    <w:rsid w:val="00C126F0"/>
    <w:rsid w:val="00C133ED"/>
    <w:rsid w:val="00C13C62"/>
    <w:rsid w:val="00C200CB"/>
    <w:rsid w:val="00C24638"/>
    <w:rsid w:val="00C24C69"/>
    <w:rsid w:val="00C25E92"/>
    <w:rsid w:val="00C303DD"/>
    <w:rsid w:val="00C3270E"/>
    <w:rsid w:val="00C34154"/>
    <w:rsid w:val="00C35804"/>
    <w:rsid w:val="00C36572"/>
    <w:rsid w:val="00C4022A"/>
    <w:rsid w:val="00C40CCA"/>
    <w:rsid w:val="00C41B93"/>
    <w:rsid w:val="00C44702"/>
    <w:rsid w:val="00C451B3"/>
    <w:rsid w:val="00C541DC"/>
    <w:rsid w:val="00C56CAE"/>
    <w:rsid w:val="00C606A3"/>
    <w:rsid w:val="00C6393F"/>
    <w:rsid w:val="00C718B1"/>
    <w:rsid w:val="00C72863"/>
    <w:rsid w:val="00C74A8D"/>
    <w:rsid w:val="00C77B43"/>
    <w:rsid w:val="00C8056C"/>
    <w:rsid w:val="00C80791"/>
    <w:rsid w:val="00C81E3E"/>
    <w:rsid w:val="00C82F06"/>
    <w:rsid w:val="00C8398D"/>
    <w:rsid w:val="00C8513B"/>
    <w:rsid w:val="00C853A4"/>
    <w:rsid w:val="00C86092"/>
    <w:rsid w:val="00C86630"/>
    <w:rsid w:val="00C90A41"/>
    <w:rsid w:val="00C932C3"/>
    <w:rsid w:val="00C93C54"/>
    <w:rsid w:val="00CA02E9"/>
    <w:rsid w:val="00CA1BBC"/>
    <w:rsid w:val="00CA4608"/>
    <w:rsid w:val="00CA569D"/>
    <w:rsid w:val="00CA5AFA"/>
    <w:rsid w:val="00CA5D2D"/>
    <w:rsid w:val="00CA60CA"/>
    <w:rsid w:val="00CA61E0"/>
    <w:rsid w:val="00CB0662"/>
    <w:rsid w:val="00CB3009"/>
    <w:rsid w:val="00CB4DD3"/>
    <w:rsid w:val="00CC0BFE"/>
    <w:rsid w:val="00CC3B7C"/>
    <w:rsid w:val="00CC48E5"/>
    <w:rsid w:val="00CC60AA"/>
    <w:rsid w:val="00CD2414"/>
    <w:rsid w:val="00CD2730"/>
    <w:rsid w:val="00CE05E0"/>
    <w:rsid w:val="00CE636A"/>
    <w:rsid w:val="00CF2D09"/>
    <w:rsid w:val="00CF7C9B"/>
    <w:rsid w:val="00D00EE5"/>
    <w:rsid w:val="00D019E5"/>
    <w:rsid w:val="00D0315F"/>
    <w:rsid w:val="00D04D80"/>
    <w:rsid w:val="00D05158"/>
    <w:rsid w:val="00D10957"/>
    <w:rsid w:val="00D1108F"/>
    <w:rsid w:val="00D11B3D"/>
    <w:rsid w:val="00D11FF8"/>
    <w:rsid w:val="00D128A5"/>
    <w:rsid w:val="00D137E0"/>
    <w:rsid w:val="00D13ACC"/>
    <w:rsid w:val="00D154B0"/>
    <w:rsid w:val="00D23A40"/>
    <w:rsid w:val="00D23F22"/>
    <w:rsid w:val="00D30A38"/>
    <w:rsid w:val="00D330DF"/>
    <w:rsid w:val="00D3338E"/>
    <w:rsid w:val="00D3513F"/>
    <w:rsid w:val="00D40D57"/>
    <w:rsid w:val="00D4184A"/>
    <w:rsid w:val="00D419FB"/>
    <w:rsid w:val="00D41A24"/>
    <w:rsid w:val="00D44FB2"/>
    <w:rsid w:val="00D45320"/>
    <w:rsid w:val="00D453C4"/>
    <w:rsid w:val="00D45C91"/>
    <w:rsid w:val="00D46320"/>
    <w:rsid w:val="00D4676F"/>
    <w:rsid w:val="00D519E0"/>
    <w:rsid w:val="00D53040"/>
    <w:rsid w:val="00D54EC4"/>
    <w:rsid w:val="00D55332"/>
    <w:rsid w:val="00D5739F"/>
    <w:rsid w:val="00D63025"/>
    <w:rsid w:val="00D65B2E"/>
    <w:rsid w:val="00D66865"/>
    <w:rsid w:val="00D7273E"/>
    <w:rsid w:val="00D74B05"/>
    <w:rsid w:val="00D7686B"/>
    <w:rsid w:val="00D82328"/>
    <w:rsid w:val="00D8399A"/>
    <w:rsid w:val="00D850BE"/>
    <w:rsid w:val="00D85CAA"/>
    <w:rsid w:val="00D87F06"/>
    <w:rsid w:val="00D91AE9"/>
    <w:rsid w:val="00D951D3"/>
    <w:rsid w:val="00D95D31"/>
    <w:rsid w:val="00D962D1"/>
    <w:rsid w:val="00DA15EA"/>
    <w:rsid w:val="00DA4A8D"/>
    <w:rsid w:val="00DA60FA"/>
    <w:rsid w:val="00DB112B"/>
    <w:rsid w:val="00DB3057"/>
    <w:rsid w:val="00DB6708"/>
    <w:rsid w:val="00DC09C2"/>
    <w:rsid w:val="00DC0F78"/>
    <w:rsid w:val="00DD36F9"/>
    <w:rsid w:val="00DD4350"/>
    <w:rsid w:val="00DD6140"/>
    <w:rsid w:val="00DD7EC9"/>
    <w:rsid w:val="00DE2A0C"/>
    <w:rsid w:val="00DE3CC6"/>
    <w:rsid w:val="00DE4D4D"/>
    <w:rsid w:val="00DE6E4B"/>
    <w:rsid w:val="00DE6F86"/>
    <w:rsid w:val="00DF1A07"/>
    <w:rsid w:val="00DF1E45"/>
    <w:rsid w:val="00DF2C48"/>
    <w:rsid w:val="00DF42B6"/>
    <w:rsid w:val="00DF4DE4"/>
    <w:rsid w:val="00DF5816"/>
    <w:rsid w:val="00DF628B"/>
    <w:rsid w:val="00E01204"/>
    <w:rsid w:val="00E012F2"/>
    <w:rsid w:val="00E02D3C"/>
    <w:rsid w:val="00E03032"/>
    <w:rsid w:val="00E03995"/>
    <w:rsid w:val="00E04526"/>
    <w:rsid w:val="00E06AD5"/>
    <w:rsid w:val="00E11F34"/>
    <w:rsid w:val="00E13960"/>
    <w:rsid w:val="00E20C03"/>
    <w:rsid w:val="00E228B7"/>
    <w:rsid w:val="00E24FAB"/>
    <w:rsid w:val="00E33F59"/>
    <w:rsid w:val="00E34008"/>
    <w:rsid w:val="00E346AC"/>
    <w:rsid w:val="00E349FD"/>
    <w:rsid w:val="00E439C4"/>
    <w:rsid w:val="00E43DD7"/>
    <w:rsid w:val="00E520D9"/>
    <w:rsid w:val="00E55FBD"/>
    <w:rsid w:val="00E61D84"/>
    <w:rsid w:val="00E63D27"/>
    <w:rsid w:val="00E6441C"/>
    <w:rsid w:val="00E65997"/>
    <w:rsid w:val="00E73CF7"/>
    <w:rsid w:val="00E7450E"/>
    <w:rsid w:val="00E74F68"/>
    <w:rsid w:val="00E7675C"/>
    <w:rsid w:val="00E81A9B"/>
    <w:rsid w:val="00E81BAE"/>
    <w:rsid w:val="00E84897"/>
    <w:rsid w:val="00E84B3D"/>
    <w:rsid w:val="00E85301"/>
    <w:rsid w:val="00E9091A"/>
    <w:rsid w:val="00E94037"/>
    <w:rsid w:val="00E9498A"/>
    <w:rsid w:val="00E9520A"/>
    <w:rsid w:val="00E9659C"/>
    <w:rsid w:val="00EA1B1F"/>
    <w:rsid w:val="00EA44E5"/>
    <w:rsid w:val="00EA7747"/>
    <w:rsid w:val="00EB26B0"/>
    <w:rsid w:val="00EB281F"/>
    <w:rsid w:val="00EB4008"/>
    <w:rsid w:val="00EB5783"/>
    <w:rsid w:val="00EB78A3"/>
    <w:rsid w:val="00EC049D"/>
    <w:rsid w:val="00EC07E8"/>
    <w:rsid w:val="00EC08AF"/>
    <w:rsid w:val="00EC27F2"/>
    <w:rsid w:val="00EC540B"/>
    <w:rsid w:val="00EC7F8B"/>
    <w:rsid w:val="00ED0925"/>
    <w:rsid w:val="00ED28F4"/>
    <w:rsid w:val="00ED3A28"/>
    <w:rsid w:val="00ED500D"/>
    <w:rsid w:val="00EE1820"/>
    <w:rsid w:val="00EE2966"/>
    <w:rsid w:val="00EE7E85"/>
    <w:rsid w:val="00EF1163"/>
    <w:rsid w:val="00EF33DD"/>
    <w:rsid w:val="00EF7275"/>
    <w:rsid w:val="00EF73D8"/>
    <w:rsid w:val="00EF79BA"/>
    <w:rsid w:val="00F01B26"/>
    <w:rsid w:val="00F02808"/>
    <w:rsid w:val="00F02D5A"/>
    <w:rsid w:val="00F03D78"/>
    <w:rsid w:val="00F04825"/>
    <w:rsid w:val="00F05711"/>
    <w:rsid w:val="00F06D30"/>
    <w:rsid w:val="00F079BA"/>
    <w:rsid w:val="00F11475"/>
    <w:rsid w:val="00F12D13"/>
    <w:rsid w:val="00F143AC"/>
    <w:rsid w:val="00F171C6"/>
    <w:rsid w:val="00F211BE"/>
    <w:rsid w:val="00F24D4A"/>
    <w:rsid w:val="00F2561E"/>
    <w:rsid w:val="00F2700F"/>
    <w:rsid w:val="00F27D67"/>
    <w:rsid w:val="00F30349"/>
    <w:rsid w:val="00F305EC"/>
    <w:rsid w:val="00F3074D"/>
    <w:rsid w:val="00F3172E"/>
    <w:rsid w:val="00F33ADD"/>
    <w:rsid w:val="00F34431"/>
    <w:rsid w:val="00F35D2D"/>
    <w:rsid w:val="00F44AC7"/>
    <w:rsid w:val="00F4556A"/>
    <w:rsid w:val="00F5233F"/>
    <w:rsid w:val="00F52FBF"/>
    <w:rsid w:val="00F54483"/>
    <w:rsid w:val="00F54EDA"/>
    <w:rsid w:val="00F60362"/>
    <w:rsid w:val="00F61FE8"/>
    <w:rsid w:val="00F6609E"/>
    <w:rsid w:val="00F6777A"/>
    <w:rsid w:val="00F7368F"/>
    <w:rsid w:val="00F742AE"/>
    <w:rsid w:val="00F76704"/>
    <w:rsid w:val="00F82F09"/>
    <w:rsid w:val="00F8320A"/>
    <w:rsid w:val="00F84C61"/>
    <w:rsid w:val="00F8520A"/>
    <w:rsid w:val="00F87425"/>
    <w:rsid w:val="00F87BE1"/>
    <w:rsid w:val="00F87FD4"/>
    <w:rsid w:val="00F90BDF"/>
    <w:rsid w:val="00F919C5"/>
    <w:rsid w:val="00F927B9"/>
    <w:rsid w:val="00F928DC"/>
    <w:rsid w:val="00F92BC7"/>
    <w:rsid w:val="00F9473A"/>
    <w:rsid w:val="00F94A95"/>
    <w:rsid w:val="00F96935"/>
    <w:rsid w:val="00FA0672"/>
    <w:rsid w:val="00FA3C47"/>
    <w:rsid w:val="00FA724E"/>
    <w:rsid w:val="00FB167C"/>
    <w:rsid w:val="00FB37E8"/>
    <w:rsid w:val="00FB5401"/>
    <w:rsid w:val="00FB614E"/>
    <w:rsid w:val="00FB7025"/>
    <w:rsid w:val="00FC3780"/>
    <w:rsid w:val="00FE087E"/>
    <w:rsid w:val="00FE6536"/>
    <w:rsid w:val="00FE7CEC"/>
    <w:rsid w:val="00FE7D7A"/>
    <w:rsid w:val="19F5E3EC"/>
    <w:rsid w:val="3FF5978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3"/>
    <w:semiHidden/>
    <w:unhideWhenUsed/>
    <w:qFormat/>
    <w:uiPriority w:val="99"/>
    <w:pPr>
      <w:jc w:val="left"/>
    </w:pPr>
  </w:style>
  <w:style w:type="paragraph" w:styleId="3">
    <w:name w:val="Balloon Text"/>
    <w:basedOn w:val="1"/>
    <w:link w:val="15"/>
    <w:semiHidden/>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4"/>
    <w:semiHidden/>
    <w:unhideWhenUsed/>
    <w:qFormat/>
    <w:uiPriority w:val="99"/>
    <w:rPr>
      <w:b/>
      <w:bCs/>
    </w:rPr>
  </w:style>
  <w:style w:type="character" w:styleId="9">
    <w:name w:val="annotation reference"/>
    <w:basedOn w:val="8"/>
    <w:semiHidden/>
    <w:unhideWhenUsed/>
    <w:qFormat/>
    <w:uiPriority w:val="99"/>
    <w:rPr>
      <w:sz w:val="21"/>
      <w:szCs w:val="21"/>
    </w:rPr>
  </w:style>
  <w:style w:type="paragraph" w:styleId="10">
    <w:name w:val="List Paragraph"/>
    <w:basedOn w:val="1"/>
    <w:qFormat/>
    <w:uiPriority w:val="34"/>
    <w:pPr>
      <w:ind w:firstLine="420" w:firstLineChars="200"/>
    </w:pPr>
  </w:style>
  <w:style w:type="character" w:customStyle="1" w:styleId="11">
    <w:name w:val="页眉 字符"/>
    <w:basedOn w:val="8"/>
    <w:link w:val="5"/>
    <w:qFormat/>
    <w:uiPriority w:val="99"/>
    <w:rPr>
      <w:rFonts w:ascii="Times New Roman" w:hAnsi="Times New Roman" w:eastAsia="宋体" w:cs="Times New Roman"/>
      <w:sz w:val="18"/>
      <w:szCs w:val="18"/>
    </w:rPr>
  </w:style>
  <w:style w:type="character" w:customStyle="1" w:styleId="12">
    <w:name w:val="页脚 字符"/>
    <w:basedOn w:val="8"/>
    <w:link w:val="4"/>
    <w:qFormat/>
    <w:uiPriority w:val="99"/>
    <w:rPr>
      <w:rFonts w:ascii="Times New Roman" w:hAnsi="Times New Roman" w:eastAsia="宋体" w:cs="Times New Roman"/>
      <w:sz w:val="18"/>
      <w:szCs w:val="18"/>
    </w:rPr>
  </w:style>
  <w:style w:type="character" w:customStyle="1" w:styleId="13">
    <w:name w:val="批注文字 字符"/>
    <w:basedOn w:val="8"/>
    <w:link w:val="2"/>
    <w:semiHidden/>
    <w:qFormat/>
    <w:uiPriority w:val="99"/>
    <w:rPr>
      <w:rFonts w:ascii="Times New Roman" w:hAnsi="Times New Roman" w:eastAsia="宋体" w:cs="Times New Roman"/>
      <w:szCs w:val="24"/>
    </w:rPr>
  </w:style>
  <w:style w:type="character" w:customStyle="1" w:styleId="14">
    <w:name w:val="批注主题 字符"/>
    <w:basedOn w:val="13"/>
    <w:link w:val="6"/>
    <w:semiHidden/>
    <w:qFormat/>
    <w:uiPriority w:val="99"/>
    <w:rPr>
      <w:rFonts w:ascii="Times New Roman" w:hAnsi="Times New Roman" w:eastAsia="宋体" w:cs="Times New Roman"/>
      <w:b/>
      <w:bCs/>
      <w:szCs w:val="24"/>
    </w:rPr>
  </w:style>
  <w:style w:type="character" w:customStyle="1" w:styleId="15">
    <w:name w:val="批注框文本 字符"/>
    <w:basedOn w:val="8"/>
    <w:link w:val="3"/>
    <w:semiHidden/>
    <w:qFormat/>
    <w:uiPriority w:val="99"/>
    <w:rPr>
      <w:rFonts w:ascii="Times New Roman" w:hAnsi="Times New Roman" w:eastAsia="宋体" w:cs="Times New Roman"/>
      <w:sz w:val="18"/>
      <w:szCs w:val="18"/>
    </w:rPr>
  </w:style>
  <w:style w:type="paragraph" w:customStyle="1" w:styleId="16">
    <w:name w:val="Revision"/>
    <w:hidden/>
    <w:unhideWhenUsed/>
    <w:qFormat/>
    <w:uiPriority w:val="99"/>
    <w:pPr>
      <w:spacing w:after="0" w:line="240" w:lineRule="auto"/>
    </w:pPr>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自定义 1">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571</Words>
  <Characters>3260</Characters>
  <Lines>27</Lines>
  <Paragraphs>7</Paragraphs>
  <TotalTime>78</TotalTime>
  <ScaleCrop>false</ScaleCrop>
  <LinksUpToDate>false</LinksUpToDate>
  <CharactersWithSpaces>3824</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2018-12-22T01:25:00Z</dcterms:created>
  <dc:creator>neeq</dc:creator>
  <cp:lastModifiedBy>shejx</cp:lastModifiedBy>
  <cp:lastPrinted>2018-11-08T00:32:00Z</cp:lastPrinted>
  <dcterms:modified xsi:type="dcterms:W3CDTF">2025-07-03T12:01:03Z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