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40" w:lineRule="exact"/>
        <w:jc w:val="center"/>
        <w:rPr>
          <w:rFonts w:ascii="方正大标宋简体" w:eastAsia="方正大标宋简体"/>
          <w:sz w:val="44"/>
          <w:szCs w:val="44"/>
        </w:rPr>
      </w:pPr>
      <w:bookmarkStart w:id="3" w:name="_GoBack"/>
      <w:bookmarkEnd w:id="3"/>
    </w:p>
    <w:p>
      <w:pPr>
        <w:spacing w:line="640" w:lineRule="exact"/>
        <w:jc w:val="center"/>
        <w:rPr>
          <w:rFonts w:ascii="方正大标宋简体" w:eastAsia="方正大标宋简体"/>
          <w:sz w:val="44"/>
          <w:szCs w:val="44"/>
        </w:rPr>
      </w:pPr>
      <w:r>
        <w:rPr>
          <w:rFonts w:hint="eastAsia" w:ascii="方正大标宋简体" w:eastAsia="方正大标宋简体"/>
          <w:sz w:val="44"/>
          <w:szCs w:val="44"/>
        </w:rPr>
        <w:t>全国中小企业股份转让系统挂牌公司信息</w:t>
      </w:r>
    </w:p>
    <w:p>
      <w:pPr>
        <w:spacing w:line="640" w:lineRule="exact"/>
        <w:jc w:val="center"/>
        <w:rPr>
          <w:rFonts w:ascii="方正大标宋简体" w:eastAsia="方正大标宋简体"/>
          <w:sz w:val="44"/>
          <w:szCs w:val="44"/>
        </w:rPr>
      </w:pPr>
      <w:r>
        <w:rPr>
          <w:rFonts w:hint="eastAsia" w:ascii="方正大标宋简体" w:eastAsia="方正大标宋简体"/>
          <w:sz w:val="44"/>
          <w:szCs w:val="44"/>
        </w:rPr>
        <w:t>披露指引</w:t>
      </w:r>
      <w:r>
        <w:rPr>
          <w:rFonts w:eastAsia="方正大标宋简体"/>
          <w:color w:val="000000"/>
          <w:sz w:val="44"/>
          <w:szCs w:val="42"/>
        </w:rPr>
        <w:t>——</w:t>
      </w:r>
      <w:r>
        <w:rPr>
          <w:rFonts w:hint="eastAsia" w:ascii="方正大标宋简体" w:eastAsia="方正大标宋简体"/>
          <w:sz w:val="44"/>
          <w:szCs w:val="44"/>
        </w:rPr>
        <w:t>互联网和相关</w:t>
      </w:r>
      <w:r>
        <w:rPr>
          <w:rFonts w:ascii="方正大标宋简体" w:eastAsia="方正大标宋简体"/>
          <w:sz w:val="44"/>
          <w:szCs w:val="44"/>
        </w:rPr>
        <w:t>服务</w:t>
      </w:r>
      <w:r>
        <w:rPr>
          <w:rFonts w:hint="eastAsia" w:ascii="方正大标宋简体" w:eastAsia="方正大标宋简体"/>
          <w:sz w:val="44"/>
          <w:szCs w:val="44"/>
        </w:rPr>
        <w:t>公司</w:t>
      </w:r>
    </w:p>
    <w:p>
      <w:pPr>
        <w:spacing w:line="640" w:lineRule="exact"/>
        <w:jc w:val="center"/>
        <w:rPr>
          <w:rFonts w:ascii="方正大标宋简体" w:eastAsia="方正大标宋简体"/>
          <w:sz w:val="44"/>
          <w:szCs w:val="44"/>
        </w:rPr>
      </w:pPr>
    </w:p>
    <w:p>
      <w:pPr>
        <w:pStyle w:val="17"/>
        <w:widowControl/>
        <w:numPr>
          <w:ilvl w:val="0"/>
          <w:numId w:val="1"/>
        </w:numPr>
        <w:snapToGrid w:val="0"/>
        <w:spacing w:line="600" w:lineRule="exact"/>
        <w:ind w:left="0" w:firstLine="0" w:firstLineChars="0"/>
        <w:jc w:val="center"/>
        <w:outlineLvl w:val="0"/>
        <w:rPr>
          <w:rFonts w:ascii="黑体" w:eastAsia="黑体"/>
          <w:color w:val="000000"/>
          <w:kern w:val="0"/>
          <w:sz w:val="32"/>
          <w:szCs w:val="32"/>
        </w:rPr>
      </w:pPr>
      <w:r>
        <w:rPr>
          <w:rFonts w:hint="eastAsia" w:ascii="黑体" w:eastAsia="黑体"/>
          <w:color w:val="000000"/>
          <w:kern w:val="0"/>
          <w:sz w:val="32"/>
          <w:szCs w:val="32"/>
        </w:rPr>
        <w:t>总则</w:t>
      </w:r>
    </w:p>
    <w:p>
      <w:pPr>
        <w:spacing w:line="600" w:lineRule="exact"/>
        <w:ind w:left="360" w:right="204"/>
        <w:jc w:val="both"/>
        <w:rPr>
          <w:rFonts w:eastAsia="宋体"/>
          <w:sz w:val="24"/>
          <w:szCs w:val="24"/>
        </w:rPr>
      </w:pPr>
    </w:p>
    <w:p>
      <w:pPr>
        <w:pStyle w:val="17"/>
        <w:widowControl/>
        <w:shd w:val="clear" w:color="auto" w:fill="FFFFFF"/>
        <w:spacing w:line="600" w:lineRule="exact"/>
        <w:ind w:firstLine="643"/>
        <w:rPr>
          <w:rFonts w:eastAsia="仿宋"/>
          <w:sz w:val="32"/>
          <w:szCs w:val="32"/>
        </w:rPr>
      </w:pPr>
      <w:r>
        <w:rPr>
          <w:rFonts w:ascii="Times New Roman" w:hAnsi="Times New Roman" w:eastAsia="仿宋" w:cs="Times New Roman"/>
          <w:b/>
          <w:sz w:val="32"/>
          <w:szCs w:val="32"/>
        </w:rPr>
        <w:t>第一</w:t>
      </w:r>
      <w:r>
        <w:rPr>
          <w:rFonts w:eastAsia="仿宋"/>
          <w:b/>
          <w:sz w:val="32"/>
          <w:szCs w:val="32"/>
        </w:rPr>
        <w:t>条</w:t>
      </w:r>
      <w:r>
        <w:rPr>
          <w:rFonts w:hint="eastAsia" w:ascii="Times New Roman" w:hAnsi="Times New Roman" w:eastAsia="仿宋" w:cs="Times New Roman"/>
          <w:b/>
          <w:sz w:val="32"/>
          <w:szCs w:val="32"/>
        </w:rPr>
        <w:t xml:space="preserve"> </w:t>
      </w:r>
      <w:r>
        <w:rPr>
          <w:rFonts w:hint="eastAsia" w:eastAsia="仿宋"/>
          <w:sz w:val="32"/>
          <w:szCs w:val="32"/>
        </w:rPr>
        <w:t>为满足差异化信息披露要求，规范互联网和相关服务业挂牌公司的持续信息披露行为，提高信息披露针对性和有效性，保障投资者的合法权益，根据《全国中小企业股份转让系统业务规则（试行）》、《全国中小企业股份转让系统挂牌公司信息披露规则》等业务规则，制定本指引</w:t>
      </w:r>
      <w:r>
        <w:rPr>
          <w:rFonts w:eastAsia="仿宋"/>
          <w:sz w:val="32"/>
          <w:szCs w:val="32"/>
        </w:rPr>
        <w:t>。</w:t>
      </w:r>
    </w:p>
    <w:p>
      <w:pPr>
        <w:pStyle w:val="17"/>
        <w:shd w:val="clear" w:color="auto" w:fill="FFFFFF"/>
        <w:spacing w:line="600" w:lineRule="exact"/>
        <w:ind w:firstLine="643"/>
        <w:rPr>
          <w:rFonts w:eastAsia="仿宋"/>
          <w:sz w:val="32"/>
          <w:szCs w:val="32"/>
        </w:rPr>
      </w:pPr>
      <w:r>
        <w:rPr>
          <w:rFonts w:eastAsia="仿宋"/>
          <w:b/>
          <w:sz w:val="32"/>
          <w:szCs w:val="32"/>
        </w:rPr>
        <w:t>第二条</w:t>
      </w:r>
      <w:r>
        <w:rPr>
          <w:rFonts w:hint="eastAsia" w:ascii="Times New Roman" w:hAnsi="Times New Roman" w:eastAsia="仿宋" w:cs="Times New Roman"/>
          <w:b/>
          <w:sz w:val="32"/>
          <w:szCs w:val="32"/>
        </w:rPr>
        <w:t xml:space="preserve"> </w:t>
      </w:r>
      <w:r>
        <w:rPr>
          <w:rFonts w:hint="eastAsia" w:eastAsia="仿宋"/>
          <w:sz w:val="32"/>
          <w:szCs w:val="32"/>
        </w:rPr>
        <w:t>互联网和相关服务业挂牌公司（以下简称“公司”）在年度报告和临时报告中披露行业经营性信息，适用本指引的规定。</w:t>
      </w:r>
    </w:p>
    <w:p>
      <w:pPr>
        <w:pStyle w:val="17"/>
        <w:widowControl/>
        <w:shd w:val="clear" w:color="auto" w:fill="FFFFFF"/>
        <w:spacing w:line="600" w:lineRule="exact"/>
        <w:ind w:firstLine="640"/>
        <w:rPr>
          <w:rFonts w:eastAsia="仿宋"/>
          <w:sz w:val="32"/>
          <w:szCs w:val="32"/>
        </w:rPr>
      </w:pPr>
      <w:r>
        <w:rPr>
          <w:rFonts w:hint="eastAsia" w:eastAsia="仿宋"/>
          <w:sz w:val="32"/>
          <w:szCs w:val="32"/>
        </w:rPr>
        <w:t>本指引所称互联网和相关服务业挂牌公司是指根据全国中小企业股份转让系统有限责任公司（以下简称“全国股转公司”）制定并发布的《挂牌公司管理型行业分类指引》中属于互联网和相关服务业的公司。</w:t>
      </w:r>
    </w:p>
    <w:p>
      <w:pPr>
        <w:pStyle w:val="17"/>
        <w:shd w:val="clear" w:color="auto" w:fill="FFFFFF"/>
        <w:spacing w:line="600" w:lineRule="exact"/>
        <w:ind w:firstLine="643"/>
        <w:rPr>
          <w:rFonts w:eastAsia="仿宋"/>
          <w:sz w:val="32"/>
          <w:szCs w:val="32"/>
        </w:rPr>
      </w:pPr>
      <w:r>
        <w:rPr>
          <w:rFonts w:eastAsia="仿宋"/>
          <w:b/>
          <w:sz w:val="32"/>
          <w:szCs w:val="32"/>
        </w:rPr>
        <w:t>第三条</w:t>
      </w:r>
      <w:r>
        <w:rPr>
          <w:rFonts w:hint="eastAsia" w:ascii="Times New Roman" w:hAnsi="Times New Roman" w:eastAsia="仿宋" w:cs="Times New Roman"/>
          <w:b/>
          <w:kern w:val="0"/>
          <w:sz w:val="32"/>
          <w:szCs w:val="32"/>
        </w:rPr>
        <w:t xml:space="preserve"> </w:t>
      </w:r>
      <w:r>
        <w:rPr>
          <w:rFonts w:hint="eastAsia" w:eastAsia="仿宋"/>
          <w:sz w:val="32"/>
          <w:szCs w:val="32"/>
        </w:rPr>
        <w:t>公司在适用本指引时，还应当同时遵循法律法规、中国证券监督管理委员会关于信息披露的相关规定、《全国中小企业股份转让系统业务规则（试行）》、《全国中小企业股份转让系统挂牌公司信息披露规则》及全国股转公司关于信息披露的其他规定。</w:t>
      </w:r>
    </w:p>
    <w:p>
      <w:pPr>
        <w:pStyle w:val="17"/>
        <w:widowControl/>
        <w:shd w:val="clear" w:color="auto" w:fill="FFFFFF"/>
        <w:spacing w:line="600" w:lineRule="exact"/>
        <w:ind w:firstLine="640"/>
        <w:rPr>
          <w:rFonts w:eastAsia="仿宋"/>
          <w:sz w:val="32"/>
          <w:szCs w:val="32"/>
        </w:rPr>
      </w:pPr>
      <w:r>
        <w:rPr>
          <w:rFonts w:hint="eastAsia" w:eastAsia="仿宋"/>
          <w:sz w:val="32"/>
          <w:szCs w:val="32"/>
        </w:rPr>
        <w:t>公司确属客观原因难以按照本指引要求披露相关信息的，可以不予披露，但应当在年度报告或临时报告中解释未按要求进行披露的原因，并予以特别提示。</w:t>
      </w:r>
    </w:p>
    <w:p>
      <w:pPr>
        <w:pStyle w:val="17"/>
        <w:shd w:val="clear" w:color="auto" w:fill="FFFFFF"/>
        <w:spacing w:line="600" w:lineRule="exact"/>
        <w:ind w:firstLine="643"/>
        <w:rPr>
          <w:rFonts w:eastAsia="仿宋"/>
          <w:sz w:val="32"/>
          <w:szCs w:val="32"/>
        </w:rPr>
      </w:pPr>
      <w:r>
        <w:rPr>
          <w:rFonts w:eastAsia="仿宋"/>
          <w:b/>
          <w:sz w:val="32"/>
          <w:szCs w:val="32"/>
        </w:rPr>
        <w:t>第四条</w:t>
      </w:r>
      <w:r>
        <w:rPr>
          <w:rFonts w:hint="eastAsia" w:ascii="Times New Roman" w:hAnsi="Times New Roman" w:eastAsia="仿宋" w:cs="Times New Roman"/>
          <w:b/>
          <w:kern w:val="0"/>
          <w:sz w:val="32"/>
          <w:szCs w:val="32"/>
        </w:rPr>
        <w:t xml:space="preserve"> </w:t>
      </w:r>
      <w:r>
        <w:rPr>
          <w:rFonts w:hint="eastAsia" w:eastAsia="仿宋"/>
          <w:sz w:val="32"/>
          <w:szCs w:val="32"/>
        </w:rPr>
        <w:t>公司披露行业经营性信息时，应对行业专业术语、专业背景、行业知识等进行必要的介绍和解释说明，便于投资者理解公司实际经营状况和风险信息。</w:t>
      </w:r>
    </w:p>
    <w:p>
      <w:pPr>
        <w:pStyle w:val="17"/>
        <w:widowControl/>
        <w:shd w:val="clear" w:color="auto" w:fill="FFFFFF"/>
        <w:spacing w:line="600" w:lineRule="exact"/>
        <w:ind w:firstLine="640"/>
        <w:rPr>
          <w:rFonts w:eastAsia="仿宋"/>
          <w:sz w:val="32"/>
          <w:szCs w:val="32"/>
        </w:rPr>
      </w:pPr>
      <w:r>
        <w:rPr>
          <w:rFonts w:hint="eastAsia" w:eastAsia="仿宋"/>
          <w:sz w:val="32"/>
          <w:szCs w:val="32"/>
        </w:rPr>
        <w:t>公司在披露行业经营性信息时引用相关数据、资料的，应当保证引用内容充分可靠、客观权威，并注明其来源。</w:t>
      </w:r>
    </w:p>
    <w:p>
      <w:pPr>
        <w:spacing w:line="600" w:lineRule="exact"/>
        <w:jc w:val="both"/>
        <w:rPr>
          <w:rFonts w:ascii="方正大标宋简体" w:eastAsia="方正大标宋简体"/>
          <w:sz w:val="44"/>
          <w:szCs w:val="44"/>
        </w:rPr>
      </w:pPr>
    </w:p>
    <w:p>
      <w:pPr>
        <w:pStyle w:val="17"/>
        <w:widowControl/>
        <w:numPr>
          <w:ilvl w:val="0"/>
          <w:numId w:val="1"/>
        </w:numPr>
        <w:snapToGrid w:val="0"/>
        <w:spacing w:line="600" w:lineRule="exact"/>
        <w:ind w:left="0" w:firstLine="0" w:firstLineChars="0"/>
        <w:jc w:val="center"/>
        <w:outlineLvl w:val="0"/>
        <w:rPr>
          <w:rFonts w:ascii="黑体" w:eastAsia="黑体"/>
          <w:color w:val="000000"/>
          <w:kern w:val="0"/>
          <w:sz w:val="32"/>
          <w:szCs w:val="32"/>
        </w:rPr>
      </w:pPr>
      <w:r>
        <w:rPr>
          <w:rFonts w:hint="eastAsia" w:ascii="黑体" w:eastAsia="黑体"/>
          <w:color w:val="000000"/>
          <w:kern w:val="0"/>
          <w:sz w:val="32"/>
          <w:szCs w:val="32"/>
        </w:rPr>
        <w:t>年度</w:t>
      </w:r>
      <w:r>
        <w:rPr>
          <w:rFonts w:ascii="黑体" w:eastAsia="黑体"/>
          <w:color w:val="000000"/>
          <w:kern w:val="0"/>
          <w:sz w:val="32"/>
          <w:szCs w:val="32"/>
        </w:rPr>
        <w:t>报告</w:t>
      </w:r>
    </w:p>
    <w:p>
      <w:pPr>
        <w:spacing w:line="600" w:lineRule="exact"/>
        <w:ind w:left="360" w:right="204"/>
        <w:jc w:val="both"/>
        <w:rPr>
          <w:rFonts w:eastAsia="宋体"/>
          <w:sz w:val="24"/>
          <w:szCs w:val="24"/>
        </w:rPr>
      </w:pPr>
    </w:p>
    <w:p>
      <w:pPr>
        <w:pStyle w:val="17"/>
        <w:widowControl/>
        <w:shd w:val="clear" w:color="auto" w:fill="FFFFFF"/>
        <w:spacing w:line="600" w:lineRule="exact"/>
        <w:ind w:firstLine="643"/>
        <w:rPr>
          <w:rFonts w:ascii="Times New Roman" w:hAnsi="Times New Roman" w:eastAsia="仿宋" w:cs="Times New Roman"/>
          <w:sz w:val="32"/>
          <w:szCs w:val="32"/>
        </w:rPr>
      </w:pPr>
      <w:r>
        <w:rPr>
          <w:rFonts w:ascii="Times New Roman" w:hAnsi="Times New Roman" w:eastAsia="仿宋" w:cs="Times New Roman"/>
          <w:b/>
          <w:sz w:val="32"/>
          <w:szCs w:val="32"/>
        </w:rPr>
        <w:t>第</w:t>
      </w:r>
      <w:r>
        <w:rPr>
          <w:rFonts w:hint="eastAsia" w:ascii="Times New Roman" w:hAnsi="Times New Roman" w:eastAsia="仿宋" w:cs="Times New Roman"/>
          <w:b/>
          <w:sz w:val="32"/>
          <w:szCs w:val="32"/>
        </w:rPr>
        <w:t>五</w:t>
      </w:r>
      <w:r>
        <w:rPr>
          <w:rFonts w:ascii="Times New Roman" w:hAnsi="Times New Roman" w:eastAsia="仿宋" w:cs="Times New Roman"/>
          <w:b/>
          <w:sz w:val="32"/>
          <w:szCs w:val="32"/>
        </w:rPr>
        <w:t>条</w:t>
      </w:r>
      <w:r>
        <w:rPr>
          <w:rFonts w:hint="eastAsia" w:ascii="仿宋_GB2312" w:eastAsia="仿宋_GB2312"/>
          <w:b/>
          <w:color w:val="000000"/>
          <w:kern w:val="0"/>
          <w:sz w:val="32"/>
          <w:szCs w:val="32"/>
        </w:rPr>
        <w:t xml:space="preserve"> </w:t>
      </w:r>
      <w:r>
        <w:rPr>
          <w:rFonts w:hint="eastAsia" w:ascii="Times New Roman" w:hAnsi="Times New Roman" w:eastAsia="仿宋" w:cs="Times New Roman"/>
          <w:sz w:val="32"/>
          <w:szCs w:val="32"/>
        </w:rPr>
        <w:t>公司根据全国股转公司年度报告内容与格式指引要求披露年度报告时，应当同时按照本章要求履行信息披露义务。</w:t>
      </w:r>
    </w:p>
    <w:p>
      <w:pPr>
        <w:pStyle w:val="17"/>
        <w:widowControl/>
        <w:shd w:val="clear" w:color="auto" w:fill="FFFFFF"/>
        <w:spacing w:line="600" w:lineRule="exact"/>
        <w:ind w:firstLine="643"/>
        <w:rPr>
          <w:rFonts w:eastAsia="仿宋"/>
          <w:sz w:val="32"/>
          <w:szCs w:val="32"/>
        </w:rPr>
      </w:pPr>
      <w:r>
        <w:rPr>
          <w:rFonts w:ascii="Times New Roman" w:hAnsi="Times New Roman" w:eastAsia="仿宋" w:cs="Times New Roman"/>
          <w:b/>
          <w:sz w:val="32"/>
          <w:szCs w:val="32"/>
        </w:rPr>
        <w:t>第</w:t>
      </w:r>
      <w:r>
        <w:rPr>
          <w:rFonts w:hint="eastAsia" w:ascii="Times New Roman" w:hAnsi="Times New Roman" w:eastAsia="仿宋" w:cs="Times New Roman"/>
          <w:b/>
          <w:sz w:val="32"/>
          <w:szCs w:val="32"/>
        </w:rPr>
        <w:t>六</w:t>
      </w:r>
      <w:r>
        <w:rPr>
          <w:rFonts w:ascii="Times New Roman" w:hAnsi="Times New Roman" w:eastAsia="仿宋" w:cs="Times New Roman"/>
          <w:b/>
          <w:sz w:val="32"/>
          <w:szCs w:val="32"/>
        </w:rPr>
        <w:t>条</w:t>
      </w:r>
      <w:r>
        <w:rPr>
          <w:rFonts w:hint="eastAsia" w:ascii="Times New Roman" w:hAnsi="Times New Roman" w:eastAsia="仿宋" w:cs="Times New Roman"/>
          <w:b/>
          <w:sz w:val="32"/>
          <w:szCs w:val="32"/>
        </w:rPr>
        <w:t xml:space="preserve"> </w:t>
      </w:r>
      <w:r>
        <w:rPr>
          <w:rFonts w:hint="eastAsia" w:ascii="Times New Roman" w:hAnsi="Times New Roman" w:eastAsia="仿宋" w:cs="Times New Roman"/>
          <w:sz w:val="32"/>
          <w:szCs w:val="32"/>
        </w:rPr>
        <w:t>公司应针对行业和自身特点，遵循相关性和重要性原则，充分披露影响其业务经营活动的行业重大风险因素及变动情况，如法律法规和政策环境变化风险、业务资质风险、知识产权纠纷风险、技术更新风险、信息收集和使用合规性风险、数据泄露风险、新产品研发与运营失败风险、商业模式创新风险、人才流失风险等</w:t>
      </w:r>
      <w:r>
        <w:rPr>
          <w:rFonts w:eastAsia="仿宋"/>
          <w:sz w:val="32"/>
          <w:szCs w:val="32"/>
        </w:rPr>
        <w:t>。</w:t>
      </w:r>
    </w:p>
    <w:p>
      <w:pPr>
        <w:pStyle w:val="17"/>
        <w:widowControl/>
        <w:shd w:val="clear" w:color="auto" w:fill="FFFFFF"/>
        <w:spacing w:line="600" w:lineRule="exact"/>
        <w:ind w:firstLine="643"/>
        <w:rPr>
          <w:rFonts w:eastAsia="仿宋"/>
          <w:sz w:val="32"/>
          <w:szCs w:val="32"/>
        </w:rPr>
      </w:pPr>
      <w:r>
        <w:rPr>
          <w:rFonts w:hint="eastAsia" w:eastAsia="仿宋"/>
          <w:b/>
          <w:sz w:val="32"/>
          <w:szCs w:val="32"/>
        </w:rPr>
        <w:t>第七条</w:t>
      </w:r>
      <w:r>
        <w:rPr>
          <w:rFonts w:hint="eastAsia" w:ascii="Times New Roman" w:hAnsi="Times New Roman" w:eastAsia="仿宋" w:cs="Times New Roman"/>
          <w:b/>
          <w:sz w:val="32"/>
          <w:szCs w:val="32"/>
        </w:rPr>
        <w:t xml:space="preserve"> </w:t>
      </w:r>
      <w:r>
        <w:rPr>
          <w:rFonts w:hint="eastAsia" w:eastAsia="仿宋"/>
          <w:sz w:val="32"/>
          <w:szCs w:val="32"/>
        </w:rPr>
        <w:t>公司应披露报告期内对所属细分行业具有重大影响的行业法律、法规、规章、规范性文件、行业标准、经济及产业政策（包括地方性政策）等外部因素的重大变化情况，并说明可能对公司造成的影响以及公司已采取的措施</w:t>
      </w:r>
      <w:r>
        <w:rPr>
          <w:rFonts w:eastAsia="仿宋"/>
          <w:sz w:val="32"/>
          <w:szCs w:val="32"/>
        </w:rPr>
        <w:t>。</w:t>
      </w:r>
    </w:p>
    <w:p>
      <w:pPr>
        <w:pStyle w:val="17"/>
        <w:widowControl/>
        <w:shd w:val="clear" w:color="auto" w:fill="FFFFFF"/>
        <w:spacing w:line="600" w:lineRule="exact"/>
        <w:ind w:firstLine="643"/>
        <w:rPr>
          <w:rFonts w:eastAsia="仿宋"/>
          <w:sz w:val="32"/>
          <w:szCs w:val="32"/>
        </w:rPr>
      </w:pPr>
      <w:r>
        <w:rPr>
          <w:rFonts w:hint="eastAsia" w:eastAsia="仿宋"/>
          <w:b/>
          <w:sz w:val="32"/>
          <w:szCs w:val="32"/>
        </w:rPr>
        <w:t>第八条</w:t>
      </w:r>
      <w:r>
        <w:rPr>
          <w:rFonts w:hint="eastAsia" w:ascii="Times New Roman" w:hAnsi="Times New Roman" w:eastAsia="仿宋" w:cs="Times New Roman"/>
          <w:b/>
          <w:sz w:val="32"/>
          <w:szCs w:val="32"/>
        </w:rPr>
        <w:t xml:space="preserve"> </w:t>
      </w:r>
      <w:r>
        <w:rPr>
          <w:rFonts w:hint="eastAsia" w:eastAsia="仿宋"/>
          <w:sz w:val="32"/>
          <w:szCs w:val="32"/>
        </w:rPr>
        <w:t>公司报告期内存在重要管理制度、措施规范等变更的，如用户信息保护制度、网络安全制度、内容审查机制、知识产权管理与保护制度、信用评价制度等，应披露管理制度、措施规范等的变更原因、变更改进情况、执行的有效性。</w:t>
      </w:r>
    </w:p>
    <w:p>
      <w:pPr>
        <w:pStyle w:val="17"/>
        <w:widowControl/>
        <w:shd w:val="clear" w:color="auto" w:fill="FFFFFF"/>
        <w:spacing w:line="600" w:lineRule="exact"/>
        <w:ind w:firstLine="643"/>
        <w:rPr>
          <w:rFonts w:eastAsia="仿宋"/>
          <w:sz w:val="32"/>
          <w:szCs w:val="32"/>
        </w:rPr>
      </w:pPr>
      <w:r>
        <w:rPr>
          <w:rFonts w:hint="eastAsia" w:eastAsia="仿宋"/>
          <w:b/>
          <w:sz w:val="32"/>
          <w:szCs w:val="32"/>
        </w:rPr>
        <w:t xml:space="preserve">第九条 </w:t>
      </w:r>
      <w:r>
        <w:rPr>
          <w:rFonts w:hint="eastAsia" w:eastAsia="仿宋"/>
          <w:sz w:val="32"/>
          <w:szCs w:val="32"/>
        </w:rPr>
        <w:t>公司应披露报告期内对经营具有重要影响的许可、</w:t>
      </w:r>
      <w:r>
        <w:rPr>
          <w:rFonts w:eastAsia="仿宋"/>
          <w:sz w:val="32"/>
          <w:szCs w:val="32"/>
        </w:rPr>
        <w:t>备案等</w:t>
      </w:r>
      <w:r>
        <w:rPr>
          <w:rFonts w:hint="eastAsia" w:eastAsia="仿宋"/>
          <w:sz w:val="32"/>
          <w:szCs w:val="32"/>
        </w:rPr>
        <w:t>资质的变动情况，披露内容包括许可、备案类型（如增值电信业务经营许可证、信息网络传播视听节目许可证、网络文化经营许可证等）、变动原因、有效期、取得主体和适用范围等。公司出现影响重要资质有效存续情形的，应披露对公司经营可能产生的影响及公司已采取或拟采取的应对措施。</w:t>
      </w:r>
    </w:p>
    <w:p>
      <w:pPr>
        <w:pStyle w:val="17"/>
        <w:widowControl/>
        <w:shd w:val="clear" w:color="auto" w:fill="FFFFFF"/>
        <w:spacing w:line="600" w:lineRule="exact"/>
        <w:ind w:firstLine="643"/>
        <w:rPr>
          <w:rFonts w:eastAsia="仿宋"/>
          <w:sz w:val="32"/>
          <w:szCs w:val="32"/>
        </w:rPr>
      </w:pPr>
      <w:r>
        <w:rPr>
          <w:rFonts w:hint="eastAsia" w:eastAsia="仿宋"/>
          <w:b/>
          <w:sz w:val="32"/>
          <w:szCs w:val="32"/>
        </w:rPr>
        <w:t xml:space="preserve">第十条 </w:t>
      </w:r>
      <w:r>
        <w:rPr>
          <w:rFonts w:hint="eastAsia" w:eastAsia="仿宋"/>
          <w:sz w:val="32"/>
          <w:szCs w:val="32"/>
        </w:rPr>
        <w:t>公司应披露报告期内重要知识产权的变动情况。知识产权增加的，应披露知识产权名称、取得方式、取得时间。受让取得知识产权的，应披露受让程序（包括合同签署情况及登记备案情况等）、计价方法及其公允性等；通过许可使用知识产权的，应披露许可方、许可使用的方式、范围、期限及公司业务对该知识产权的依赖程度。知识产权减少的，应披露其账面价值、减少原因及对公司经营的影响。涉及无形资产评估的，应披露评估方法、评估价值。</w:t>
      </w:r>
    </w:p>
    <w:p>
      <w:pPr>
        <w:pStyle w:val="17"/>
        <w:shd w:val="clear" w:color="auto" w:fill="FFFFFF"/>
        <w:spacing w:line="600" w:lineRule="exact"/>
        <w:ind w:firstLine="643"/>
        <w:rPr>
          <w:rFonts w:eastAsia="仿宋"/>
          <w:sz w:val="32"/>
          <w:szCs w:val="32"/>
        </w:rPr>
      </w:pPr>
      <w:r>
        <w:rPr>
          <w:rFonts w:hint="eastAsia" w:eastAsia="仿宋"/>
          <w:b/>
          <w:sz w:val="32"/>
          <w:szCs w:val="32"/>
        </w:rPr>
        <w:t xml:space="preserve">第十一条 </w:t>
      </w:r>
      <w:r>
        <w:rPr>
          <w:rFonts w:hint="eastAsia" w:eastAsia="仿宋"/>
          <w:sz w:val="32"/>
          <w:szCs w:val="32"/>
        </w:rPr>
        <w:t>公司应披露报告期内的研发模式，包括研发方式（自主研发、合作研发、外包研发等）、研发机构设置情况以及研发平台等。</w:t>
      </w:r>
    </w:p>
    <w:p>
      <w:pPr>
        <w:pStyle w:val="17"/>
        <w:widowControl/>
        <w:shd w:val="clear" w:color="auto" w:fill="FFFFFF"/>
        <w:spacing w:line="600" w:lineRule="exact"/>
        <w:ind w:firstLine="640"/>
        <w:rPr>
          <w:rFonts w:eastAsia="仿宋"/>
          <w:sz w:val="32"/>
          <w:szCs w:val="32"/>
        </w:rPr>
      </w:pPr>
      <w:r>
        <w:rPr>
          <w:rFonts w:hint="eastAsia" w:eastAsia="仿宋"/>
          <w:sz w:val="32"/>
          <w:szCs w:val="32"/>
        </w:rPr>
        <w:t>报告期内公司存在合作研发或外包研发的，应披露报告期内与合作方或外包方之间的合作或外包期限、合作或外包研发的相关成果、知识产权的归属及利益分配方式；分析合作或外包研发对公司核心技术的贡献情况以及公司对合作方或外包方的依赖性。</w:t>
      </w:r>
    </w:p>
    <w:p>
      <w:pPr>
        <w:pStyle w:val="17"/>
        <w:widowControl/>
        <w:shd w:val="clear" w:color="auto" w:fill="FFFFFF"/>
        <w:spacing w:line="600" w:lineRule="exact"/>
        <w:ind w:firstLine="643"/>
        <w:rPr>
          <w:rFonts w:eastAsia="仿宋"/>
          <w:sz w:val="32"/>
          <w:szCs w:val="32"/>
        </w:rPr>
      </w:pPr>
      <w:r>
        <w:rPr>
          <w:rFonts w:hint="eastAsia" w:eastAsia="仿宋"/>
          <w:b/>
          <w:sz w:val="32"/>
          <w:szCs w:val="32"/>
        </w:rPr>
        <w:t xml:space="preserve">第十二条 </w:t>
      </w:r>
      <w:r>
        <w:rPr>
          <w:rFonts w:hint="eastAsia" w:eastAsia="仿宋"/>
          <w:sz w:val="32"/>
          <w:szCs w:val="32"/>
        </w:rPr>
        <w:t>公司业务涉及用户信息、数据收集及应用的，应披露报告期内用户信息及数据的获取方式与渠道、数据类型、使用目的、使用方式与范围、存储方式（境内</w:t>
      </w:r>
      <w:r>
        <w:rPr>
          <w:rFonts w:eastAsia="仿宋"/>
          <w:sz w:val="32"/>
          <w:szCs w:val="32"/>
        </w:rPr>
        <w:t>存储、境外存储</w:t>
      </w:r>
      <w:r>
        <w:rPr>
          <w:rFonts w:hint="eastAsia" w:eastAsia="仿宋"/>
          <w:sz w:val="32"/>
          <w:szCs w:val="32"/>
        </w:rPr>
        <w:t>）、数据分析对公司业务活动的作用、信息来源与应用的合法合规性。</w:t>
      </w:r>
    </w:p>
    <w:p>
      <w:pPr>
        <w:pStyle w:val="17"/>
        <w:shd w:val="clear" w:color="auto" w:fill="FFFFFF"/>
        <w:spacing w:line="600" w:lineRule="exact"/>
        <w:ind w:firstLine="643"/>
        <w:rPr>
          <w:rFonts w:eastAsia="仿宋"/>
          <w:sz w:val="32"/>
          <w:szCs w:val="32"/>
        </w:rPr>
      </w:pPr>
      <w:r>
        <w:rPr>
          <w:rFonts w:hint="eastAsia" w:eastAsia="仿宋"/>
          <w:b/>
          <w:sz w:val="32"/>
          <w:szCs w:val="32"/>
        </w:rPr>
        <w:t xml:space="preserve">第十三条 </w:t>
      </w:r>
      <w:r>
        <w:rPr>
          <w:rFonts w:hint="eastAsia" w:eastAsia="仿宋"/>
          <w:sz w:val="32"/>
          <w:szCs w:val="32"/>
        </w:rPr>
        <w:t>公司报告期内因发生重大信息安全事故被相关部门行政处罚、采取行政监管措施或调查、检查的，应披露重大信息安全事故的基本情况、对公司生产经营产生的影响、公司需承担的赔偿或补偿责任，以及公司已采取或拟采取的应对措施及有效性。</w:t>
      </w:r>
    </w:p>
    <w:p>
      <w:pPr>
        <w:pStyle w:val="17"/>
        <w:widowControl/>
        <w:shd w:val="clear" w:color="auto" w:fill="FFFFFF"/>
        <w:spacing w:line="600" w:lineRule="exact"/>
        <w:ind w:firstLine="643"/>
        <w:rPr>
          <w:rFonts w:eastAsia="仿宋"/>
          <w:color w:val="FF0000"/>
          <w:sz w:val="32"/>
          <w:szCs w:val="32"/>
        </w:rPr>
      </w:pPr>
      <w:r>
        <w:rPr>
          <w:rFonts w:hint="eastAsia" w:eastAsia="仿宋"/>
          <w:b/>
          <w:sz w:val="32"/>
          <w:szCs w:val="32"/>
        </w:rPr>
        <w:t xml:space="preserve">第十四条 </w:t>
      </w:r>
      <w:r>
        <w:rPr>
          <w:rFonts w:hint="eastAsia" w:eastAsia="仿宋"/>
          <w:sz w:val="32"/>
          <w:szCs w:val="32"/>
        </w:rPr>
        <w:t>公司报告期内存在因违规获取和使用客户信息、虚构交易、编造用户评价、商品质量问题（包括自营及商家销售的商品）、知识产权侵权、资质瑕疵、跨境转移利润、逃避缴纳税收等情况受到相关部门处罚或导致客户纠纷投诉，对公司产生重大影响以及引起媒体广泛报道与质疑的，应披露相关事件进展情况、规范措施及对公司经营的影响。</w:t>
      </w:r>
    </w:p>
    <w:p>
      <w:pPr>
        <w:pStyle w:val="17"/>
        <w:shd w:val="clear" w:color="auto" w:fill="FFFFFF"/>
        <w:spacing w:line="600" w:lineRule="exact"/>
        <w:ind w:firstLine="643"/>
        <w:rPr>
          <w:rFonts w:eastAsia="仿宋"/>
          <w:sz w:val="32"/>
          <w:szCs w:val="32"/>
        </w:rPr>
      </w:pPr>
      <w:r>
        <w:rPr>
          <w:rFonts w:hint="eastAsia" w:eastAsia="仿宋"/>
          <w:b/>
          <w:sz w:val="32"/>
          <w:szCs w:val="32"/>
        </w:rPr>
        <w:t xml:space="preserve">第十五条 </w:t>
      </w:r>
      <w:r>
        <w:rPr>
          <w:rFonts w:hint="eastAsia" w:eastAsia="仿宋"/>
          <w:sz w:val="32"/>
          <w:szCs w:val="32"/>
        </w:rPr>
        <w:t>公司业务涉及移动互联网应用程序</w:t>
      </w:r>
      <w:r>
        <w:rPr>
          <w:rFonts w:ascii="Times New Roman" w:hAnsi="Times New Roman" w:eastAsia="仿宋" w:cs="Times New Roman"/>
          <w:sz w:val="32"/>
          <w:szCs w:val="32"/>
        </w:rPr>
        <w:t>（APP）</w:t>
      </w:r>
      <w:r>
        <w:rPr>
          <w:rFonts w:hint="eastAsia" w:eastAsia="仿宋"/>
          <w:sz w:val="32"/>
          <w:szCs w:val="32"/>
        </w:rPr>
        <w:t>的，应披露：</w:t>
      </w:r>
    </w:p>
    <w:p>
      <w:pPr>
        <w:pStyle w:val="17"/>
        <w:shd w:val="clear" w:color="auto" w:fill="FFFFFF"/>
        <w:spacing w:line="600" w:lineRule="exact"/>
        <w:ind w:firstLine="640"/>
        <w:rPr>
          <w:rFonts w:eastAsia="仿宋"/>
          <w:sz w:val="32"/>
          <w:szCs w:val="32"/>
        </w:rPr>
      </w:pPr>
      <w:r>
        <w:rPr>
          <w:rFonts w:hint="eastAsia" w:eastAsia="仿宋"/>
          <w:sz w:val="32"/>
          <w:szCs w:val="32"/>
        </w:rPr>
        <w:t>（一）公司通过</w:t>
      </w:r>
      <w:r>
        <w:rPr>
          <w:rFonts w:ascii="Times New Roman" w:hAnsi="Times New Roman" w:eastAsia="仿宋" w:cs="Times New Roman"/>
          <w:sz w:val="32"/>
          <w:szCs w:val="32"/>
        </w:rPr>
        <w:t>APP</w:t>
      </w:r>
      <w:r>
        <w:rPr>
          <w:rFonts w:hint="eastAsia" w:eastAsia="仿宋"/>
          <w:sz w:val="32"/>
          <w:szCs w:val="32"/>
        </w:rPr>
        <w:t>提供信息服务的，应披露报告期内与互联网应用商店服务提供者所签署服务协议的存续情况，协议拟到期的，应说明公司的续期安排；</w:t>
      </w:r>
      <w:r>
        <w:rPr>
          <w:rFonts w:ascii="Times New Roman" w:hAnsi="Times New Roman" w:eastAsia="仿宋" w:cs="Times New Roman"/>
          <w:sz w:val="32"/>
          <w:szCs w:val="32"/>
        </w:rPr>
        <w:t>APP</w:t>
      </w:r>
      <w:r>
        <w:rPr>
          <w:rFonts w:hint="eastAsia" w:eastAsia="仿宋"/>
          <w:sz w:val="32"/>
          <w:szCs w:val="32"/>
        </w:rPr>
        <w:t>存在被警示、暂停发布、下架风险的，应披露相关情况以及对公司经营业务的影响。</w:t>
      </w:r>
    </w:p>
    <w:p>
      <w:pPr>
        <w:pStyle w:val="17"/>
        <w:widowControl/>
        <w:shd w:val="clear" w:color="auto" w:fill="FFFFFF"/>
        <w:spacing w:line="600" w:lineRule="exact"/>
        <w:ind w:firstLine="640"/>
        <w:rPr>
          <w:rFonts w:eastAsia="仿宋"/>
          <w:b/>
          <w:sz w:val="32"/>
          <w:szCs w:val="32"/>
        </w:rPr>
      </w:pPr>
      <w:r>
        <w:rPr>
          <w:rFonts w:hint="eastAsia" w:eastAsia="仿宋"/>
          <w:sz w:val="32"/>
          <w:szCs w:val="32"/>
        </w:rPr>
        <w:t>（二）公司从事互联网应用商店服务的，应披露报告期内应用商店内新增的</w:t>
      </w:r>
      <w:r>
        <w:rPr>
          <w:rFonts w:ascii="Times New Roman" w:hAnsi="Times New Roman" w:eastAsia="仿宋" w:cs="Times New Roman"/>
          <w:sz w:val="32"/>
          <w:szCs w:val="32"/>
        </w:rPr>
        <w:t>APP数量、报告期末运营的APP</w:t>
      </w:r>
      <w:r>
        <w:rPr>
          <w:rFonts w:hint="eastAsia" w:eastAsia="仿宋"/>
          <w:sz w:val="32"/>
          <w:szCs w:val="32"/>
        </w:rPr>
        <w:t>数量，报告期内存在备案变更或注销备案的，应披露相关情况以及对公司经营业务的影响。</w:t>
      </w:r>
    </w:p>
    <w:p>
      <w:pPr>
        <w:spacing w:line="600" w:lineRule="exact"/>
        <w:ind w:firstLine="642" w:firstLineChars="200"/>
        <w:jc w:val="both"/>
        <w:rPr>
          <w:rFonts w:eastAsia="仿宋"/>
          <w:sz w:val="32"/>
          <w:szCs w:val="32"/>
        </w:rPr>
      </w:pPr>
      <w:r>
        <w:rPr>
          <w:rFonts w:hint="eastAsia" w:eastAsia="仿宋"/>
          <w:b/>
          <w:sz w:val="32"/>
          <w:szCs w:val="32"/>
        </w:rPr>
        <w:t>第</w:t>
      </w:r>
      <w:r>
        <w:rPr>
          <w:rFonts w:eastAsia="仿宋"/>
          <w:b/>
          <w:sz w:val="32"/>
          <w:szCs w:val="32"/>
        </w:rPr>
        <w:t>十</w:t>
      </w:r>
      <w:r>
        <w:rPr>
          <w:rFonts w:hint="eastAsia" w:eastAsia="仿宋"/>
          <w:b/>
          <w:sz w:val="32"/>
          <w:szCs w:val="32"/>
        </w:rPr>
        <w:t>六</w:t>
      </w:r>
      <w:r>
        <w:rPr>
          <w:rFonts w:eastAsia="仿宋"/>
          <w:b/>
          <w:sz w:val="32"/>
          <w:szCs w:val="32"/>
        </w:rPr>
        <w:t>条</w:t>
      </w:r>
      <w:r>
        <w:rPr>
          <w:rFonts w:hint="eastAsia" w:eastAsia="仿宋"/>
          <w:b/>
          <w:sz w:val="32"/>
          <w:szCs w:val="32"/>
        </w:rPr>
        <w:t xml:space="preserve"> </w:t>
      </w:r>
      <w:r>
        <w:rPr>
          <w:rFonts w:hint="eastAsia" w:eastAsia="仿宋"/>
          <w:sz w:val="32"/>
          <w:szCs w:val="32"/>
        </w:rPr>
        <w:t>公司业务涉及非银行支付的，应披露支付牌照的具体情况；若与第三方支付平台合作的，应披露合作第三方支付平台名单、结算周期、关联关系以及第三方支付平台的牌照取得情况。</w:t>
      </w:r>
    </w:p>
    <w:p>
      <w:pPr>
        <w:pStyle w:val="17"/>
        <w:widowControl/>
        <w:shd w:val="clear" w:color="auto" w:fill="FFFFFF"/>
        <w:spacing w:line="600" w:lineRule="exact"/>
        <w:ind w:firstLine="643"/>
        <w:rPr>
          <w:rFonts w:ascii="Times New Roman" w:hAnsi="Times New Roman" w:eastAsia="仿宋" w:cs="Times New Roman"/>
          <w:kern w:val="0"/>
          <w:sz w:val="32"/>
          <w:szCs w:val="32"/>
        </w:rPr>
      </w:pPr>
      <w:r>
        <w:rPr>
          <w:rFonts w:hint="eastAsia" w:eastAsia="仿宋"/>
          <w:b/>
          <w:sz w:val="32"/>
          <w:szCs w:val="32"/>
        </w:rPr>
        <w:t>第十七条</w:t>
      </w:r>
      <w:r>
        <w:rPr>
          <w:rFonts w:hint="eastAsia" w:ascii="Times New Roman" w:hAnsi="Times New Roman" w:eastAsia="仿宋" w:cs="Times New Roman"/>
          <w:kern w:val="0"/>
          <w:sz w:val="32"/>
          <w:szCs w:val="32"/>
        </w:rPr>
        <w:t xml:space="preserve"> 公司业务涉及虚拟货币的（不包含比特币</w:t>
      </w:r>
      <w:r>
        <w:rPr>
          <w:rFonts w:ascii="Times New Roman" w:hAnsi="Times New Roman" w:eastAsia="仿宋" w:cs="Times New Roman"/>
          <w:kern w:val="0"/>
          <w:sz w:val="32"/>
          <w:szCs w:val="32"/>
        </w:rPr>
        <w:t>等</w:t>
      </w:r>
      <w:r>
        <w:rPr>
          <w:rFonts w:hint="eastAsia" w:ascii="Times New Roman" w:hAnsi="Times New Roman" w:eastAsia="仿宋" w:cs="Times New Roman"/>
          <w:kern w:val="0"/>
          <w:sz w:val="32"/>
          <w:szCs w:val="32"/>
        </w:rPr>
        <w:t>代币），应披露报告期内虚拟货币（如游戏点数）的总发行金额、与人民币的兑换比例区间、使用用途、退换政策等，并说明发行虚拟货币的合法合规性。</w:t>
      </w:r>
    </w:p>
    <w:p>
      <w:pPr>
        <w:pStyle w:val="17"/>
        <w:shd w:val="clear" w:color="auto" w:fill="FFFFFF"/>
        <w:spacing w:line="600" w:lineRule="exact"/>
        <w:ind w:firstLine="643"/>
        <w:rPr>
          <w:rFonts w:eastAsia="仿宋"/>
          <w:sz w:val="32"/>
          <w:szCs w:val="32"/>
        </w:rPr>
      </w:pPr>
      <w:r>
        <w:rPr>
          <w:rFonts w:hint="eastAsia" w:eastAsia="仿宋"/>
          <w:b/>
          <w:sz w:val="32"/>
          <w:szCs w:val="32"/>
        </w:rPr>
        <w:t xml:space="preserve">第十八条 </w:t>
      </w:r>
      <w:r>
        <w:rPr>
          <w:rFonts w:hint="eastAsia" w:eastAsia="仿宋"/>
          <w:sz w:val="32"/>
          <w:szCs w:val="32"/>
        </w:rPr>
        <w:t>公司从事互联网游戏业务的，应披露：</w:t>
      </w:r>
    </w:p>
    <w:p>
      <w:pPr>
        <w:pStyle w:val="17"/>
        <w:shd w:val="clear" w:color="auto" w:fill="FFFFFF"/>
        <w:spacing w:line="600" w:lineRule="exact"/>
        <w:ind w:firstLine="640"/>
        <w:rPr>
          <w:rFonts w:eastAsia="仿宋"/>
          <w:sz w:val="32"/>
          <w:szCs w:val="32"/>
        </w:rPr>
      </w:pPr>
      <w:r>
        <w:rPr>
          <w:rFonts w:hint="eastAsia" w:eastAsia="仿宋"/>
          <w:sz w:val="32"/>
          <w:szCs w:val="32"/>
        </w:rPr>
        <w:t>（一）报告期内主要游戏（收入占游戏业务总收入30%以上）的具体信息，包括游戏名称、著作权、游戏类型（客户端游戏、网页游戏、移动游戏等）、运营模式（自主运营、联合运营、代理运营等）、收费方式，报告期内主要游戏收入及其占公司游戏业务收入的比例、游戏的运营数据（用户数量、活跃用户数、付费用户数、</w:t>
      </w:r>
      <w:r>
        <w:rPr>
          <w:rFonts w:ascii="Times New Roman" w:hAnsi="Times New Roman" w:eastAsia="仿宋" w:cs="Times New Roman"/>
          <w:sz w:val="32"/>
          <w:szCs w:val="32"/>
        </w:rPr>
        <w:t>ARPU</w:t>
      </w:r>
      <w:r>
        <w:rPr>
          <w:rFonts w:hint="eastAsia" w:eastAsia="仿宋"/>
          <w:sz w:val="32"/>
          <w:szCs w:val="32"/>
        </w:rPr>
        <w:t>值、充值流水等），新增游戏的备案审批情况。</w:t>
      </w:r>
    </w:p>
    <w:p>
      <w:pPr>
        <w:pStyle w:val="17"/>
        <w:shd w:val="clear" w:color="auto" w:fill="FFFFFF"/>
        <w:spacing w:line="600" w:lineRule="exact"/>
        <w:ind w:firstLine="640"/>
        <w:rPr>
          <w:rFonts w:eastAsia="仿宋"/>
          <w:sz w:val="32"/>
          <w:szCs w:val="32"/>
        </w:rPr>
      </w:pPr>
      <w:r>
        <w:rPr>
          <w:rFonts w:hint="eastAsia" w:eastAsia="仿宋"/>
          <w:sz w:val="32"/>
          <w:szCs w:val="32"/>
        </w:rPr>
        <w:t>（二）报告期内主要游戏的推广方式及推广营销费用总额，占公司游戏推广营销费用总额、游戏收入总额的比例。</w:t>
      </w:r>
    </w:p>
    <w:p>
      <w:pPr>
        <w:pStyle w:val="17"/>
        <w:widowControl/>
        <w:shd w:val="clear" w:color="auto" w:fill="FFFFFF"/>
        <w:spacing w:line="600" w:lineRule="exact"/>
        <w:ind w:firstLine="640"/>
        <w:rPr>
          <w:rFonts w:eastAsia="仿宋"/>
          <w:sz w:val="32"/>
          <w:szCs w:val="32"/>
        </w:rPr>
      </w:pPr>
      <w:r>
        <w:rPr>
          <w:rFonts w:hint="eastAsia" w:eastAsia="仿宋"/>
          <w:sz w:val="32"/>
          <w:szCs w:val="32"/>
        </w:rPr>
        <w:t>（三）公司从事游戏平台运营业务的，应披露报告期内游戏平台新增运营的游戏数量、报告期末运营的游戏数量。</w:t>
      </w:r>
    </w:p>
    <w:p>
      <w:pPr>
        <w:spacing w:line="600" w:lineRule="exact"/>
        <w:ind w:firstLine="642" w:firstLineChars="200"/>
        <w:jc w:val="both"/>
        <w:rPr>
          <w:rFonts w:eastAsia="仿宋"/>
          <w:sz w:val="32"/>
          <w:szCs w:val="32"/>
        </w:rPr>
      </w:pPr>
      <w:r>
        <w:rPr>
          <w:rFonts w:hint="eastAsia" w:eastAsia="仿宋"/>
          <w:b/>
          <w:sz w:val="32"/>
          <w:szCs w:val="32"/>
        </w:rPr>
        <w:t xml:space="preserve">第十九条 </w:t>
      </w:r>
      <w:r>
        <w:rPr>
          <w:rFonts w:hint="eastAsia" w:eastAsia="仿宋"/>
          <w:sz w:val="32"/>
          <w:szCs w:val="32"/>
        </w:rPr>
        <w:t>公司从事互联网视听（包括视频、音频及网络直播）业务的，应披露：</w:t>
      </w:r>
    </w:p>
    <w:p>
      <w:pPr>
        <w:spacing w:line="600" w:lineRule="exact"/>
        <w:ind w:firstLine="640" w:firstLineChars="200"/>
        <w:jc w:val="both"/>
        <w:rPr>
          <w:rFonts w:eastAsia="仿宋"/>
          <w:sz w:val="32"/>
          <w:szCs w:val="32"/>
        </w:rPr>
      </w:pPr>
      <w:r>
        <w:rPr>
          <w:rFonts w:hint="eastAsia" w:eastAsia="仿宋"/>
          <w:sz w:val="32"/>
          <w:szCs w:val="32"/>
        </w:rPr>
        <w:t>（一）按照不同终端类型（如PC客户端、网页端、移动端、其他终端等）披露报告期内互联网视听业务的运营情况，包括日均页面浏览量、日均独立访问者数量、日均视频播放量、点击转化率、注册用户数、用户平均停留时长、付费用户数、ARPU值等。</w:t>
      </w:r>
    </w:p>
    <w:p>
      <w:pPr>
        <w:spacing w:line="600" w:lineRule="exact"/>
        <w:ind w:firstLine="640" w:firstLineChars="200"/>
        <w:jc w:val="both"/>
        <w:rPr>
          <w:rFonts w:eastAsia="仿宋"/>
          <w:sz w:val="32"/>
          <w:szCs w:val="32"/>
        </w:rPr>
      </w:pPr>
      <w:r>
        <w:rPr>
          <w:rFonts w:hint="eastAsia" w:eastAsia="仿宋"/>
          <w:sz w:val="32"/>
          <w:szCs w:val="32"/>
        </w:rPr>
        <w:t>（二）结合互联网视听业务的盈利模式和经营特点，披露报告期内各项业务的经营情况：1、采用包月（年）等方式付费的业务，应披露付费用户数量及渗透率、平均付费金额及续费率等；2、付费点播业务，应披露付费点播总次数、平均付费金额；3、广告业务，应披露广告主数量和平均广告收入；4、网络直播业务，应披露虚拟币及虚拟礼物的交易总额、主播数量、主播与平台的分成比例区间等。</w:t>
      </w:r>
    </w:p>
    <w:p>
      <w:pPr>
        <w:spacing w:line="600" w:lineRule="exact"/>
        <w:ind w:firstLine="642" w:firstLineChars="200"/>
        <w:jc w:val="both"/>
        <w:rPr>
          <w:rFonts w:eastAsia="仿宋"/>
          <w:sz w:val="32"/>
          <w:szCs w:val="32"/>
        </w:rPr>
      </w:pPr>
      <w:r>
        <w:rPr>
          <w:rFonts w:hint="eastAsia" w:eastAsia="仿宋"/>
          <w:b/>
          <w:sz w:val="32"/>
          <w:szCs w:val="32"/>
        </w:rPr>
        <w:t xml:space="preserve">第二十条 </w:t>
      </w:r>
      <w:r>
        <w:rPr>
          <w:rFonts w:hint="eastAsia" w:eastAsia="仿宋"/>
          <w:sz w:val="32"/>
          <w:szCs w:val="32"/>
        </w:rPr>
        <w:t>公司从事电子商务平台（包括跨境电子商务平台）运营的，应披露：</w:t>
      </w:r>
    </w:p>
    <w:p>
      <w:pPr>
        <w:spacing w:line="600" w:lineRule="exact"/>
        <w:ind w:firstLine="640" w:firstLineChars="200"/>
        <w:jc w:val="both"/>
        <w:rPr>
          <w:rFonts w:eastAsia="仿宋"/>
          <w:sz w:val="32"/>
          <w:szCs w:val="32"/>
        </w:rPr>
      </w:pPr>
      <w:r>
        <w:rPr>
          <w:rFonts w:hint="eastAsia" w:eastAsia="仿宋"/>
          <w:sz w:val="32"/>
          <w:szCs w:val="32"/>
        </w:rPr>
        <w:t>（一）报告期内电子商务网站的运营情况，包括页面浏览量、注册用户数、活跃用户数、付费用户数、ARPU值等；从事移动电子商务业务的，应当披露总装机量、付费用户数、ARPU值等。</w:t>
      </w:r>
    </w:p>
    <w:p>
      <w:pPr>
        <w:spacing w:line="600" w:lineRule="exact"/>
        <w:ind w:firstLine="640" w:firstLineChars="200"/>
        <w:jc w:val="both"/>
        <w:rPr>
          <w:rFonts w:eastAsia="仿宋"/>
          <w:sz w:val="32"/>
          <w:szCs w:val="32"/>
        </w:rPr>
      </w:pPr>
      <w:r>
        <w:rPr>
          <w:rFonts w:hint="eastAsia" w:eastAsia="仿宋"/>
          <w:sz w:val="32"/>
          <w:szCs w:val="32"/>
        </w:rPr>
        <w:t>（二）报告期内业务整体经营情况，包括电子商务平台的总订单数、总交易金额、货币化率、SKU（自营产品和第三方卖家产品）等。结合业务模式披露各项业务的经营情况：1、自营产品销售业务，应披露自营商品交易订单数、总交易金额、平均订单金额等；2、广告业务，应披露广告类型、广告客户数量、总金额等；3、交易佣金、增值服务等其他业务模式，应按照业务模式类型披露收入构成、比例、付费客户数（如有）等。</w:t>
      </w:r>
    </w:p>
    <w:p>
      <w:pPr>
        <w:spacing w:line="600" w:lineRule="exact"/>
        <w:ind w:firstLine="640" w:firstLineChars="200"/>
        <w:jc w:val="both"/>
        <w:rPr>
          <w:rFonts w:eastAsia="仿宋"/>
          <w:sz w:val="32"/>
          <w:szCs w:val="32"/>
        </w:rPr>
      </w:pPr>
      <w:r>
        <w:rPr>
          <w:rFonts w:hint="eastAsia" w:eastAsia="仿宋"/>
          <w:sz w:val="32"/>
          <w:szCs w:val="32"/>
        </w:rPr>
        <w:t>（三）物流业务情况，包括其物流业务模式（自建或外包）、物流业务投入金额、物流运营效率（如库存周转率）等。</w:t>
      </w:r>
    </w:p>
    <w:p>
      <w:pPr>
        <w:spacing w:line="600" w:lineRule="exact"/>
        <w:ind w:firstLine="640" w:firstLineChars="200"/>
        <w:jc w:val="both"/>
        <w:rPr>
          <w:rFonts w:eastAsia="仿宋"/>
          <w:sz w:val="32"/>
          <w:szCs w:val="32"/>
        </w:rPr>
      </w:pPr>
      <w:r>
        <w:rPr>
          <w:rFonts w:hint="eastAsia" w:eastAsia="仿宋"/>
          <w:sz w:val="32"/>
          <w:szCs w:val="32"/>
        </w:rPr>
        <w:t>（四）报告期内对平台内经营者知识产权侵权、资质瑕疵或无资质经营等的监督处理以及公示情况。</w:t>
      </w:r>
    </w:p>
    <w:p>
      <w:pPr>
        <w:spacing w:line="600" w:lineRule="exact"/>
        <w:ind w:firstLine="642" w:firstLineChars="200"/>
        <w:jc w:val="both"/>
        <w:rPr>
          <w:rFonts w:eastAsia="仿宋"/>
          <w:sz w:val="32"/>
          <w:szCs w:val="32"/>
        </w:rPr>
      </w:pPr>
      <w:r>
        <w:rPr>
          <w:rFonts w:hint="eastAsia" w:eastAsia="仿宋"/>
          <w:b/>
          <w:sz w:val="32"/>
          <w:szCs w:val="32"/>
        </w:rPr>
        <w:t xml:space="preserve">第二十一条 </w:t>
      </w:r>
      <w:r>
        <w:rPr>
          <w:rFonts w:hint="eastAsia" w:eastAsia="仿宋"/>
          <w:sz w:val="32"/>
          <w:szCs w:val="32"/>
        </w:rPr>
        <w:t>公司从事互联网营销（广告）业务的，应披露：</w:t>
      </w:r>
    </w:p>
    <w:p>
      <w:pPr>
        <w:spacing w:line="600" w:lineRule="exact"/>
        <w:ind w:firstLine="640" w:firstLineChars="200"/>
        <w:jc w:val="both"/>
        <w:rPr>
          <w:rFonts w:eastAsia="仿宋"/>
          <w:sz w:val="32"/>
          <w:szCs w:val="32"/>
        </w:rPr>
      </w:pPr>
      <w:r>
        <w:rPr>
          <w:rFonts w:hint="eastAsia" w:eastAsia="仿宋"/>
          <w:sz w:val="32"/>
          <w:szCs w:val="32"/>
        </w:rPr>
        <w:t>（一）报告期内公司所处的产业链环节及具体业务模式、公司数据或者流量的导入方式，移动端和非移动端覆盖的用户数量及日均活跃用户数量。</w:t>
      </w:r>
    </w:p>
    <w:p>
      <w:pPr>
        <w:spacing w:line="600" w:lineRule="exact"/>
        <w:ind w:firstLine="640" w:firstLineChars="200"/>
        <w:jc w:val="both"/>
        <w:rPr>
          <w:rFonts w:eastAsia="仿宋"/>
          <w:sz w:val="32"/>
          <w:szCs w:val="32"/>
        </w:rPr>
      </w:pPr>
      <w:r>
        <w:rPr>
          <w:rFonts w:hint="eastAsia" w:eastAsia="仿宋"/>
          <w:sz w:val="32"/>
          <w:szCs w:val="32"/>
        </w:rPr>
        <w:t>（二）计费模式（CPA、CPC、CPS等）；反映公司主要业务标准（如转化率、点击率、展现率等）相关的技术指标；公司在主要合作平台（如需求方平台、供应方平台、广告交易平台等）上的交易金额及所占比例；按照主要合作媒体的类别（如门户网站、搜索平台、应用开发商等）汇总披露采购金额。</w:t>
      </w:r>
    </w:p>
    <w:p>
      <w:pPr>
        <w:spacing w:line="600" w:lineRule="exact"/>
        <w:ind w:firstLine="640" w:firstLineChars="200"/>
        <w:jc w:val="both"/>
        <w:rPr>
          <w:rFonts w:eastAsia="仿宋"/>
          <w:sz w:val="32"/>
          <w:szCs w:val="32"/>
        </w:rPr>
      </w:pPr>
      <w:r>
        <w:rPr>
          <w:rFonts w:hint="eastAsia" w:eastAsia="仿宋"/>
          <w:sz w:val="32"/>
          <w:szCs w:val="32"/>
        </w:rPr>
        <w:t>（三）公司从事限制类广告业务的（如金融、医药等），应披露宣传方式、</w:t>
      </w:r>
      <w:r>
        <w:rPr>
          <w:rFonts w:eastAsia="仿宋"/>
          <w:sz w:val="32"/>
          <w:szCs w:val="32"/>
        </w:rPr>
        <w:t>宣传内容</w:t>
      </w:r>
      <w:r>
        <w:rPr>
          <w:rFonts w:hint="eastAsia" w:eastAsia="仿宋"/>
          <w:sz w:val="32"/>
          <w:szCs w:val="32"/>
        </w:rPr>
        <w:t>、许可及审查、广告批准文号（如需）。</w:t>
      </w:r>
    </w:p>
    <w:p>
      <w:pPr>
        <w:spacing w:line="600" w:lineRule="exact"/>
        <w:ind w:firstLine="642" w:firstLineChars="200"/>
        <w:jc w:val="both"/>
        <w:rPr>
          <w:rFonts w:eastAsia="仿宋"/>
          <w:b/>
          <w:sz w:val="32"/>
          <w:szCs w:val="32"/>
        </w:rPr>
      </w:pPr>
      <w:r>
        <w:rPr>
          <w:rFonts w:hint="eastAsia" w:eastAsia="仿宋"/>
          <w:b/>
          <w:sz w:val="32"/>
          <w:szCs w:val="32"/>
        </w:rPr>
        <w:t xml:space="preserve">第二十二条 </w:t>
      </w:r>
      <w:r>
        <w:rPr>
          <w:rFonts w:hint="eastAsia" w:eastAsia="仿宋"/>
          <w:sz w:val="32"/>
          <w:szCs w:val="32"/>
        </w:rPr>
        <w:t>公司从事电商代运营业务的，应披露代运营业务的前五大客户、合作模式、合作期限，报告期内代理商品的总销售额、服务费收入、销售提成收入，主要代销商品的提成标准及提成金额、绩效退回情况，对于可能导致与重要客户合作解除的重大事件，公司应说明对业务开展可能产生的影响，并作风险提示。</w:t>
      </w:r>
    </w:p>
    <w:p>
      <w:pPr>
        <w:spacing w:line="600" w:lineRule="exact"/>
        <w:ind w:firstLine="642" w:firstLineChars="200"/>
        <w:jc w:val="both"/>
        <w:rPr>
          <w:rFonts w:eastAsia="仿宋"/>
          <w:color w:val="FF0000"/>
          <w:sz w:val="32"/>
          <w:szCs w:val="32"/>
        </w:rPr>
      </w:pPr>
      <w:r>
        <w:rPr>
          <w:rFonts w:hint="eastAsia" w:eastAsia="仿宋"/>
          <w:b/>
          <w:sz w:val="32"/>
          <w:szCs w:val="32"/>
        </w:rPr>
        <w:t xml:space="preserve">第二十三条 </w:t>
      </w:r>
      <w:r>
        <w:rPr>
          <w:rFonts w:hint="eastAsia" w:eastAsia="仿宋"/>
          <w:sz w:val="32"/>
          <w:szCs w:val="32"/>
        </w:rPr>
        <w:t>从事自媒体运营业务的，应披露公司自营及签约自媒体平台的运营模式、账号</w:t>
      </w:r>
      <w:r>
        <w:rPr>
          <w:rFonts w:eastAsia="仿宋"/>
          <w:sz w:val="32"/>
          <w:szCs w:val="32"/>
        </w:rPr>
        <w:t>权属、</w:t>
      </w:r>
      <w:r>
        <w:rPr>
          <w:rFonts w:hint="eastAsia" w:eastAsia="仿宋"/>
          <w:sz w:val="32"/>
          <w:szCs w:val="32"/>
        </w:rPr>
        <w:t>粉丝数量</w:t>
      </w:r>
      <w:r>
        <w:rPr>
          <w:rFonts w:eastAsia="仿宋"/>
          <w:sz w:val="32"/>
          <w:szCs w:val="32"/>
        </w:rPr>
        <w:t>、更新频率、打赏</w:t>
      </w:r>
      <w:r>
        <w:rPr>
          <w:rFonts w:hint="eastAsia" w:eastAsia="仿宋"/>
          <w:sz w:val="32"/>
          <w:szCs w:val="32"/>
        </w:rPr>
        <w:t>金额、发布内容主要</w:t>
      </w:r>
      <w:r>
        <w:rPr>
          <w:rFonts w:eastAsia="仿宋"/>
          <w:sz w:val="32"/>
          <w:szCs w:val="32"/>
        </w:rPr>
        <w:t>类型</w:t>
      </w:r>
      <w:r>
        <w:rPr>
          <w:rFonts w:hint="eastAsia" w:eastAsia="仿宋"/>
          <w:sz w:val="32"/>
          <w:szCs w:val="32"/>
        </w:rPr>
        <w:t>。</w:t>
      </w:r>
    </w:p>
    <w:p>
      <w:pPr>
        <w:spacing w:line="600" w:lineRule="exact"/>
        <w:ind w:firstLine="642" w:firstLineChars="200"/>
        <w:jc w:val="both"/>
        <w:rPr>
          <w:rFonts w:eastAsia="仿宋"/>
          <w:sz w:val="32"/>
          <w:szCs w:val="32"/>
        </w:rPr>
      </w:pPr>
      <w:r>
        <w:rPr>
          <w:rFonts w:hint="eastAsia" w:eastAsia="仿宋"/>
          <w:b/>
          <w:sz w:val="32"/>
          <w:szCs w:val="32"/>
        </w:rPr>
        <w:t xml:space="preserve">第二十四条 </w:t>
      </w:r>
      <w:r>
        <w:rPr>
          <w:rFonts w:hint="eastAsia" w:eastAsia="仿宋"/>
          <w:sz w:val="32"/>
          <w:szCs w:val="32"/>
        </w:rPr>
        <w:t>公司从事其他互联网平台业务的（如网约车、互联网旅游、</w:t>
      </w:r>
      <w:r>
        <w:rPr>
          <w:rFonts w:eastAsia="仿宋"/>
          <w:sz w:val="32"/>
          <w:szCs w:val="32"/>
        </w:rPr>
        <w:t>社交、婚介</w:t>
      </w:r>
      <w:r>
        <w:rPr>
          <w:rFonts w:hint="eastAsia" w:eastAsia="仿宋"/>
          <w:sz w:val="32"/>
          <w:szCs w:val="32"/>
        </w:rPr>
        <w:t>平台等），应披露公司所处的产业链环节及具体业务模式、产品或服务类型、从业人员资质（如需取得）、公司业务推广措施，按照不同终端类型（如PC客户端、网页端、移动端、其他终端等）披露报告期内公司业务的运营情况，包括注册人数、活跃会员数、月均访问次数和月均有效使用时长等。</w:t>
      </w:r>
    </w:p>
    <w:p>
      <w:pPr>
        <w:spacing w:line="600" w:lineRule="exact"/>
        <w:ind w:firstLine="642" w:firstLineChars="200"/>
        <w:jc w:val="both"/>
        <w:rPr>
          <w:rFonts w:eastAsia="仿宋"/>
          <w:sz w:val="32"/>
          <w:szCs w:val="32"/>
        </w:rPr>
      </w:pPr>
      <w:r>
        <w:rPr>
          <w:rFonts w:hint="eastAsia" w:eastAsia="仿宋"/>
          <w:b/>
          <w:sz w:val="32"/>
          <w:szCs w:val="32"/>
        </w:rPr>
        <w:t xml:space="preserve">第二十五条 </w:t>
      </w:r>
      <w:r>
        <w:rPr>
          <w:rFonts w:eastAsia="仿宋"/>
          <w:sz w:val="32"/>
          <w:szCs w:val="32"/>
        </w:rPr>
        <w:t>本指引第十</w:t>
      </w:r>
      <w:r>
        <w:rPr>
          <w:rFonts w:hint="eastAsia" w:eastAsia="仿宋"/>
          <w:sz w:val="32"/>
          <w:szCs w:val="32"/>
        </w:rPr>
        <w:t>八</w:t>
      </w:r>
      <w:r>
        <w:rPr>
          <w:rFonts w:eastAsia="仿宋"/>
          <w:sz w:val="32"/>
          <w:szCs w:val="32"/>
        </w:rPr>
        <w:t>条至第二十</w:t>
      </w:r>
      <w:r>
        <w:rPr>
          <w:rFonts w:hint="eastAsia" w:eastAsia="仿宋"/>
          <w:sz w:val="32"/>
          <w:szCs w:val="32"/>
        </w:rPr>
        <w:t>四</w:t>
      </w:r>
      <w:r>
        <w:rPr>
          <w:rFonts w:eastAsia="仿宋"/>
          <w:sz w:val="32"/>
          <w:szCs w:val="32"/>
        </w:rPr>
        <w:t>条</w:t>
      </w:r>
      <w:r>
        <w:rPr>
          <w:rFonts w:hint="eastAsia" w:eastAsia="仿宋"/>
          <w:sz w:val="32"/>
          <w:szCs w:val="32"/>
        </w:rPr>
        <w:t>，公司报告期内对应细分</w:t>
      </w:r>
      <w:r>
        <w:rPr>
          <w:rFonts w:eastAsia="仿宋"/>
          <w:sz w:val="32"/>
          <w:szCs w:val="32"/>
        </w:rPr>
        <w:t>业务营业收入占合并财务报表营业收入的</w:t>
      </w:r>
      <w:r>
        <w:rPr>
          <w:rFonts w:hint="eastAsia" w:eastAsia="仿宋"/>
          <w:sz w:val="32"/>
          <w:szCs w:val="32"/>
        </w:rPr>
        <w:t>10</w:t>
      </w:r>
      <w:r>
        <w:rPr>
          <w:rFonts w:eastAsia="仿宋"/>
          <w:sz w:val="32"/>
          <w:szCs w:val="32"/>
        </w:rPr>
        <w:t>%</w:t>
      </w:r>
      <w:r>
        <w:rPr>
          <w:rFonts w:hint="eastAsia" w:eastAsia="仿宋"/>
          <w:sz w:val="32"/>
          <w:szCs w:val="32"/>
        </w:rPr>
        <w:t>以下</w:t>
      </w:r>
      <w:r>
        <w:rPr>
          <w:rFonts w:eastAsia="仿宋"/>
          <w:sz w:val="32"/>
          <w:szCs w:val="32"/>
        </w:rPr>
        <w:t>的，</w:t>
      </w:r>
      <w:r>
        <w:rPr>
          <w:rFonts w:hint="eastAsia" w:eastAsia="仿宋"/>
          <w:sz w:val="32"/>
          <w:szCs w:val="32"/>
        </w:rPr>
        <w:t>可免于</w:t>
      </w:r>
      <w:r>
        <w:rPr>
          <w:rFonts w:eastAsia="仿宋"/>
          <w:sz w:val="32"/>
          <w:szCs w:val="32"/>
        </w:rPr>
        <w:t>披露</w:t>
      </w:r>
      <w:r>
        <w:rPr>
          <w:rFonts w:hint="eastAsia" w:eastAsia="仿宋"/>
          <w:sz w:val="32"/>
          <w:szCs w:val="32"/>
        </w:rPr>
        <w:t>。</w:t>
      </w:r>
    </w:p>
    <w:p>
      <w:pPr>
        <w:spacing w:line="600" w:lineRule="exact"/>
        <w:ind w:firstLine="642" w:firstLineChars="200"/>
        <w:jc w:val="both"/>
        <w:rPr>
          <w:rFonts w:eastAsia="仿宋"/>
          <w:sz w:val="32"/>
          <w:szCs w:val="32"/>
        </w:rPr>
      </w:pPr>
      <w:r>
        <w:rPr>
          <w:rFonts w:hint="eastAsia" w:eastAsia="仿宋"/>
          <w:b/>
          <w:sz w:val="32"/>
          <w:szCs w:val="32"/>
        </w:rPr>
        <w:t xml:space="preserve">第二十六条 </w:t>
      </w:r>
      <w:r>
        <w:rPr>
          <w:rFonts w:hint="eastAsia" w:eastAsia="仿宋"/>
          <w:sz w:val="32"/>
          <w:szCs w:val="32"/>
        </w:rPr>
        <w:t>公司参照《公开发行证券的公司信息披露编报规则第15号——财务报告的一般规定》披露财务报表附注时，应当同时按照以下要求履行信息披露义务：</w:t>
      </w:r>
    </w:p>
    <w:p>
      <w:pPr>
        <w:spacing w:line="600" w:lineRule="exact"/>
        <w:ind w:firstLine="640" w:firstLineChars="200"/>
        <w:jc w:val="both"/>
        <w:rPr>
          <w:rFonts w:eastAsia="仿宋"/>
          <w:sz w:val="32"/>
          <w:szCs w:val="32"/>
        </w:rPr>
      </w:pPr>
      <w:r>
        <w:rPr>
          <w:rFonts w:hint="eastAsia" w:eastAsia="仿宋"/>
          <w:sz w:val="32"/>
          <w:szCs w:val="32"/>
        </w:rPr>
        <w:t>（一）公司应结合自身盈利模式和产品特点，披露收入确认方法，确认收入的时点、依据、条件等。电子商务业务应结合付费方式（预付费、后付费等）、销售退回情况等说明收入确认时点及依据。涉及虚拟道具的</w:t>
      </w:r>
      <w:r>
        <w:rPr>
          <w:rFonts w:eastAsia="仿宋"/>
          <w:sz w:val="32"/>
          <w:szCs w:val="32"/>
        </w:rPr>
        <w:t>，</w:t>
      </w:r>
      <w:r>
        <w:rPr>
          <w:rFonts w:hint="eastAsia" w:eastAsia="仿宋"/>
          <w:sz w:val="32"/>
          <w:szCs w:val="32"/>
        </w:rPr>
        <w:t>应说明分类判断依据（一次性消耗性道具、有限期间使用道具和永久性道具）及各类虚拟道具的会计处理方式。</w:t>
      </w:r>
    </w:p>
    <w:p>
      <w:pPr>
        <w:spacing w:line="600" w:lineRule="exact"/>
        <w:ind w:firstLine="640" w:firstLineChars="200"/>
        <w:jc w:val="both"/>
        <w:rPr>
          <w:rFonts w:eastAsia="仿宋"/>
          <w:sz w:val="32"/>
          <w:szCs w:val="32"/>
        </w:rPr>
      </w:pPr>
      <w:r>
        <w:rPr>
          <w:rFonts w:hint="eastAsia" w:eastAsia="仿宋"/>
          <w:sz w:val="32"/>
          <w:szCs w:val="32"/>
        </w:rPr>
        <w:t xml:space="preserve">（二）公司应结合不同业务模式，分类披露成本构成情况（无形资产摊销、人工成本等）及其核算方法，包括成本的归集方法、分配方法和结转方法，对重要版权、专利权等无形资产的成本结转、摊销方式、余额变动情况进行说明。 </w:t>
      </w:r>
    </w:p>
    <w:p>
      <w:pPr>
        <w:spacing w:line="600" w:lineRule="exact"/>
        <w:ind w:firstLine="640" w:firstLineChars="200"/>
        <w:jc w:val="both"/>
        <w:rPr>
          <w:rFonts w:eastAsia="仿宋"/>
          <w:b/>
          <w:sz w:val="32"/>
          <w:szCs w:val="32"/>
        </w:rPr>
      </w:pPr>
      <w:r>
        <w:rPr>
          <w:rFonts w:hint="eastAsia" w:eastAsia="仿宋"/>
          <w:sz w:val="32"/>
          <w:szCs w:val="32"/>
        </w:rPr>
        <w:t xml:space="preserve"> </w:t>
      </w:r>
    </w:p>
    <w:p>
      <w:pPr>
        <w:snapToGrid w:val="0"/>
        <w:spacing w:line="600" w:lineRule="exact"/>
        <w:jc w:val="center"/>
        <w:outlineLvl w:val="0"/>
        <w:rPr>
          <w:rFonts w:ascii="黑体" w:eastAsia="黑体"/>
          <w:color w:val="000000"/>
          <w:sz w:val="32"/>
          <w:szCs w:val="32"/>
        </w:rPr>
      </w:pPr>
      <w:r>
        <w:rPr>
          <w:rFonts w:hint="eastAsia" w:ascii="黑体" w:eastAsia="黑体"/>
          <w:color w:val="000000"/>
          <w:sz w:val="32"/>
          <w:szCs w:val="32"/>
        </w:rPr>
        <w:t>第三章 临时公</w:t>
      </w:r>
      <w:r>
        <w:rPr>
          <w:rFonts w:ascii="黑体" w:eastAsia="黑体"/>
          <w:color w:val="000000"/>
          <w:sz w:val="32"/>
          <w:szCs w:val="32"/>
        </w:rPr>
        <w:t>告</w:t>
      </w:r>
    </w:p>
    <w:p>
      <w:pPr>
        <w:spacing w:line="600" w:lineRule="exact"/>
        <w:ind w:left="360" w:right="204"/>
        <w:jc w:val="both"/>
        <w:rPr>
          <w:rFonts w:eastAsia="宋体"/>
          <w:sz w:val="24"/>
          <w:szCs w:val="24"/>
        </w:rPr>
      </w:pPr>
    </w:p>
    <w:p>
      <w:pPr>
        <w:pStyle w:val="17"/>
        <w:widowControl/>
        <w:shd w:val="clear" w:color="auto" w:fill="FFFFFF"/>
        <w:spacing w:line="600" w:lineRule="exact"/>
        <w:ind w:firstLine="643"/>
        <w:rPr>
          <w:rFonts w:eastAsia="仿宋"/>
          <w:sz w:val="32"/>
          <w:szCs w:val="32"/>
        </w:rPr>
      </w:pPr>
      <w:r>
        <w:rPr>
          <w:rFonts w:ascii="Times New Roman" w:hAnsi="Times New Roman" w:eastAsia="仿宋" w:cs="Times New Roman"/>
          <w:b/>
          <w:sz w:val="32"/>
          <w:szCs w:val="32"/>
        </w:rPr>
        <w:t>第</w:t>
      </w:r>
      <w:r>
        <w:rPr>
          <w:rFonts w:hint="eastAsia" w:ascii="Times New Roman" w:hAnsi="Times New Roman" w:eastAsia="仿宋" w:cs="Times New Roman"/>
          <w:b/>
          <w:sz w:val="32"/>
          <w:szCs w:val="32"/>
        </w:rPr>
        <w:t>二十七</w:t>
      </w:r>
      <w:r>
        <w:rPr>
          <w:rFonts w:ascii="Times New Roman" w:hAnsi="Times New Roman" w:eastAsia="仿宋" w:cs="Times New Roman"/>
          <w:b/>
          <w:sz w:val="32"/>
          <w:szCs w:val="32"/>
        </w:rPr>
        <w:t>条</w:t>
      </w:r>
      <w:r>
        <w:rPr>
          <w:rFonts w:hint="eastAsia" w:ascii="仿宋_GB2312" w:eastAsia="仿宋_GB2312"/>
          <w:b/>
          <w:color w:val="000000"/>
          <w:kern w:val="0"/>
          <w:sz w:val="32"/>
          <w:szCs w:val="32"/>
        </w:rPr>
        <w:t xml:space="preserve"> </w:t>
      </w:r>
      <w:r>
        <w:rPr>
          <w:rFonts w:hint="eastAsia" w:eastAsia="仿宋"/>
          <w:sz w:val="32"/>
          <w:szCs w:val="32"/>
        </w:rPr>
        <w:t>行业相关政策法规或其他行业影响因素发生重大变化，或发生其他行业性重大事件，对公司具有重大影响的，公司应当及时披露相关情况、对公司经营的影响以及公司拟采取的措施</w:t>
      </w:r>
      <w:r>
        <w:rPr>
          <w:rFonts w:eastAsia="仿宋"/>
          <w:sz w:val="32"/>
          <w:szCs w:val="32"/>
        </w:rPr>
        <w:t>。</w:t>
      </w:r>
    </w:p>
    <w:p>
      <w:pPr>
        <w:pStyle w:val="17"/>
        <w:widowControl/>
        <w:shd w:val="clear" w:color="auto" w:fill="FFFFFF"/>
        <w:spacing w:line="600" w:lineRule="exact"/>
        <w:ind w:firstLine="643"/>
        <w:rPr>
          <w:rFonts w:eastAsia="仿宋"/>
          <w:sz w:val="32"/>
          <w:szCs w:val="32"/>
        </w:rPr>
      </w:pPr>
      <w:r>
        <w:rPr>
          <w:rFonts w:ascii="Times New Roman" w:hAnsi="Times New Roman" w:eastAsia="仿宋" w:cs="Times New Roman"/>
          <w:b/>
          <w:sz w:val="32"/>
          <w:szCs w:val="32"/>
        </w:rPr>
        <w:t>第</w:t>
      </w:r>
      <w:r>
        <w:rPr>
          <w:rFonts w:hint="eastAsia" w:ascii="Times New Roman" w:hAnsi="Times New Roman" w:eastAsia="仿宋" w:cs="Times New Roman"/>
          <w:b/>
          <w:sz w:val="32"/>
          <w:szCs w:val="32"/>
        </w:rPr>
        <w:t>二十八</w:t>
      </w:r>
      <w:r>
        <w:rPr>
          <w:rFonts w:ascii="Times New Roman" w:hAnsi="Times New Roman" w:eastAsia="仿宋" w:cs="Times New Roman"/>
          <w:b/>
          <w:sz w:val="32"/>
          <w:szCs w:val="32"/>
        </w:rPr>
        <w:t>条</w:t>
      </w:r>
      <w:r>
        <w:rPr>
          <w:rFonts w:hint="eastAsia" w:ascii="Times New Roman" w:hAnsi="Times New Roman" w:eastAsia="仿宋" w:cs="Times New Roman"/>
          <w:b/>
          <w:sz w:val="32"/>
          <w:szCs w:val="32"/>
        </w:rPr>
        <w:t xml:space="preserve"> </w:t>
      </w:r>
      <w:r>
        <w:rPr>
          <w:rFonts w:hint="eastAsia" w:eastAsia="仿宋"/>
          <w:sz w:val="32"/>
          <w:szCs w:val="32"/>
        </w:rPr>
        <w:t>公司应及时披露对经营具有重要影响的许可或备案等资质变动情况，披露内容包括许可或备案类型、变动原因、有效期、取得主体和适用范围等。公司出现影响重要资质有效存续情形的，应及时披露对公司经营可能产生的影响及公司已采取或拟采取的应对措施。</w:t>
      </w:r>
    </w:p>
    <w:p>
      <w:pPr>
        <w:pStyle w:val="17"/>
        <w:widowControl/>
        <w:shd w:val="clear" w:color="auto" w:fill="FFFFFF"/>
        <w:spacing w:line="600" w:lineRule="exact"/>
        <w:ind w:firstLine="643"/>
        <w:rPr>
          <w:rFonts w:eastAsia="仿宋"/>
          <w:sz w:val="32"/>
          <w:szCs w:val="32"/>
        </w:rPr>
      </w:pPr>
      <w:r>
        <w:rPr>
          <w:rFonts w:ascii="Times New Roman" w:hAnsi="Times New Roman" w:eastAsia="仿宋" w:cs="Times New Roman"/>
          <w:b/>
          <w:sz w:val="32"/>
          <w:szCs w:val="32"/>
        </w:rPr>
        <w:t>第</w:t>
      </w:r>
      <w:r>
        <w:rPr>
          <w:rFonts w:hint="eastAsia" w:ascii="Times New Roman" w:hAnsi="Times New Roman" w:eastAsia="仿宋" w:cs="Times New Roman"/>
          <w:b/>
          <w:sz w:val="32"/>
          <w:szCs w:val="32"/>
        </w:rPr>
        <w:t>二十九</w:t>
      </w:r>
      <w:r>
        <w:rPr>
          <w:rFonts w:ascii="Times New Roman" w:hAnsi="Times New Roman" w:eastAsia="仿宋" w:cs="Times New Roman"/>
          <w:b/>
          <w:sz w:val="32"/>
          <w:szCs w:val="32"/>
        </w:rPr>
        <w:t>条</w:t>
      </w:r>
      <w:r>
        <w:rPr>
          <w:rFonts w:hint="eastAsia" w:ascii="Times New Roman" w:hAnsi="Times New Roman" w:eastAsia="仿宋" w:cs="Times New Roman"/>
          <w:b/>
          <w:sz w:val="32"/>
          <w:szCs w:val="32"/>
        </w:rPr>
        <w:t xml:space="preserve"> </w:t>
      </w:r>
      <w:r>
        <w:rPr>
          <w:rFonts w:hint="eastAsia" w:eastAsia="仿宋"/>
          <w:sz w:val="32"/>
          <w:szCs w:val="32"/>
        </w:rPr>
        <w:t>公司重要知识产权发生变化的，应及时披露相关信息。知识产权增加的，应披露知识产权名称、取得方式、取得时间。受让取得知识产权的，应披露受让程序（包括合同签署情况及登记备案情况等）、计价方法及其公允性等；通过许可使用知识产权的，应披露许可方、许可使用的方式、范围、期限及公司业务对该知识产权的依赖程度。知识产权减少的，应披露其账面价值、减少原因及对公司经营的影响。涉及无形资产评估的，应披露评估方法、评估价值</w:t>
      </w:r>
      <w:r>
        <w:rPr>
          <w:rFonts w:eastAsia="仿宋"/>
          <w:sz w:val="32"/>
          <w:szCs w:val="32"/>
        </w:rPr>
        <w:t>。</w:t>
      </w:r>
    </w:p>
    <w:p>
      <w:pPr>
        <w:spacing w:line="600" w:lineRule="exact"/>
        <w:ind w:firstLine="642" w:firstLineChars="200"/>
        <w:jc w:val="both"/>
        <w:rPr>
          <w:rFonts w:eastAsia="仿宋"/>
          <w:sz w:val="32"/>
          <w:szCs w:val="32"/>
        </w:rPr>
      </w:pPr>
      <w:r>
        <w:rPr>
          <w:rFonts w:eastAsia="仿宋"/>
          <w:b/>
          <w:sz w:val="32"/>
          <w:szCs w:val="32"/>
        </w:rPr>
        <w:t>第</w:t>
      </w:r>
      <w:r>
        <w:rPr>
          <w:rFonts w:hint="eastAsia" w:eastAsia="仿宋"/>
          <w:b/>
          <w:sz w:val="32"/>
          <w:szCs w:val="32"/>
        </w:rPr>
        <w:t>三十</w:t>
      </w:r>
      <w:r>
        <w:rPr>
          <w:rFonts w:eastAsia="仿宋"/>
          <w:b/>
          <w:sz w:val="32"/>
          <w:szCs w:val="32"/>
        </w:rPr>
        <w:t>条</w:t>
      </w:r>
      <w:r>
        <w:rPr>
          <w:rFonts w:hint="eastAsia" w:eastAsia="仿宋"/>
          <w:b/>
          <w:sz w:val="32"/>
          <w:szCs w:val="32"/>
        </w:rPr>
        <w:t xml:space="preserve"> </w:t>
      </w:r>
      <w:r>
        <w:rPr>
          <w:rFonts w:hint="eastAsia" w:eastAsia="仿宋"/>
          <w:sz w:val="32"/>
          <w:szCs w:val="32"/>
        </w:rPr>
        <w:t>公司因发生重大信息安全事故被相关部门行政处罚、采取行政监管措施或调查、检查的，应及时披露重大信息安全事故的基本情况、对公司生产经营产生的影响、公司需承担的赔偿或补偿责任，以及公司已采取或拟采取的应对措施及有效性。</w:t>
      </w:r>
    </w:p>
    <w:p>
      <w:pPr>
        <w:pStyle w:val="17"/>
        <w:widowControl/>
        <w:shd w:val="clear" w:color="auto" w:fill="FFFFFF"/>
        <w:spacing w:line="600" w:lineRule="exact"/>
        <w:ind w:firstLine="643"/>
        <w:rPr>
          <w:rFonts w:eastAsia="仿宋"/>
          <w:sz w:val="32"/>
          <w:szCs w:val="32"/>
        </w:rPr>
      </w:pPr>
      <w:r>
        <w:rPr>
          <w:rFonts w:ascii="Times New Roman" w:hAnsi="Times New Roman" w:eastAsia="仿宋" w:cs="Times New Roman"/>
          <w:b/>
          <w:sz w:val="32"/>
          <w:szCs w:val="32"/>
        </w:rPr>
        <w:t>第</w:t>
      </w:r>
      <w:r>
        <w:rPr>
          <w:rFonts w:hint="eastAsia" w:ascii="Times New Roman" w:hAnsi="Times New Roman" w:eastAsia="仿宋" w:cs="Times New Roman"/>
          <w:b/>
          <w:sz w:val="32"/>
          <w:szCs w:val="32"/>
        </w:rPr>
        <w:t>三十一</w:t>
      </w:r>
      <w:r>
        <w:rPr>
          <w:rFonts w:ascii="Times New Roman" w:hAnsi="Times New Roman" w:eastAsia="仿宋" w:cs="Times New Roman"/>
          <w:b/>
          <w:sz w:val="32"/>
          <w:szCs w:val="32"/>
        </w:rPr>
        <w:t>条</w:t>
      </w:r>
      <w:r>
        <w:rPr>
          <w:rFonts w:hint="eastAsia" w:ascii="Times New Roman" w:hAnsi="Times New Roman" w:eastAsia="仿宋" w:cs="Times New Roman"/>
          <w:b/>
          <w:sz w:val="32"/>
          <w:szCs w:val="32"/>
        </w:rPr>
        <w:t xml:space="preserve"> </w:t>
      </w:r>
      <w:r>
        <w:rPr>
          <w:rFonts w:hint="eastAsia" w:ascii="Times New Roman" w:hAnsi="Times New Roman" w:eastAsia="仿宋" w:cs="Times New Roman"/>
          <w:sz w:val="32"/>
          <w:szCs w:val="32"/>
        </w:rPr>
        <w:t>公司因违规获取和使用客户信息、虚构交易、编造用户评价、商品质量问题（包括自营及商家销售的商品）、知识产权侵权、资质瑕疵、跨境转移利润、逃避缴纳税收等情况受到相关部门处罚或导致客户纠纷投诉，对公司产生重大影响以及引起媒体广泛报道与质疑的，应及时披露相关事件进展情况、规范措施及对公司经营的影响。</w:t>
      </w:r>
    </w:p>
    <w:p>
      <w:pPr>
        <w:pStyle w:val="17"/>
        <w:widowControl/>
        <w:shd w:val="clear" w:color="auto" w:fill="FFFFFF"/>
        <w:spacing w:line="600" w:lineRule="exact"/>
        <w:ind w:firstLine="0" w:firstLineChars="0"/>
        <w:rPr>
          <w:rFonts w:ascii="Times New Roman" w:hAnsi="Times New Roman" w:eastAsia="仿宋" w:cs="Times New Roman"/>
          <w:sz w:val="32"/>
          <w:szCs w:val="32"/>
        </w:rPr>
      </w:pPr>
    </w:p>
    <w:p>
      <w:pPr>
        <w:snapToGrid w:val="0"/>
        <w:spacing w:line="600" w:lineRule="exact"/>
        <w:jc w:val="center"/>
        <w:outlineLvl w:val="0"/>
        <w:rPr>
          <w:rFonts w:ascii="黑体" w:eastAsia="黑体"/>
          <w:color w:val="000000"/>
          <w:sz w:val="32"/>
          <w:szCs w:val="32"/>
        </w:rPr>
      </w:pPr>
      <w:r>
        <w:rPr>
          <w:rFonts w:hint="eastAsia" w:ascii="黑体" w:eastAsia="黑体"/>
          <w:color w:val="000000"/>
          <w:sz w:val="32"/>
          <w:szCs w:val="32"/>
        </w:rPr>
        <w:t>第四章 附则</w:t>
      </w:r>
    </w:p>
    <w:p>
      <w:pPr>
        <w:pStyle w:val="17"/>
        <w:widowControl/>
        <w:shd w:val="clear" w:color="auto" w:fill="FFFFFF"/>
        <w:spacing w:line="600" w:lineRule="exact"/>
        <w:ind w:firstLine="0" w:firstLineChars="0"/>
        <w:rPr>
          <w:rFonts w:ascii="Times New Roman" w:hAnsi="Times New Roman" w:eastAsia="仿宋" w:cs="Times New Roman"/>
          <w:sz w:val="32"/>
          <w:szCs w:val="32"/>
        </w:rPr>
      </w:pPr>
    </w:p>
    <w:p>
      <w:pPr>
        <w:pStyle w:val="17"/>
        <w:widowControl/>
        <w:shd w:val="clear" w:color="auto" w:fill="FFFFFF"/>
        <w:spacing w:line="600" w:lineRule="exact"/>
        <w:ind w:firstLine="643"/>
        <w:rPr>
          <w:rFonts w:ascii="Times New Roman" w:hAnsi="Times New Roman" w:eastAsia="仿宋" w:cs="Times New Roman"/>
          <w:sz w:val="32"/>
          <w:szCs w:val="32"/>
        </w:rPr>
      </w:pPr>
      <w:r>
        <w:rPr>
          <w:rFonts w:ascii="Times New Roman" w:hAnsi="Times New Roman" w:eastAsia="仿宋" w:cs="Times New Roman"/>
          <w:b/>
          <w:sz w:val="32"/>
          <w:szCs w:val="32"/>
        </w:rPr>
        <w:t>第</w:t>
      </w:r>
      <w:r>
        <w:rPr>
          <w:rFonts w:hint="eastAsia" w:ascii="Times New Roman" w:hAnsi="Times New Roman" w:eastAsia="仿宋" w:cs="Times New Roman"/>
          <w:b/>
          <w:sz w:val="32"/>
          <w:szCs w:val="32"/>
        </w:rPr>
        <w:t>三十二</w:t>
      </w:r>
      <w:r>
        <w:rPr>
          <w:rFonts w:ascii="Times New Roman" w:hAnsi="Times New Roman" w:eastAsia="仿宋" w:cs="Times New Roman"/>
          <w:b/>
          <w:sz w:val="32"/>
          <w:szCs w:val="32"/>
        </w:rPr>
        <w:t>条</w:t>
      </w:r>
      <w:r>
        <w:rPr>
          <w:rFonts w:hint="eastAsia" w:ascii="Times New Roman" w:hAnsi="Times New Roman" w:eastAsia="仿宋" w:cs="Times New Roman"/>
          <w:b/>
          <w:sz w:val="32"/>
          <w:szCs w:val="32"/>
        </w:rPr>
        <w:t xml:space="preserve"> </w:t>
      </w:r>
      <w:r>
        <w:rPr>
          <w:rFonts w:hint="eastAsia" w:ascii="Times New Roman" w:hAnsi="Times New Roman" w:eastAsia="仿宋" w:cs="Times New Roman"/>
          <w:sz w:val="32"/>
          <w:szCs w:val="32"/>
        </w:rPr>
        <w:t>本指引有关用语含义如下：</w:t>
      </w:r>
    </w:p>
    <w:p>
      <w:pPr>
        <w:shd w:val="clear" w:color="auto" w:fill="FFFFFF"/>
        <w:spacing w:line="600" w:lineRule="exact"/>
        <w:ind w:firstLine="640" w:firstLineChars="200"/>
        <w:jc w:val="both"/>
        <w:rPr>
          <w:rFonts w:eastAsia="仿宋"/>
          <w:sz w:val="32"/>
          <w:szCs w:val="32"/>
        </w:rPr>
      </w:pPr>
      <w:r>
        <w:rPr>
          <w:rFonts w:hint="eastAsia" w:eastAsia="仿宋"/>
          <w:sz w:val="32"/>
          <w:szCs w:val="32"/>
        </w:rPr>
        <w:t>（一）</w:t>
      </w:r>
      <w:bookmarkStart w:id="0" w:name="OLE_LINK2"/>
      <w:bookmarkStart w:id="1" w:name="OLE_LINK3"/>
      <w:bookmarkStart w:id="2" w:name="OLE_LINK1"/>
      <w:r>
        <w:rPr>
          <w:rFonts w:eastAsia="仿宋"/>
          <w:sz w:val="32"/>
          <w:szCs w:val="32"/>
        </w:rPr>
        <w:t>APP</w:t>
      </w:r>
      <w:bookmarkEnd w:id="0"/>
      <w:bookmarkEnd w:id="1"/>
      <w:bookmarkEnd w:id="2"/>
      <w:r>
        <w:rPr>
          <w:rFonts w:hint="eastAsia" w:eastAsia="仿宋"/>
          <w:sz w:val="32"/>
          <w:szCs w:val="32"/>
        </w:rPr>
        <w:t>：</w:t>
      </w:r>
      <w:r>
        <w:rPr>
          <w:rFonts w:eastAsia="仿宋"/>
          <w:sz w:val="32"/>
          <w:szCs w:val="32"/>
        </w:rPr>
        <w:t>Application</w:t>
      </w:r>
      <w:r>
        <w:rPr>
          <w:rFonts w:hint="eastAsia" w:eastAsia="仿宋"/>
          <w:sz w:val="32"/>
          <w:szCs w:val="32"/>
        </w:rPr>
        <w:t>，是指移动互联网应用程序。</w:t>
      </w:r>
    </w:p>
    <w:p>
      <w:pPr>
        <w:shd w:val="clear" w:color="auto" w:fill="FFFFFF"/>
        <w:spacing w:line="600" w:lineRule="exact"/>
        <w:ind w:firstLine="640" w:firstLineChars="200"/>
        <w:jc w:val="both"/>
        <w:rPr>
          <w:rFonts w:eastAsia="仿宋"/>
          <w:sz w:val="32"/>
          <w:szCs w:val="32"/>
        </w:rPr>
      </w:pPr>
      <w:r>
        <w:rPr>
          <w:rFonts w:hint="eastAsia" w:eastAsia="仿宋"/>
          <w:sz w:val="32"/>
          <w:szCs w:val="32"/>
        </w:rPr>
        <w:t>（二）</w:t>
      </w:r>
      <w:r>
        <w:rPr>
          <w:rFonts w:eastAsia="仿宋"/>
          <w:sz w:val="32"/>
          <w:szCs w:val="32"/>
        </w:rPr>
        <w:t>ARPU</w:t>
      </w:r>
      <w:r>
        <w:rPr>
          <w:rFonts w:hint="eastAsia" w:eastAsia="仿宋"/>
          <w:sz w:val="32"/>
          <w:szCs w:val="32"/>
        </w:rPr>
        <w:t>：</w:t>
      </w:r>
      <w:r>
        <w:rPr>
          <w:rFonts w:eastAsia="仿宋"/>
          <w:sz w:val="32"/>
          <w:szCs w:val="32"/>
        </w:rPr>
        <w:t>Average Revenue Per User</w:t>
      </w:r>
      <w:r>
        <w:rPr>
          <w:rFonts w:hint="eastAsia" w:eastAsia="仿宋"/>
          <w:sz w:val="32"/>
          <w:szCs w:val="32"/>
        </w:rPr>
        <w:t>，是指每用户平均收入。</w:t>
      </w:r>
    </w:p>
    <w:p>
      <w:pPr>
        <w:shd w:val="clear" w:color="auto" w:fill="FFFFFF"/>
        <w:spacing w:line="600" w:lineRule="exact"/>
        <w:ind w:firstLine="640" w:firstLineChars="200"/>
        <w:jc w:val="both"/>
        <w:rPr>
          <w:rFonts w:eastAsia="仿宋"/>
          <w:sz w:val="32"/>
          <w:szCs w:val="32"/>
        </w:rPr>
      </w:pPr>
      <w:r>
        <w:rPr>
          <w:rFonts w:hint="eastAsia" w:eastAsia="仿宋"/>
          <w:sz w:val="32"/>
          <w:szCs w:val="32"/>
        </w:rPr>
        <w:t>（三）</w:t>
      </w:r>
      <w:r>
        <w:rPr>
          <w:rFonts w:eastAsia="仿宋"/>
          <w:sz w:val="32"/>
          <w:szCs w:val="32"/>
        </w:rPr>
        <w:t>SKU</w:t>
      </w:r>
      <w:r>
        <w:rPr>
          <w:rFonts w:hint="eastAsia" w:eastAsia="仿宋"/>
          <w:sz w:val="32"/>
          <w:szCs w:val="32"/>
        </w:rPr>
        <w:t>：</w:t>
      </w:r>
      <w:r>
        <w:rPr>
          <w:rFonts w:eastAsia="仿宋"/>
          <w:sz w:val="32"/>
          <w:szCs w:val="32"/>
        </w:rPr>
        <w:t>Stock Keeping Unit</w:t>
      </w:r>
      <w:r>
        <w:rPr>
          <w:rFonts w:hint="eastAsia" w:eastAsia="仿宋"/>
          <w:sz w:val="32"/>
          <w:szCs w:val="32"/>
        </w:rPr>
        <w:t>，是指库存量单位。</w:t>
      </w:r>
    </w:p>
    <w:p>
      <w:pPr>
        <w:shd w:val="clear" w:color="auto" w:fill="FFFFFF"/>
        <w:spacing w:line="600" w:lineRule="exact"/>
        <w:ind w:firstLine="640" w:firstLineChars="200"/>
        <w:jc w:val="both"/>
        <w:rPr>
          <w:rFonts w:eastAsia="仿宋"/>
          <w:sz w:val="32"/>
          <w:szCs w:val="32"/>
        </w:rPr>
      </w:pPr>
      <w:r>
        <w:rPr>
          <w:rFonts w:hint="eastAsia" w:eastAsia="仿宋"/>
          <w:sz w:val="32"/>
          <w:szCs w:val="32"/>
        </w:rPr>
        <w:t>（四）</w:t>
      </w:r>
      <w:r>
        <w:rPr>
          <w:rFonts w:eastAsia="仿宋"/>
          <w:sz w:val="32"/>
          <w:szCs w:val="32"/>
        </w:rPr>
        <w:t>CPA</w:t>
      </w:r>
      <w:r>
        <w:rPr>
          <w:rFonts w:hint="eastAsia" w:eastAsia="仿宋"/>
          <w:sz w:val="32"/>
          <w:szCs w:val="32"/>
        </w:rPr>
        <w:t>：</w:t>
      </w:r>
      <w:r>
        <w:rPr>
          <w:rFonts w:eastAsia="仿宋"/>
          <w:sz w:val="32"/>
          <w:szCs w:val="32"/>
        </w:rPr>
        <w:t>Cost Per Action</w:t>
      </w:r>
      <w:r>
        <w:rPr>
          <w:rFonts w:hint="eastAsia" w:eastAsia="仿宋"/>
          <w:sz w:val="32"/>
          <w:szCs w:val="32"/>
        </w:rPr>
        <w:t>，是指按照新增下载、安装或用户注册等收费的计费模式。</w:t>
      </w:r>
    </w:p>
    <w:p>
      <w:pPr>
        <w:shd w:val="clear" w:color="auto" w:fill="FFFFFF"/>
        <w:spacing w:line="600" w:lineRule="exact"/>
        <w:ind w:firstLine="640" w:firstLineChars="200"/>
        <w:jc w:val="both"/>
        <w:rPr>
          <w:rFonts w:eastAsia="仿宋"/>
          <w:sz w:val="32"/>
          <w:szCs w:val="32"/>
        </w:rPr>
      </w:pPr>
      <w:r>
        <w:rPr>
          <w:rFonts w:hint="eastAsia" w:eastAsia="仿宋"/>
          <w:sz w:val="32"/>
          <w:szCs w:val="32"/>
        </w:rPr>
        <w:t>（五）</w:t>
      </w:r>
      <w:r>
        <w:rPr>
          <w:rFonts w:eastAsia="仿宋"/>
          <w:sz w:val="32"/>
          <w:szCs w:val="32"/>
        </w:rPr>
        <w:t>CPC</w:t>
      </w:r>
      <w:r>
        <w:rPr>
          <w:rFonts w:hint="eastAsia" w:eastAsia="仿宋"/>
          <w:sz w:val="32"/>
          <w:szCs w:val="32"/>
        </w:rPr>
        <w:t>：</w:t>
      </w:r>
      <w:r>
        <w:rPr>
          <w:rFonts w:eastAsia="仿宋"/>
          <w:sz w:val="32"/>
          <w:szCs w:val="32"/>
        </w:rPr>
        <w:t>Cost Per Click</w:t>
      </w:r>
      <w:r>
        <w:rPr>
          <w:rFonts w:hint="eastAsia" w:eastAsia="仿宋"/>
          <w:sz w:val="32"/>
          <w:szCs w:val="32"/>
        </w:rPr>
        <w:t>，是指按照广告投放点击数收费的计费模式。</w:t>
      </w:r>
    </w:p>
    <w:p>
      <w:pPr>
        <w:shd w:val="clear" w:color="auto" w:fill="FFFFFF"/>
        <w:spacing w:line="600" w:lineRule="exact"/>
        <w:ind w:firstLine="640" w:firstLineChars="200"/>
        <w:jc w:val="both"/>
        <w:rPr>
          <w:rFonts w:eastAsia="仿宋"/>
          <w:sz w:val="32"/>
          <w:szCs w:val="32"/>
        </w:rPr>
      </w:pPr>
      <w:r>
        <w:rPr>
          <w:rFonts w:hint="eastAsia" w:eastAsia="仿宋"/>
          <w:sz w:val="32"/>
          <w:szCs w:val="32"/>
        </w:rPr>
        <w:t>（六）</w:t>
      </w:r>
      <w:r>
        <w:rPr>
          <w:rFonts w:eastAsia="仿宋"/>
          <w:sz w:val="32"/>
          <w:szCs w:val="32"/>
        </w:rPr>
        <w:t>CPS</w:t>
      </w:r>
      <w:r>
        <w:rPr>
          <w:rFonts w:hint="eastAsia" w:eastAsia="仿宋"/>
          <w:sz w:val="32"/>
          <w:szCs w:val="32"/>
        </w:rPr>
        <w:t>：</w:t>
      </w:r>
      <w:r>
        <w:rPr>
          <w:rFonts w:eastAsia="仿宋"/>
          <w:sz w:val="32"/>
          <w:szCs w:val="32"/>
        </w:rPr>
        <w:t>Cost Per Sale</w:t>
      </w:r>
      <w:r>
        <w:rPr>
          <w:rFonts w:hint="eastAsia" w:eastAsia="仿宋"/>
          <w:sz w:val="32"/>
          <w:szCs w:val="32"/>
        </w:rPr>
        <w:t>，是指按照新增销售收费的收费模式。</w:t>
      </w:r>
    </w:p>
    <w:p>
      <w:pPr>
        <w:shd w:val="clear" w:color="auto" w:fill="FFFFFF"/>
        <w:spacing w:line="600" w:lineRule="exact"/>
        <w:ind w:firstLine="642" w:firstLineChars="200"/>
        <w:jc w:val="both"/>
        <w:rPr>
          <w:rFonts w:eastAsia="仿宋"/>
          <w:kern w:val="2"/>
          <w:sz w:val="32"/>
          <w:szCs w:val="32"/>
        </w:rPr>
      </w:pPr>
      <w:r>
        <w:rPr>
          <w:rFonts w:eastAsia="仿宋"/>
          <w:b/>
          <w:sz w:val="32"/>
          <w:szCs w:val="32"/>
        </w:rPr>
        <w:t>第</w:t>
      </w:r>
      <w:r>
        <w:rPr>
          <w:rFonts w:hint="eastAsia" w:eastAsia="仿宋"/>
          <w:b/>
          <w:sz w:val="32"/>
          <w:szCs w:val="32"/>
        </w:rPr>
        <w:t>三十三</w:t>
      </w:r>
      <w:r>
        <w:rPr>
          <w:rFonts w:eastAsia="仿宋"/>
          <w:b/>
          <w:sz w:val="32"/>
          <w:szCs w:val="32"/>
        </w:rPr>
        <w:t>条</w:t>
      </w:r>
      <w:r>
        <w:rPr>
          <w:rFonts w:hint="eastAsia" w:eastAsia="仿宋"/>
          <w:b/>
          <w:sz w:val="32"/>
          <w:szCs w:val="32"/>
        </w:rPr>
        <w:t xml:space="preserve"> </w:t>
      </w:r>
      <w:r>
        <w:rPr>
          <w:rFonts w:hint="eastAsia" w:eastAsia="仿宋"/>
          <w:sz w:val="32"/>
          <w:szCs w:val="32"/>
        </w:rPr>
        <w:t>本指引由全国股转公司负责解释。</w:t>
      </w:r>
    </w:p>
    <w:p>
      <w:pPr>
        <w:shd w:val="clear" w:color="auto" w:fill="FFFFFF"/>
        <w:spacing w:line="600" w:lineRule="exact"/>
        <w:ind w:firstLine="642" w:firstLineChars="200"/>
        <w:jc w:val="both"/>
        <w:rPr>
          <w:rFonts w:eastAsia="仿宋"/>
          <w:kern w:val="2"/>
          <w:sz w:val="32"/>
          <w:szCs w:val="32"/>
        </w:rPr>
      </w:pPr>
      <w:r>
        <w:rPr>
          <w:rFonts w:eastAsia="仿宋"/>
          <w:b/>
          <w:sz w:val="32"/>
          <w:szCs w:val="32"/>
        </w:rPr>
        <w:t>第</w:t>
      </w:r>
      <w:r>
        <w:rPr>
          <w:rFonts w:hint="eastAsia" w:eastAsia="仿宋"/>
          <w:b/>
          <w:sz w:val="32"/>
          <w:szCs w:val="32"/>
        </w:rPr>
        <w:t>三十四</w:t>
      </w:r>
      <w:r>
        <w:rPr>
          <w:rFonts w:eastAsia="仿宋"/>
          <w:b/>
          <w:sz w:val="32"/>
          <w:szCs w:val="32"/>
        </w:rPr>
        <w:t>条</w:t>
      </w:r>
      <w:r>
        <w:rPr>
          <w:rFonts w:hint="eastAsia" w:eastAsia="仿宋"/>
          <w:b/>
          <w:sz w:val="32"/>
          <w:szCs w:val="32"/>
        </w:rPr>
        <w:t xml:space="preserve"> </w:t>
      </w:r>
      <w:r>
        <w:rPr>
          <w:rFonts w:hint="eastAsia" w:eastAsia="仿宋"/>
          <w:sz w:val="32"/>
          <w:szCs w:val="32"/>
        </w:rPr>
        <w:t>本指引自公布之日起施行。</w:t>
      </w:r>
    </w:p>
    <w:sectPr>
      <w:footerReference r:id="rId3" w:type="default"/>
      <w:pgSz w:w="11906" w:h="16838"/>
      <w:pgMar w:top="1758" w:right="1588" w:bottom="1758" w:left="1588" w:header="851" w:footer="1134"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方正书宋_GBK">
    <w:panose1 w:val="02000000000000000000"/>
    <w:charset w:val="86"/>
    <w:family w:val="auto"/>
    <w:pitch w:val="default"/>
    <w:sig w:usb0="00000001" w:usb1="08000000" w:usb2="00000000" w:usb3="00000000" w:csb0="00040000" w:csb1="00000000"/>
  </w:font>
  <w:font w:name="Noto Sans CJK JP Bold">
    <w:panose1 w:val="020B0800000000000000"/>
    <w:charset w:val="86"/>
    <w:family w:val="auto"/>
    <w:pitch w:val="default"/>
    <w:sig w:usb0="30000003" w:usb1="2BDF3C10" w:usb2="00000016" w:usb3="00000000" w:csb0="602E0107"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02920528"/>
      <w:docPartObj>
        <w:docPartGallery w:val="AutoText"/>
      </w:docPartObj>
    </w:sdtPr>
    <w:sdtEndPr>
      <w:rPr>
        <w:rFonts w:ascii="宋体" w:hAnsi="宋体" w:eastAsia="宋体"/>
        <w:sz w:val="28"/>
      </w:rPr>
    </w:sdtEndPr>
    <w:sdtContent>
      <w:p>
        <w:pPr>
          <w:pStyle w:val="4"/>
          <w:jc w:val="center"/>
          <w:rPr>
            <w:rFonts w:ascii="宋体" w:hAnsi="宋体" w:eastAsia="宋体"/>
            <w:sz w:val="28"/>
          </w:rPr>
        </w:pPr>
        <w:r>
          <w:rPr>
            <w:rFonts w:ascii="宋体" w:hAnsi="宋体" w:eastAsia="宋体"/>
            <w:sz w:val="28"/>
          </w:rPr>
          <w:fldChar w:fldCharType="begin"/>
        </w:r>
        <w:r>
          <w:rPr>
            <w:rFonts w:ascii="宋体" w:hAnsi="宋体" w:eastAsia="宋体"/>
            <w:sz w:val="28"/>
          </w:rPr>
          <w:instrText xml:space="preserve">PAGE   \* MERGEFORMAT</w:instrText>
        </w:r>
        <w:r>
          <w:rPr>
            <w:rFonts w:ascii="宋体" w:hAnsi="宋体" w:eastAsia="宋体"/>
            <w:sz w:val="28"/>
          </w:rPr>
          <w:fldChar w:fldCharType="separate"/>
        </w:r>
        <w:r>
          <w:rPr>
            <w:rFonts w:ascii="宋体" w:hAnsi="宋体" w:eastAsia="宋体"/>
            <w:sz w:val="28"/>
            <w:lang w:val="zh-CN"/>
          </w:rPr>
          <w:t>-</w:t>
        </w:r>
        <w:r>
          <w:rPr>
            <w:rFonts w:ascii="宋体" w:hAnsi="宋体" w:eastAsia="宋体"/>
            <w:sz w:val="28"/>
          </w:rPr>
          <w:t xml:space="preserve"> 12 -</w:t>
        </w:r>
        <w:r>
          <w:rPr>
            <w:rFonts w:ascii="宋体" w:hAnsi="宋体" w:eastAsia="宋体"/>
            <w:sz w:val="28"/>
          </w:rPr>
          <w:fldChar w:fldCharType="end"/>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8915EC"/>
    <w:multiLevelType w:val="multilevel"/>
    <w:tmpl w:val="268915EC"/>
    <w:lvl w:ilvl="0" w:tentative="0">
      <w:start w:val="1"/>
      <w:numFmt w:val="japaneseCounting"/>
      <w:lvlText w:val="第%1章"/>
      <w:lvlJc w:val="left"/>
      <w:pPr>
        <w:ind w:left="5461" w:hanging="1350"/>
      </w:pPr>
    </w:lvl>
    <w:lvl w:ilvl="1" w:tentative="0">
      <w:start w:val="1"/>
      <w:numFmt w:val="lowerLetter"/>
      <w:lvlText w:val="%2)"/>
      <w:lvlJc w:val="left"/>
      <w:pPr>
        <w:ind w:left="2965" w:hanging="420"/>
      </w:pPr>
    </w:lvl>
    <w:lvl w:ilvl="2" w:tentative="0">
      <w:start w:val="1"/>
      <w:numFmt w:val="lowerRoman"/>
      <w:lvlText w:val="%3."/>
      <w:lvlJc w:val="right"/>
      <w:pPr>
        <w:ind w:left="3385" w:hanging="420"/>
      </w:pPr>
    </w:lvl>
    <w:lvl w:ilvl="3" w:tentative="0">
      <w:start w:val="1"/>
      <w:numFmt w:val="decimal"/>
      <w:lvlText w:val="%4."/>
      <w:lvlJc w:val="left"/>
      <w:pPr>
        <w:ind w:left="3805" w:hanging="420"/>
      </w:pPr>
    </w:lvl>
    <w:lvl w:ilvl="4" w:tentative="0">
      <w:start w:val="1"/>
      <w:numFmt w:val="lowerLetter"/>
      <w:lvlText w:val="%5)"/>
      <w:lvlJc w:val="left"/>
      <w:pPr>
        <w:ind w:left="4225" w:hanging="420"/>
      </w:pPr>
    </w:lvl>
    <w:lvl w:ilvl="5" w:tentative="0">
      <w:start w:val="1"/>
      <w:numFmt w:val="lowerRoman"/>
      <w:lvlText w:val="%6."/>
      <w:lvlJc w:val="right"/>
      <w:pPr>
        <w:ind w:left="4645" w:hanging="420"/>
      </w:pPr>
    </w:lvl>
    <w:lvl w:ilvl="6" w:tentative="0">
      <w:start w:val="1"/>
      <w:numFmt w:val="decimal"/>
      <w:lvlText w:val="%7."/>
      <w:lvlJc w:val="left"/>
      <w:pPr>
        <w:ind w:left="5065" w:hanging="420"/>
      </w:pPr>
    </w:lvl>
    <w:lvl w:ilvl="7" w:tentative="0">
      <w:start w:val="1"/>
      <w:numFmt w:val="lowerLetter"/>
      <w:lvlText w:val="%8)"/>
      <w:lvlJc w:val="left"/>
      <w:pPr>
        <w:ind w:left="5485" w:hanging="420"/>
      </w:pPr>
    </w:lvl>
    <w:lvl w:ilvl="8" w:tentative="0">
      <w:start w:val="1"/>
      <w:numFmt w:val="lowerRoman"/>
      <w:lvlText w:val="%9."/>
      <w:lvlJc w:val="right"/>
      <w:pPr>
        <w:ind w:left="5905"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7BB7"/>
    <w:rsid w:val="000004B4"/>
    <w:rsid w:val="0000212F"/>
    <w:rsid w:val="0003002F"/>
    <w:rsid w:val="0003349C"/>
    <w:rsid w:val="00041496"/>
    <w:rsid w:val="0004280E"/>
    <w:rsid w:val="0004421E"/>
    <w:rsid w:val="00050BBE"/>
    <w:rsid w:val="00051301"/>
    <w:rsid w:val="00055739"/>
    <w:rsid w:val="00055847"/>
    <w:rsid w:val="0005715F"/>
    <w:rsid w:val="00065052"/>
    <w:rsid w:val="000739B5"/>
    <w:rsid w:val="00076B2F"/>
    <w:rsid w:val="000778A7"/>
    <w:rsid w:val="00084BEE"/>
    <w:rsid w:val="00087845"/>
    <w:rsid w:val="000A0CCF"/>
    <w:rsid w:val="000A3C9A"/>
    <w:rsid w:val="000D0ED2"/>
    <w:rsid w:val="000E6BCF"/>
    <w:rsid w:val="000F1DFE"/>
    <w:rsid w:val="000F3AB9"/>
    <w:rsid w:val="000F4C59"/>
    <w:rsid w:val="000F5CF1"/>
    <w:rsid w:val="000F5D7F"/>
    <w:rsid w:val="000F6822"/>
    <w:rsid w:val="000F7AE1"/>
    <w:rsid w:val="001006CE"/>
    <w:rsid w:val="0010112E"/>
    <w:rsid w:val="00101741"/>
    <w:rsid w:val="00103340"/>
    <w:rsid w:val="00104CD7"/>
    <w:rsid w:val="001119F7"/>
    <w:rsid w:val="001142C8"/>
    <w:rsid w:val="00120F93"/>
    <w:rsid w:val="00122C61"/>
    <w:rsid w:val="00122FE1"/>
    <w:rsid w:val="0013351A"/>
    <w:rsid w:val="00137774"/>
    <w:rsid w:val="00140241"/>
    <w:rsid w:val="001431EC"/>
    <w:rsid w:val="00144048"/>
    <w:rsid w:val="00147C79"/>
    <w:rsid w:val="001533B8"/>
    <w:rsid w:val="001533EE"/>
    <w:rsid w:val="00155BD3"/>
    <w:rsid w:val="001561FC"/>
    <w:rsid w:val="00157757"/>
    <w:rsid w:val="00162A8B"/>
    <w:rsid w:val="00182E95"/>
    <w:rsid w:val="00185F90"/>
    <w:rsid w:val="00187BB7"/>
    <w:rsid w:val="001927EA"/>
    <w:rsid w:val="00194AB3"/>
    <w:rsid w:val="0019757F"/>
    <w:rsid w:val="001A4E52"/>
    <w:rsid w:val="001A66A1"/>
    <w:rsid w:val="001A73F7"/>
    <w:rsid w:val="001B11F5"/>
    <w:rsid w:val="001B5ACD"/>
    <w:rsid w:val="001B7DD4"/>
    <w:rsid w:val="001C02CF"/>
    <w:rsid w:val="001C4C1D"/>
    <w:rsid w:val="001C78DF"/>
    <w:rsid w:val="001D12A4"/>
    <w:rsid w:val="001D4DA2"/>
    <w:rsid w:val="001D4F9B"/>
    <w:rsid w:val="001D57D3"/>
    <w:rsid w:val="001E7070"/>
    <w:rsid w:val="001F0C94"/>
    <w:rsid w:val="001F1BF3"/>
    <w:rsid w:val="001F402A"/>
    <w:rsid w:val="001F603C"/>
    <w:rsid w:val="0020021C"/>
    <w:rsid w:val="00200B7B"/>
    <w:rsid w:val="00201003"/>
    <w:rsid w:val="0020789C"/>
    <w:rsid w:val="00211448"/>
    <w:rsid w:val="00215C6A"/>
    <w:rsid w:val="0022341B"/>
    <w:rsid w:val="002274EE"/>
    <w:rsid w:val="00230125"/>
    <w:rsid w:val="002319AC"/>
    <w:rsid w:val="00232F83"/>
    <w:rsid w:val="00235447"/>
    <w:rsid w:val="00237497"/>
    <w:rsid w:val="00244D00"/>
    <w:rsid w:val="00255927"/>
    <w:rsid w:val="002738E9"/>
    <w:rsid w:val="00277BA3"/>
    <w:rsid w:val="00284508"/>
    <w:rsid w:val="002870AF"/>
    <w:rsid w:val="00297D05"/>
    <w:rsid w:val="002A28D3"/>
    <w:rsid w:val="002A293D"/>
    <w:rsid w:val="002B1076"/>
    <w:rsid w:val="002B241D"/>
    <w:rsid w:val="002C0FE9"/>
    <w:rsid w:val="002E5BE5"/>
    <w:rsid w:val="002E773A"/>
    <w:rsid w:val="002F192E"/>
    <w:rsid w:val="002F211C"/>
    <w:rsid w:val="002F31A0"/>
    <w:rsid w:val="002F5633"/>
    <w:rsid w:val="002F6B22"/>
    <w:rsid w:val="003033E7"/>
    <w:rsid w:val="00304A2E"/>
    <w:rsid w:val="00306121"/>
    <w:rsid w:val="00306194"/>
    <w:rsid w:val="00310752"/>
    <w:rsid w:val="00310FE9"/>
    <w:rsid w:val="00316A6D"/>
    <w:rsid w:val="0031749F"/>
    <w:rsid w:val="0032114A"/>
    <w:rsid w:val="003214F9"/>
    <w:rsid w:val="00321B14"/>
    <w:rsid w:val="00323E87"/>
    <w:rsid w:val="00327EB8"/>
    <w:rsid w:val="00333341"/>
    <w:rsid w:val="00337E75"/>
    <w:rsid w:val="00343D58"/>
    <w:rsid w:val="0034428A"/>
    <w:rsid w:val="00351F5B"/>
    <w:rsid w:val="00362A95"/>
    <w:rsid w:val="0038109A"/>
    <w:rsid w:val="00384F8F"/>
    <w:rsid w:val="00385539"/>
    <w:rsid w:val="0038577C"/>
    <w:rsid w:val="00386E6C"/>
    <w:rsid w:val="0038700F"/>
    <w:rsid w:val="003873FD"/>
    <w:rsid w:val="00387C26"/>
    <w:rsid w:val="003903FF"/>
    <w:rsid w:val="00393968"/>
    <w:rsid w:val="003A5280"/>
    <w:rsid w:val="003B0D12"/>
    <w:rsid w:val="003B7FCA"/>
    <w:rsid w:val="003C0E61"/>
    <w:rsid w:val="003C0F8B"/>
    <w:rsid w:val="003C112F"/>
    <w:rsid w:val="003D0444"/>
    <w:rsid w:val="003D36FA"/>
    <w:rsid w:val="003D69FB"/>
    <w:rsid w:val="003E13F1"/>
    <w:rsid w:val="003E6B56"/>
    <w:rsid w:val="003F1B11"/>
    <w:rsid w:val="003F2585"/>
    <w:rsid w:val="003F4C4F"/>
    <w:rsid w:val="003F7925"/>
    <w:rsid w:val="004033BF"/>
    <w:rsid w:val="00410297"/>
    <w:rsid w:val="00410C71"/>
    <w:rsid w:val="00411048"/>
    <w:rsid w:val="004133B4"/>
    <w:rsid w:val="004153EF"/>
    <w:rsid w:val="00417E1D"/>
    <w:rsid w:val="00420262"/>
    <w:rsid w:val="00423BC1"/>
    <w:rsid w:val="00425257"/>
    <w:rsid w:val="00427120"/>
    <w:rsid w:val="004421B0"/>
    <w:rsid w:val="00444B91"/>
    <w:rsid w:val="00450AE2"/>
    <w:rsid w:val="00450E42"/>
    <w:rsid w:val="004727BA"/>
    <w:rsid w:val="00481285"/>
    <w:rsid w:val="00484615"/>
    <w:rsid w:val="00486339"/>
    <w:rsid w:val="00494581"/>
    <w:rsid w:val="004967E7"/>
    <w:rsid w:val="004A4735"/>
    <w:rsid w:val="004B1D8A"/>
    <w:rsid w:val="004B72B5"/>
    <w:rsid w:val="004C192D"/>
    <w:rsid w:val="004D4CC4"/>
    <w:rsid w:val="004D7D49"/>
    <w:rsid w:val="004E0412"/>
    <w:rsid w:val="004E1701"/>
    <w:rsid w:val="004E4403"/>
    <w:rsid w:val="004F16B2"/>
    <w:rsid w:val="004F17D0"/>
    <w:rsid w:val="004F716B"/>
    <w:rsid w:val="00504D68"/>
    <w:rsid w:val="00521595"/>
    <w:rsid w:val="00527652"/>
    <w:rsid w:val="00535C6B"/>
    <w:rsid w:val="00537627"/>
    <w:rsid w:val="00541A43"/>
    <w:rsid w:val="00543093"/>
    <w:rsid w:val="00551F0E"/>
    <w:rsid w:val="00552944"/>
    <w:rsid w:val="00556118"/>
    <w:rsid w:val="0055644E"/>
    <w:rsid w:val="00557B86"/>
    <w:rsid w:val="00563144"/>
    <w:rsid w:val="00564B16"/>
    <w:rsid w:val="00566816"/>
    <w:rsid w:val="00567F67"/>
    <w:rsid w:val="005708ED"/>
    <w:rsid w:val="005708FF"/>
    <w:rsid w:val="00571D52"/>
    <w:rsid w:val="00571F5C"/>
    <w:rsid w:val="00582468"/>
    <w:rsid w:val="0058614B"/>
    <w:rsid w:val="005948F6"/>
    <w:rsid w:val="005A0680"/>
    <w:rsid w:val="005A509A"/>
    <w:rsid w:val="005B1FAF"/>
    <w:rsid w:val="005B2A83"/>
    <w:rsid w:val="005B2BF4"/>
    <w:rsid w:val="005B37E7"/>
    <w:rsid w:val="005B3E51"/>
    <w:rsid w:val="005B6066"/>
    <w:rsid w:val="005B7653"/>
    <w:rsid w:val="005C022A"/>
    <w:rsid w:val="005C25DB"/>
    <w:rsid w:val="005C4109"/>
    <w:rsid w:val="005C4FC5"/>
    <w:rsid w:val="005C524A"/>
    <w:rsid w:val="005D2F58"/>
    <w:rsid w:val="005D649D"/>
    <w:rsid w:val="005D7776"/>
    <w:rsid w:val="005E0C9C"/>
    <w:rsid w:val="005E31E7"/>
    <w:rsid w:val="005E3A56"/>
    <w:rsid w:val="005E517D"/>
    <w:rsid w:val="005E6A1C"/>
    <w:rsid w:val="005E7657"/>
    <w:rsid w:val="005F27B1"/>
    <w:rsid w:val="005F7744"/>
    <w:rsid w:val="006005F9"/>
    <w:rsid w:val="00601BC9"/>
    <w:rsid w:val="006055F4"/>
    <w:rsid w:val="00606269"/>
    <w:rsid w:val="00614926"/>
    <w:rsid w:val="00621003"/>
    <w:rsid w:val="00621C1D"/>
    <w:rsid w:val="00622B4D"/>
    <w:rsid w:val="006245CD"/>
    <w:rsid w:val="00642348"/>
    <w:rsid w:val="00651268"/>
    <w:rsid w:val="00654B82"/>
    <w:rsid w:val="00657131"/>
    <w:rsid w:val="00662261"/>
    <w:rsid w:val="00667916"/>
    <w:rsid w:val="00673080"/>
    <w:rsid w:val="00680380"/>
    <w:rsid w:val="00683947"/>
    <w:rsid w:val="006842F2"/>
    <w:rsid w:val="00686C3E"/>
    <w:rsid w:val="00687299"/>
    <w:rsid w:val="0069512C"/>
    <w:rsid w:val="00696B3D"/>
    <w:rsid w:val="006B0C93"/>
    <w:rsid w:val="006B0DFA"/>
    <w:rsid w:val="006B3E4E"/>
    <w:rsid w:val="006B6D99"/>
    <w:rsid w:val="006C1E84"/>
    <w:rsid w:val="006D2A6C"/>
    <w:rsid w:val="006D3F16"/>
    <w:rsid w:val="006E173D"/>
    <w:rsid w:val="006E57B2"/>
    <w:rsid w:val="006E6FCB"/>
    <w:rsid w:val="006F0155"/>
    <w:rsid w:val="006F0535"/>
    <w:rsid w:val="006F3971"/>
    <w:rsid w:val="006F66C3"/>
    <w:rsid w:val="00702334"/>
    <w:rsid w:val="00703222"/>
    <w:rsid w:val="00705860"/>
    <w:rsid w:val="0070624D"/>
    <w:rsid w:val="007066EB"/>
    <w:rsid w:val="00707481"/>
    <w:rsid w:val="00712508"/>
    <w:rsid w:val="007210ED"/>
    <w:rsid w:val="00730C33"/>
    <w:rsid w:val="00734CCA"/>
    <w:rsid w:val="00734ECE"/>
    <w:rsid w:val="00736322"/>
    <w:rsid w:val="00740395"/>
    <w:rsid w:val="00745838"/>
    <w:rsid w:val="00753051"/>
    <w:rsid w:val="00757933"/>
    <w:rsid w:val="00757B51"/>
    <w:rsid w:val="0076185A"/>
    <w:rsid w:val="00761AD1"/>
    <w:rsid w:val="0076359E"/>
    <w:rsid w:val="00772031"/>
    <w:rsid w:val="007723B7"/>
    <w:rsid w:val="00776775"/>
    <w:rsid w:val="007771F9"/>
    <w:rsid w:val="00781F4F"/>
    <w:rsid w:val="00784979"/>
    <w:rsid w:val="007A449F"/>
    <w:rsid w:val="007A567B"/>
    <w:rsid w:val="007A61B4"/>
    <w:rsid w:val="007B23FE"/>
    <w:rsid w:val="007C47F8"/>
    <w:rsid w:val="007C781B"/>
    <w:rsid w:val="007D0609"/>
    <w:rsid w:val="007E139A"/>
    <w:rsid w:val="007E1DC8"/>
    <w:rsid w:val="007F2360"/>
    <w:rsid w:val="007F4BC3"/>
    <w:rsid w:val="008012CC"/>
    <w:rsid w:val="00802594"/>
    <w:rsid w:val="00806FC4"/>
    <w:rsid w:val="0081163F"/>
    <w:rsid w:val="00812A47"/>
    <w:rsid w:val="008166FB"/>
    <w:rsid w:val="008177ED"/>
    <w:rsid w:val="00820113"/>
    <w:rsid w:val="008353AD"/>
    <w:rsid w:val="008410B4"/>
    <w:rsid w:val="00844ED9"/>
    <w:rsid w:val="00852DA9"/>
    <w:rsid w:val="00855456"/>
    <w:rsid w:val="00857D80"/>
    <w:rsid w:val="00872780"/>
    <w:rsid w:val="00875DB3"/>
    <w:rsid w:val="00876EF6"/>
    <w:rsid w:val="00884294"/>
    <w:rsid w:val="00885F12"/>
    <w:rsid w:val="00893747"/>
    <w:rsid w:val="0089398C"/>
    <w:rsid w:val="008974B3"/>
    <w:rsid w:val="00897842"/>
    <w:rsid w:val="00897919"/>
    <w:rsid w:val="008A6783"/>
    <w:rsid w:val="008B6F1A"/>
    <w:rsid w:val="008B7F62"/>
    <w:rsid w:val="008C0BCA"/>
    <w:rsid w:val="008C552B"/>
    <w:rsid w:val="008D3656"/>
    <w:rsid w:val="008E29E2"/>
    <w:rsid w:val="008E6E0D"/>
    <w:rsid w:val="008F0484"/>
    <w:rsid w:val="00902410"/>
    <w:rsid w:val="00902DC7"/>
    <w:rsid w:val="00906558"/>
    <w:rsid w:val="00907420"/>
    <w:rsid w:val="0091659F"/>
    <w:rsid w:val="0091668B"/>
    <w:rsid w:val="00922BE3"/>
    <w:rsid w:val="0093270A"/>
    <w:rsid w:val="0094113A"/>
    <w:rsid w:val="00943BB0"/>
    <w:rsid w:val="00945ABD"/>
    <w:rsid w:val="00946EED"/>
    <w:rsid w:val="0095074B"/>
    <w:rsid w:val="00952899"/>
    <w:rsid w:val="00954E82"/>
    <w:rsid w:val="009572F7"/>
    <w:rsid w:val="009666A6"/>
    <w:rsid w:val="0097068A"/>
    <w:rsid w:val="00976BBD"/>
    <w:rsid w:val="00985885"/>
    <w:rsid w:val="00990605"/>
    <w:rsid w:val="009965E8"/>
    <w:rsid w:val="009B5CE3"/>
    <w:rsid w:val="009B67E3"/>
    <w:rsid w:val="009B6ACE"/>
    <w:rsid w:val="009C7AD5"/>
    <w:rsid w:val="009D10BE"/>
    <w:rsid w:val="009D794F"/>
    <w:rsid w:val="009E1570"/>
    <w:rsid w:val="009E1CF3"/>
    <w:rsid w:val="009E1F3F"/>
    <w:rsid w:val="009E5F18"/>
    <w:rsid w:val="009F6009"/>
    <w:rsid w:val="00A00359"/>
    <w:rsid w:val="00A011C9"/>
    <w:rsid w:val="00A06F3B"/>
    <w:rsid w:val="00A2539D"/>
    <w:rsid w:val="00A27209"/>
    <w:rsid w:val="00A343E2"/>
    <w:rsid w:val="00A3468B"/>
    <w:rsid w:val="00A377A3"/>
    <w:rsid w:val="00A403F6"/>
    <w:rsid w:val="00A41464"/>
    <w:rsid w:val="00A43B00"/>
    <w:rsid w:val="00A466E2"/>
    <w:rsid w:val="00A55074"/>
    <w:rsid w:val="00A65C10"/>
    <w:rsid w:val="00A70996"/>
    <w:rsid w:val="00A71899"/>
    <w:rsid w:val="00A73258"/>
    <w:rsid w:val="00A74586"/>
    <w:rsid w:val="00A74CF4"/>
    <w:rsid w:val="00A75073"/>
    <w:rsid w:val="00A84764"/>
    <w:rsid w:val="00A87E79"/>
    <w:rsid w:val="00A904CB"/>
    <w:rsid w:val="00A936F3"/>
    <w:rsid w:val="00A94FA0"/>
    <w:rsid w:val="00AA0852"/>
    <w:rsid w:val="00AA1B99"/>
    <w:rsid w:val="00AA2263"/>
    <w:rsid w:val="00AA53D3"/>
    <w:rsid w:val="00AB5F95"/>
    <w:rsid w:val="00AD4462"/>
    <w:rsid w:val="00AD5896"/>
    <w:rsid w:val="00AE180F"/>
    <w:rsid w:val="00AE6563"/>
    <w:rsid w:val="00AE7B53"/>
    <w:rsid w:val="00AF36A7"/>
    <w:rsid w:val="00AF405E"/>
    <w:rsid w:val="00B032DD"/>
    <w:rsid w:val="00B0440F"/>
    <w:rsid w:val="00B06053"/>
    <w:rsid w:val="00B20336"/>
    <w:rsid w:val="00B2220F"/>
    <w:rsid w:val="00B24EEE"/>
    <w:rsid w:val="00B25484"/>
    <w:rsid w:val="00B269B1"/>
    <w:rsid w:val="00B31787"/>
    <w:rsid w:val="00B32385"/>
    <w:rsid w:val="00B35448"/>
    <w:rsid w:val="00B365E3"/>
    <w:rsid w:val="00B4558E"/>
    <w:rsid w:val="00B5211B"/>
    <w:rsid w:val="00B54676"/>
    <w:rsid w:val="00B618D3"/>
    <w:rsid w:val="00B619BF"/>
    <w:rsid w:val="00B6569F"/>
    <w:rsid w:val="00B673EF"/>
    <w:rsid w:val="00B7187C"/>
    <w:rsid w:val="00B732E4"/>
    <w:rsid w:val="00B73F40"/>
    <w:rsid w:val="00B76EA0"/>
    <w:rsid w:val="00B81661"/>
    <w:rsid w:val="00B85B7D"/>
    <w:rsid w:val="00B94182"/>
    <w:rsid w:val="00B9603F"/>
    <w:rsid w:val="00BA436C"/>
    <w:rsid w:val="00BA6828"/>
    <w:rsid w:val="00BA78A3"/>
    <w:rsid w:val="00BC3E0A"/>
    <w:rsid w:val="00BC757C"/>
    <w:rsid w:val="00BD14F1"/>
    <w:rsid w:val="00BD5E22"/>
    <w:rsid w:val="00BD6BAB"/>
    <w:rsid w:val="00BD7B32"/>
    <w:rsid w:val="00BE7825"/>
    <w:rsid w:val="00BE7D7F"/>
    <w:rsid w:val="00BE7EF5"/>
    <w:rsid w:val="00BF0C7D"/>
    <w:rsid w:val="00BF7310"/>
    <w:rsid w:val="00C10897"/>
    <w:rsid w:val="00C10938"/>
    <w:rsid w:val="00C23268"/>
    <w:rsid w:val="00C23B95"/>
    <w:rsid w:val="00C26B77"/>
    <w:rsid w:val="00C2790D"/>
    <w:rsid w:val="00C432EF"/>
    <w:rsid w:val="00C43A53"/>
    <w:rsid w:val="00C47987"/>
    <w:rsid w:val="00C51448"/>
    <w:rsid w:val="00C61EC2"/>
    <w:rsid w:val="00C639B5"/>
    <w:rsid w:val="00C66315"/>
    <w:rsid w:val="00C6701D"/>
    <w:rsid w:val="00C676D6"/>
    <w:rsid w:val="00C74EAD"/>
    <w:rsid w:val="00C90386"/>
    <w:rsid w:val="00C91412"/>
    <w:rsid w:val="00C95B89"/>
    <w:rsid w:val="00C972AB"/>
    <w:rsid w:val="00CA646B"/>
    <w:rsid w:val="00CA6847"/>
    <w:rsid w:val="00CB0223"/>
    <w:rsid w:val="00CB1254"/>
    <w:rsid w:val="00CB24CC"/>
    <w:rsid w:val="00CB31C8"/>
    <w:rsid w:val="00CB5C6E"/>
    <w:rsid w:val="00CC031E"/>
    <w:rsid w:val="00CC1433"/>
    <w:rsid w:val="00CC2854"/>
    <w:rsid w:val="00CC730F"/>
    <w:rsid w:val="00CC7947"/>
    <w:rsid w:val="00CD10F2"/>
    <w:rsid w:val="00CD1F3C"/>
    <w:rsid w:val="00CE3EFC"/>
    <w:rsid w:val="00CE7087"/>
    <w:rsid w:val="00CF103D"/>
    <w:rsid w:val="00CF55C2"/>
    <w:rsid w:val="00D06344"/>
    <w:rsid w:val="00D17C8C"/>
    <w:rsid w:val="00D228E7"/>
    <w:rsid w:val="00D3442A"/>
    <w:rsid w:val="00D41B29"/>
    <w:rsid w:val="00D44DF5"/>
    <w:rsid w:val="00D552C5"/>
    <w:rsid w:val="00D56E1F"/>
    <w:rsid w:val="00D651FB"/>
    <w:rsid w:val="00D66968"/>
    <w:rsid w:val="00D760F9"/>
    <w:rsid w:val="00D80607"/>
    <w:rsid w:val="00D84DED"/>
    <w:rsid w:val="00D866B6"/>
    <w:rsid w:val="00D90467"/>
    <w:rsid w:val="00D97324"/>
    <w:rsid w:val="00DA1361"/>
    <w:rsid w:val="00DA51C8"/>
    <w:rsid w:val="00DA52DA"/>
    <w:rsid w:val="00DB129D"/>
    <w:rsid w:val="00DB3A91"/>
    <w:rsid w:val="00DB461C"/>
    <w:rsid w:val="00DD4A3E"/>
    <w:rsid w:val="00DF15E6"/>
    <w:rsid w:val="00E00160"/>
    <w:rsid w:val="00E0352D"/>
    <w:rsid w:val="00E03CF1"/>
    <w:rsid w:val="00E06FB3"/>
    <w:rsid w:val="00E111BE"/>
    <w:rsid w:val="00E122EE"/>
    <w:rsid w:val="00E13603"/>
    <w:rsid w:val="00E20993"/>
    <w:rsid w:val="00E23A46"/>
    <w:rsid w:val="00E26B3E"/>
    <w:rsid w:val="00E272A1"/>
    <w:rsid w:val="00E27A12"/>
    <w:rsid w:val="00E31F98"/>
    <w:rsid w:val="00E42124"/>
    <w:rsid w:val="00E4252A"/>
    <w:rsid w:val="00E44C7E"/>
    <w:rsid w:val="00E47C28"/>
    <w:rsid w:val="00E52EB1"/>
    <w:rsid w:val="00E565E8"/>
    <w:rsid w:val="00E60F1B"/>
    <w:rsid w:val="00E64D7E"/>
    <w:rsid w:val="00E664D4"/>
    <w:rsid w:val="00E731AA"/>
    <w:rsid w:val="00E74905"/>
    <w:rsid w:val="00E7766E"/>
    <w:rsid w:val="00E8697C"/>
    <w:rsid w:val="00E933B8"/>
    <w:rsid w:val="00E93FC7"/>
    <w:rsid w:val="00EA2B73"/>
    <w:rsid w:val="00EB287E"/>
    <w:rsid w:val="00EB6F10"/>
    <w:rsid w:val="00EC2BE4"/>
    <w:rsid w:val="00EC50AB"/>
    <w:rsid w:val="00EC5AE9"/>
    <w:rsid w:val="00ED31D2"/>
    <w:rsid w:val="00ED4C12"/>
    <w:rsid w:val="00ED5ED4"/>
    <w:rsid w:val="00ED7569"/>
    <w:rsid w:val="00EE05C5"/>
    <w:rsid w:val="00EE384B"/>
    <w:rsid w:val="00EE616F"/>
    <w:rsid w:val="00EF01B0"/>
    <w:rsid w:val="00EF1A4A"/>
    <w:rsid w:val="00EF4507"/>
    <w:rsid w:val="00EF68CB"/>
    <w:rsid w:val="00F00B5C"/>
    <w:rsid w:val="00F046C1"/>
    <w:rsid w:val="00F32525"/>
    <w:rsid w:val="00F37110"/>
    <w:rsid w:val="00F457EC"/>
    <w:rsid w:val="00F46487"/>
    <w:rsid w:val="00F475E8"/>
    <w:rsid w:val="00F524C4"/>
    <w:rsid w:val="00F60162"/>
    <w:rsid w:val="00F63DE1"/>
    <w:rsid w:val="00F65F08"/>
    <w:rsid w:val="00F700AD"/>
    <w:rsid w:val="00F70458"/>
    <w:rsid w:val="00F74991"/>
    <w:rsid w:val="00F758CA"/>
    <w:rsid w:val="00F7635B"/>
    <w:rsid w:val="00F7639B"/>
    <w:rsid w:val="00F7767E"/>
    <w:rsid w:val="00F8135C"/>
    <w:rsid w:val="00F90687"/>
    <w:rsid w:val="00F92CBB"/>
    <w:rsid w:val="00F94B72"/>
    <w:rsid w:val="00FB029E"/>
    <w:rsid w:val="00FB1132"/>
    <w:rsid w:val="00FB4175"/>
    <w:rsid w:val="00FB500D"/>
    <w:rsid w:val="00FC50A1"/>
    <w:rsid w:val="00FD5CB3"/>
    <w:rsid w:val="00FF054B"/>
    <w:rsid w:val="00FF4DE3"/>
    <w:rsid w:val="00FF5548"/>
    <w:rsid w:val="00FF7325"/>
    <w:rsid w:val="00FF7EA0"/>
    <w:rsid w:val="C78B84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kern w:val="0"/>
      <w:sz w:val="22"/>
      <w:szCs w:val="22"/>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9"/>
    <w:unhideWhenUsed/>
    <w:qFormat/>
    <w:uiPriority w:val="99"/>
  </w:style>
  <w:style w:type="paragraph" w:styleId="3">
    <w:name w:val="Balloon Text"/>
    <w:basedOn w:val="1"/>
    <w:link w:val="21"/>
    <w:semiHidden/>
    <w:unhideWhenUsed/>
    <w:qFormat/>
    <w:uiPriority w:val="99"/>
    <w:rPr>
      <w:sz w:val="18"/>
      <w:szCs w:val="18"/>
    </w:rPr>
  </w:style>
  <w:style w:type="paragraph" w:styleId="4">
    <w:name w:val="footer"/>
    <w:basedOn w:val="1"/>
    <w:link w:val="16"/>
    <w:unhideWhenUsed/>
    <w:qFormat/>
    <w:uiPriority w:val="99"/>
    <w:pPr>
      <w:tabs>
        <w:tab w:val="center" w:pos="4153"/>
        <w:tab w:val="right" w:pos="8306"/>
      </w:tabs>
      <w:snapToGrid w:val="0"/>
    </w:pPr>
    <w:rPr>
      <w:sz w:val="18"/>
      <w:szCs w:val="18"/>
    </w:rPr>
  </w:style>
  <w:style w:type="paragraph" w:styleId="5">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footnote text"/>
    <w:basedOn w:val="1"/>
    <w:link w:val="18"/>
    <w:semiHidden/>
    <w:unhideWhenUsed/>
    <w:qFormat/>
    <w:uiPriority w:val="99"/>
    <w:pPr>
      <w:widowControl w:val="0"/>
      <w:snapToGrid w:val="0"/>
    </w:pPr>
    <w:rPr>
      <w:rFonts w:asciiTheme="minorHAnsi" w:hAnsiTheme="minorHAnsi" w:cstheme="minorBidi"/>
      <w:kern w:val="2"/>
      <w:sz w:val="18"/>
      <w:szCs w:val="18"/>
    </w:rPr>
  </w:style>
  <w:style w:type="paragraph" w:styleId="7">
    <w:name w:val="Normal (Web)"/>
    <w:basedOn w:val="1"/>
    <w:unhideWhenUsed/>
    <w:qFormat/>
    <w:uiPriority w:val="99"/>
    <w:pPr>
      <w:spacing w:before="100" w:beforeAutospacing="1" w:after="100" w:afterAutospacing="1"/>
    </w:pPr>
    <w:rPr>
      <w:rFonts w:ascii="宋体" w:hAnsi="宋体" w:eastAsia="宋体" w:cs="宋体"/>
      <w:sz w:val="24"/>
      <w:szCs w:val="24"/>
    </w:rPr>
  </w:style>
  <w:style w:type="paragraph" w:styleId="8">
    <w:name w:val="annotation subject"/>
    <w:basedOn w:val="2"/>
    <w:next w:val="2"/>
    <w:link w:val="20"/>
    <w:semiHidden/>
    <w:unhideWhenUsed/>
    <w:qFormat/>
    <w:uiPriority w:val="99"/>
    <w:rPr>
      <w:b/>
      <w:bCs/>
    </w:rPr>
  </w:style>
  <w:style w:type="character" w:styleId="11">
    <w:name w:val="Strong"/>
    <w:basedOn w:val="10"/>
    <w:qFormat/>
    <w:uiPriority w:val="22"/>
    <w:rPr>
      <w:b/>
      <w:bCs/>
    </w:rPr>
  </w:style>
  <w:style w:type="character" w:styleId="12">
    <w:name w:val="Hyperlink"/>
    <w:basedOn w:val="10"/>
    <w:unhideWhenUsed/>
    <w:qFormat/>
    <w:uiPriority w:val="99"/>
    <w:rPr>
      <w:color w:val="0563C1" w:themeColor="hyperlink"/>
      <w:u w:val="single"/>
      <w14:textFill>
        <w14:solidFill>
          <w14:schemeClr w14:val="hlink"/>
        </w14:solidFill>
      </w14:textFill>
    </w:rPr>
  </w:style>
  <w:style w:type="character" w:styleId="13">
    <w:name w:val="annotation reference"/>
    <w:basedOn w:val="10"/>
    <w:semiHidden/>
    <w:unhideWhenUsed/>
    <w:qFormat/>
    <w:uiPriority w:val="99"/>
    <w:rPr>
      <w:sz w:val="21"/>
      <w:szCs w:val="21"/>
    </w:rPr>
  </w:style>
  <w:style w:type="character" w:styleId="14">
    <w:name w:val="footnote reference"/>
    <w:basedOn w:val="10"/>
    <w:semiHidden/>
    <w:unhideWhenUsed/>
    <w:qFormat/>
    <w:uiPriority w:val="99"/>
    <w:rPr>
      <w:vertAlign w:val="superscript"/>
    </w:rPr>
  </w:style>
  <w:style w:type="character" w:customStyle="1" w:styleId="15">
    <w:name w:val="页眉 Char"/>
    <w:basedOn w:val="10"/>
    <w:link w:val="5"/>
    <w:qFormat/>
    <w:uiPriority w:val="99"/>
    <w:rPr>
      <w:sz w:val="18"/>
      <w:szCs w:val="18"/>
    </w:rPr>
  </w:style>
  <w:style w:type="character" w:customStyle="1" w:styleId="16">
    <w:name w:val="页脚 Char"/>
    <w:basedOn w:val="10"/>
    <w:link w:val="4"/>
    <w:qFormat/>
    <w:uiPriority w:val="99"/>
    <w:rPr>
      <w:sz w:val="18"/>
      <w:szCs w:val="18"/>
    </w:rPr>
  </w:style>
  <w:style w:type="paragraph" w:styleId="17">
    <w:name w:val="List Paragraph"/>
    <w:basedOn w:val="1"/>
    <w:qFormat/>
    <w:uiPriority w:val="34"/>
    <w:pPr>
      <w:widowControl w:val="0"/>
      <w:ind w:firstLine="420" w:firstLineChars="200"/>
      <w:jc w:val="both"/>
    </w:pPr>
    <w:rPr>
      <w:rFonts w:asciiTheme="minorHAnsi" w:hAnsiTheme="minorHAnsi" w:cstheme="minorBidi"/>
      <w:kern w:val="2"/>
      <w:sz w:val="21"/>
    </w:rPr>
  </w:style>
  <w:style w:type="character" w:customStyle="1" w:styleId="18">
    <w:name w:val="脚注文本 Char"/>
    <w:basedOn w:val="10"/>
    <w:link w:val="6"/>
    <w:semiHidden/>
    <w:qFormat/>
    <w:uiPriority w:val="99"/>
    <w:rPr>
      <w:sz w:val="18"/>
      <w:szCs w:val="18"/>
    </w:rPr>
  </w:style>
  <w:style w:type="character" w:customStyle="1" w:styleId="19">
    <w:name w:val="批注文字 Char"/>
    <w:basedOn w:val="10"/>
    <w:link w:val="2"/>
    <w:qFormat/>
    <w:uiPriority w:val="99"/>
    <w:rPr>
      <w:rFonts w:ascii="Times New Roman" w:hAnsi="Times New Roman" w:cs="Times New Roman"/>
      <w:kern w:val="0"/>
      <w:sz w:val="22"/>
    </w:rPr>
  </w:style>
  <w:style w:type="character" w:customStyle="1" w:styleId="20">
    <w:name w:val="批注主题 Char"/>
    <w:basedOn w:val="19"/>
    <w:link w:val="8"/>
    <w:semiHidden/>
    <w:qFormat/>
    <w:uiPriority w:val="99"/>
    <w:rPr>
      <w:rFonts w:ascii="Times New Roman" w:hAnsi="Times New Roman" w:cs="Times New Roman"/>
      <w:b/>
      <w:bCs/>
      <w:kern w:val="0"/>
      <w:sz w:val="22"/>
    </w:rPr>
  </w:style>
  <w:style w:type="character" w:customStyle="1" w:styleId="21">
    <w:name w:val="批注框文本 Char"/>
    <w:basedOn w:val="10"/>
    <w:link w:val="3"/>
    <w:semiHidden/>
    <w:qFormat/>
    <w:uiPriority w:val="99"/>
    <w:rPr>
      <w:rFonts w:ascii="Times New Roman" w:hAnsi="Times New Roman" w:cs="Times New Roman"/>
      <w:kern w:val="0"/>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5230</Words>
  <Characters>5347</Characters>
  <Lines>38</Lines>
  <Paragraphs>10</Paragraphs>
  <TotalTime>2172</TotalTime>
  <ScaleCrop>false</ScaleCrop>
  <LinksUpToDate>false</LinksUpToDate>
  <CharactersWithSpaces>5396</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2018-10-26T15:24:00Z</dcterms:created>
  <dc:creator>neeq</dc:creator>
  <cp:lastModifiedBy>shejx</cp:lastModifiedBy>
  <cp:lastPrinted>2018-10-28T15:12:00Z</cp:lastPrinted>
  <dcterms:modified xsi:type="dcterms:W3CDTF">2024-09-25T18:06:33Z</dcterms:modified>
  <cp:revision>141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