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20" w:lineRule="exact"/>
        <w:jc w:val="center"/>
        <w:rPr>
          <w:rFonts w:eastAsia="方正大标宋简体"/>
          <w:color w:val="000000"/>
          <w:sz w:val="44"/>
          <w:szCs w:val="42"/>
        </w:rPr>
      </w:pPr>
      <w:bookmarkStart w:id="0" w:name="_GoBack"/>
      <w:bookmarkEnd w:id="0"/>
      <w:r>
        <w:rPr>
          <w:rFonts w:hint="eastAsia" w:eastAsia="方正大标宋简体"/>
          <w:color w:val="000000"/>
          <w:sz w:val="44"/>
          <w:szCs w:val="42"/>
        </w:rPr>
        <w:t>全国中小企业股份转让系统挂牌公司</w:t>
      </w:r>
    </w:p>
    <w:p>
      <w:pPr>
        <w:spacing w:line="620" w:lineRule="exact"/>
        <w:jc w:val="center"/>
        <w:rPr>
          <w:rFonts w:eastAsia="方正大标宋简体"/>
          <w:color w:val="000000"/>
          <w:sz w:val="44"/>
          <w:szCs w:val="42"/>
        </w:rPr>
      </w:pPr>
      <w:r>
        <w:rPr>
          <w:rFonts w:hint="eastAsia" w:eastAsia="方正大标宋简体"/>
          <w:color w:val="000000"/>
          <w:sz w:val="44"/>
          <w:szCs w:val="42"/>
        </w:rPr>
        <w:t>信息披露指引——化工公司</w:t>
      </w:r>
      <w:r>
        <w:rPr>
          <w:rFonts w:eastAsia="方正大标宋简体"/>
          <w:color w:val="000000"/>
          <w:sz w:val="44"/>
          <w:szCs w:val="42"/>
        </w:rPr>
        <w:t xml:space="preserve"> </w:t>
      </w:r>
    </w:p>
    <w:p>
      <w:pPr>
        <w:spacing w:line="600" w:lineRule="exact"/>
        <w:jc w:val="center"/>
        <w:rPr>
          <w:rFonts w:ascii="黑体" w:hAnsi="微软雅黑" w:eastAsia="黑体"/>
          <w:b/>
          <w:color w:val="000000"/>
          <w:sz w:val="36"/>
          <w:szCs w:val="36"/>
        </w:rPr>
      </w:pPr>
    </w:p>
    <w:p>
      <w:pPr>
        <w:pStyle w:val="15"/>
        <w:widowControl/>
        <w:numPr>
          <w:ilvl w:val="0"/>
          <w:numId w:val="1"/>
        </w:numPr>
        <w:snapToGrid w:val="0"/>
        <w:spacing w:line="600" w:lineRule="exact"/>
        <w:ind w:firstLineChars="0"/>
        <w:jc w:val="center"/>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总则</w:t>
      </w:r>
    </w:p>
    <w:p>
      <w:pPr>
        <w:pStyle w:val="15"/>
        <w:widowControl/>
        <w:snapToGrid w:val="0"/>
        <w:spacing w:line="600" w:lineRule="exact"/>
        <w:ind w:left="1290" w:firstLine="0" w:firstLineChars="0"/>
        <w:rPr>
          <w:rFonts w:ascii="黑体" w:eastAsia="黑体" w:hAnsiTheme="minorHAnsi" w:cstheme="minorBidi"/>
          <w:kern w:val="0"/>
          <w:sz w:val="32"/>
          <w:szCs w:val="32"/>
        </w:rPr>
      </w:pPr>
    </w:p>
    <w:p>
      <w:pPr>
        <w:widowControl/>
        <w:snapToGrid w:val="0"/>
        <w:spacing w:line="600" w:lineRule="exact"/>
        <w:rPr>
          <w:rFonts w:eastAsia="仿宋"/>
          <w:sz w:val="32"/>
          <w:szCs w:val="32"/>
        </w:rPr>
      </w:pPr>
      <w:r>
        <w:rPr>
          <w:rFonts w:hint="eastAsia" w:eastAsia="仿宋"/>
          <w:sz w:val="32"/>
          <w:szCs w:val="32"/>
        </w:rPr>
        <w:t xml:space="preserve">  </w:t>
      </w:r>
      <w:r>
        <w:rPr>
          <w:rFonts w:hint="eastAsia" w:eastAsia="仿宋"/>
          <w:color w:val="FF0000"/>
          <w:sz w:val="32"/>
          <w:szCs w:val="32"/>
        </w:rPr>
        <w:t xml:space="preserve">  </w:t>
      </w:r>
      <w:r>
        <w:rPr>
          <w:rFonts w:hint="eastAsia" w:eastAsia="仿宋"/>
          <w:b/>
          <w:sz w:val="32"/>
          <w:szCs w:val="32"/>
        </w:rPr>
        <w:t>第一条</w:t>
      </w:r>
      <w:r>
        <w:rPr>
          <w:rFonts w:hint="eastAsia" w:eastAsia="仿宋"/>
          <w:sz w:val="32"/>
          <w:szCs w:val="32"/>
        </w:rPr>
        <w:t xml:space="preserve"> 为了满足差异化信息披露要求，规范化工行业挂牌公司的持续信息披露行为，提高信息披露针对性和有效性，保障投资者的合法权益，根据《全国中小企业股份转让系统业务规则（试行）》《全国中小企业股份转让系统信息披露规则》等业务规则，制定本指引。</w:t>
      </w:r>
    </w:p>
    <w:p>
      <w:pPr>
        <w:widowControl/>
        <w:snapToGrid w:val="0"/>
        <w:spacing w:line="600" w:lineRule="exact"/>
        <w:ind w:firstLine="642" w:firstLineChars="200"/>
        <w:rPr>
          <w:rFonts w:eastAsia="仿宋"/>
          <w:sz w:val="32"/>
          <w:szCs w:val="32"/>
        </w:rPr>
      </w:pPr>
      <w:r>
        <w:rPr>
          <w:rFonts w:hint="eastAsia" w:eastAsia="仿宋"/>
          <w:b/>
          <w:sz w:val="32"/>
          <w:szCs w:val="32"/>
        </w:rPr>
        <w:t>第二条</w:t>
      </w:r>
      <w:r>
        <w:rPr>
          <w:rFonts w:hint="eastAsia" w:eastAsia="仿宋"/>
          <w:sz w:val="32"/>
          <w:szCs w:val="32"/>
        </w:rPr>
        <w:t xml:space="preserve"> 化工行业</w:t>
      </w:r>
      <w:r>
        <w:rPr>
          <w:rFonts w:eastAsia="仿宋"/>
          <w:sz w:val="32"/>
          <w:szCs w:val="32"/>
        </w:rPr>
        <w:t>挂牌</w:t>
      </w:r>
      <w:r>
        <w:rPr>
          <w:rFonts w:hint="eastAsia" w:eastAsia="仿宋"/>
          <w:sz w:val="32"/>
          <w:szCs w:val="32"/>
        </w:rPr>
        <w:t>公司（以下简称“公司”）在年度报告和临时报告中披露行业经营性信息，适用本指引的规定。</w:t>
      </w:r>
    </w:p>
    <w:p>
      <w:pPr>
        <w:widowControl/>
        <w:snapToGrid w:val="0"/>
        <w:spacing w:line="600" w:lineRule="exact"/>
        <w:ind w:firstLine="640" w:firstLineChars="200"/>
        <w:rPr>
          <w:rFonts w:eastAsia="仿宋"/>
          <w:sz w:val="32"/>
          <w:szCs w:val="32"/>
        </w:rPr>
      </w:pPr>
      <w:r>
        <w:rPr>
          <w:rFonts w:hint="eastAsia" w:eastAsia="仿宋"/>
          <w:sz w:val="32"/>
          <w:szCs w:val="32"/>
        </w:rPr>
        <w:t>本指引所称化工行业</w:t>
      </w:r>
      <w:r>
        <w:rPr>
          <w:rFonts w:eastAsia="仿宋"/>
          <w:sz w:val="32"/>
          <w:szCs w:val="32"/>
        </w:rPr>
        <w:t>挂牌</w:t>
      </w:r>
      <w:r>
        <w:rPr>
          <w:rFonts w:hint="eastAsia" w:eastAsia="仿宋"/>
          <w:sz w:val="32"/>
          <w:szCs w:val="32"/>
        </w:rPr>
        <w:t>公司是指根据全国中小企业股份转让系统有限责任公司（以下简称“全国股转公司”）制定并发布的《挂牌公司管理型行业分类指引》规定的行业分类，属于从事化学原料和化学制品制造、化学纤维制造、橡胶和塑料制品、石油加工、炼焦和核燃料加工等化工相关业务的公司。</w:t>
      </w:r>
    </w:p>
    <w:p>
      <w:pPr>
        <w:widowControl/>
        <w:snapToGrid w:val="0"/>
        <w:spacing w:line="600" w:lineRule="exact"/>
        <w:ind w:firstLine="642" w:firstLineChars="200"/>
        <w:rPr>
          <w:rFonts w:eastAsia="仿宋"/>
          <w:sz w:val="32"/>
          <w:szCs w:val="32"/>
        </w:rPr>
      </w:pPr>
      <w:r>
        <w:rPr>
          <w:rFonts w:hint="eastAsia" w:eastAsia="仿宋"/>
          <w:b/>
          <w:sz w:val="32"/>
          <w:szCs w:val="32"/>
        </w:rPr>
        <w:t>第三条</w:t>
      </w:r>
      <w:r>
        <w:rPr>
          <w:rFonts w:hint="eastAsia" w:eastAsia="仿宋"/>
          <w:sz w:val="32"/>
          <w:szCs w:val="32"/>
        </w:rPr>
        <w:t xml:space="preserve"> 公司在适用本指引时，还应当同时遵循法律法规、中国证券监督管理委员会关于信息披露的相关规定、《全国中小企业股份转让系统业务规则（试行）》《全国中小企业股份转让系统挂牌公司信息披露规则》及全国股转公司关于信息披露的其他规定。</w:t>
      </w:r>
    </w:p>
    <w:p>
      <w:pPr>
        <w:widowControl/>
        <w:snapToGrid w:val="0"/>
        <w:spacing w:line="600" w:lineRule="exact"/>
        <w:ind w:firstLine="640" w:firstLineChars="200"/>
        <w:rPr>
          <w:rFonts w:eastAsia="仿宋"/>
          <w:sz w:val="32"/>
          <w:szCs w:val="32"/>
        </w:rPr>
      </w:pPr>
      <w:r>
        <w:rPr>
          <w:rFonts w:hint="eastAsia" w:eastAsia="仿宋"/>
          <w:sz w:val="32"/>
          <w:szCs w:val="32"/>
        </w:rPr>
        <w:t>公司确属客观原因难以按照本指引要求披露相关信息的，可以不予披露，但应当在年度报告或临时报告中解释未按要求进行披露的原因，并予以特别提示。</w:t>
      </w:r>
    </w:p>
    <w:p>
      <w:pPr>
        <w:widowControl/>
        <w:snapToGrid w:val="0"/>
        <w:spacing w:line="600" w:lineRule="exact"/>
        <w:ind w:firstLine="642" w:firstLineChars="200"/>
        <w:rPr>
          <w:rFonts w:eastAsia="仿宋"/>
          <w:sz w:val="32"/>
          <w:szCs w:val="32"/>
        </w:rPr>
      </w:pPr>
      <w:r>
        <w:rPr>
          <w:rFonts w:hint="eastAsia" w:eastAsia="仿宋"/>
          <w:b/>
          <w:sz w:val="32"/>
          <w:szCs w:val="32"/>
        </w:rPr>
        <w:t>第四条</w:t>
      </w:r>
      <w:r>
        <w:rPr>
          <w:rFonts w:hint="eastAsia" w:eastAsia="仿宋"/>
          <w:sz w:val="32"/>
          <w:szCs w:val="32"/>
        </w:rPr>
        <w:t xml:space="preserve"> 公司披露行业经营性信息时，应当遵循便于投资者理解的原则，对行业专业术语、专业背景、行业知识等进行必要的介绍和解释说明。</w:t>
      </w:r>
    </w:p>
    <w:p>
      <w:pPr>
        <w:widowControl/>
        <w:snapToGrid w:val="0"/>
        <w:spacing w:line="600" w:lineRule="exact"/>
        <w:ind w:firstLine="640" w:firstLineChars="200"/>
        <w:rPr>
          <w:rFonts w:eastAsia="仿宋"/>
          <w:sz w:val="32"/>
          <w:szCs w:val="32"/>
        </w:rPr>
      </w:pPr>
      <w:r>
        <w:rPr>
          <w:rFonts w:hint="eastAsia" w:eastAsia="仿宋"/>
          <w:sz w:val="32"/>
          <w:szCs w:val="32"/>
        </w:rPr>
        <w:t>公司在披露行业经营性信息时引用相关数据、资料的，应当保证引用内容充分可靠、客观权威，并注明其来源。</w:t>
      </w:r>
    </w:p>
    <w:p>
      <w:pPr>
        <w:widowControl/>
        <w:snapToGrid w:val="0"/>
        <w:spacing w:line="600" w:lineRule="exact"/>
        <w:ind w:firstLine="640" w:firstLineChars="200"/>
        <w:rPr>
          <w:rFonts w:eastAsia="仿宋"/>
          <w:sz w:val="32"/>
          <w:szCs w:val="32"/>
        </w:rPr>
      </w:pPr>
    </w:p>
    <w:p>
      <w:pPr>
        <w:pStyle w:val="15"/>
        <w:widowControl/>
        <w:numPr>
          <w:ilvl w:val="0"/>
          <w:numId w:val="1"/>
        </w:numPr>
        <w:snapToGrid w:val="0"/>
        <w:spacing w:line="600" w:lineRule="exact"/>
        <w:ind w:firstLineChars="0"/>
        <w:jc w:val="center"/>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年度报告</w:t>
      </w:r>
    </w:p>
    <w:p>
      <w:pPr>
        <w:pStyle w:val="15"/>
        <w:widowControl/>
        <w:snapToGrid w:val="0"/>
        <w:spacing w:line="600" w:lineRule="exact"/>
        <w:ind w:left="1290" w:firstLine="0" w:firstLineChars="0"/>
        <w:rPr>
          <w:rFonts w:ascii="黑体" w:eastAsia="黑体" w:hAnsiTheme="minorHAnsi" w:cstheme="minorBidi"/>
          <w:b/>
          <w:color w:val="000000"/>
          <w:kern w:val="0"/>
          <w:sz w:val="32"/>
          <w:szCs w:val="32"/>
        </w:rPr>
      </w:pPr>
    </w:p>
    <w:p>
      <w:pPr>
        <w:widowControl/>
        <w:snapToGrid w:val="0"/>
        <w:spacing w:line="600" w:lineRule="exact"/>
        <w:ind w:firstLine="642" w:firstLineChars="200"/>
        <w:rPr>
          <w:rFonts w:eastAsia="仿宋"/>
          <w:sz w:val="32"/>
          <w:szCs w:val="32"/>
        </w:rPr>
      </w:pPr>
      <w:r>
        <w:rPr>
          <w:rFonts w:hint="eastAsia" w:eastAsia="仿宋"/>
          <w:b/>
          <w:sz w:val="32"/>
          <w:szCs w:val="32"/>
        </w:rPr>
        <w:t>第五条</w:t>
      </w:r>
      <w:r>
        <w:rPr>
          <w:rFonts w:hint="eastAsia" w:eastAsia="仿宋"/>
          <w:sz w:val="32"/>
          <w:szCs w:val="32"/>
        </w:rPr>
        <w:t xml:space="preserve"> 公司根据全国股转公司年度报告内容与格式指引要求披露年度报告时，应当同时按照本章要求履行信息披露义务。</w:t>
      </w:r>
    </w:p>
    <w:p>
      <w:pPr>
        <w:widowControl/>
        <w:snapToGrid w:val="0"/>
        <w:spacing w:line="600" w:lineRule="exact"/>
        <w:ind w:firstLine="642" w:firstLineChars="200"/>
        <w:rPr>
          <w:rFonts w:eastAsia="仿宋"/>
          <w:sz w:val="32"/>
          <w:szCs w:val="32"/>
        </w:rPr>
      </w:pPr>
      <w:r>
        <w:rPr>
          <w:rFonts w:hint="eastAsia" w:eastAsia="仿宋"/>
          <w:b/>
          <w:sz w:val="32"/>
          <w:szCs w:val="32"/>
        </w:rPr>
        <w:t>第六条</w:t>
      </w:r>
      <w:r>
        <w:rPr>
          <w:rFonts w:hint="eastAsia" w:eastAsia="仿宋"/>
          <w:sz w:val="32"/>
          <w:szCs w:val="32"/>
        </w:rPr>
        <w:t xml:space="preserve"> 公司应针对行业和自身特点，遵循相关性和重要性原则，充分披露影响其业务经营活动的行业重大风险因素及变动情况，如环保政策风险、产品</w:t>
      </w:r>
      <w:r>
        <w:rPr>
          <w:rFonts w:eastAsia="仿宋"/>
          <w:sz w:val="32"/>
          <w:szCs w:val="32"/>
        </w:rPr>
        <w:t>质量和</w:t>
      </w:r>
      <w:r>
        <w:rPr>
          <w:rFonts w:hint="eastAsia" w:eastAsia="仿宋"/>
          <w:sz w:val="32"/>
          <w:szCs w:val="32"/>
        </w:rPr>
        <w:t>安全生产风险、资质许可</w:t>
      </w:r>
      <w:r>
        <w:rPr>
          <w:rFonts w:eastAsia="仿宋"/>
          <w:sz w:val="32"/>
          <w:szCs w:val="32"/>
        </w:rPr>
        <w:t>到期</w:t>
      </w:r>
      <w:r>
        <w:rPr>
          <w:rFonts w:hint="eastAsia" w:eastAsia="仿宋"/>
          <w:sz w:val="32"/>
          <w:szCs w:val="32"/>
        </w:rPr>
        <w:t>无法</w:t>
      </w:r>
      <w:r>
        <w:rPr>
          <w:rFonts w:eastAsia="仿宋"/>
          <w:sz w:val="32"/>
          <w:szCs w:val="32"/>
        </w:rPr>
        <w:t>续期的风险</w:t>
      </w:r>
      <w:r>
        <w:rPr>
          <w:rFonts w:hint="eastAsia" w:eastAsia="仿宋"/>
          <w:sz w:val="32"/>
          <w:szCs w:val="32"/>
        </w:rPr>
        <w:t>、原材料和</w:t>
      </w:r>
      <w:r>
        <w:rPr>
          <w:rFonts w:eastAsia="仿宋"/>
          <w:sz w:val="32"/>
          <w:szCs w:val="32"/>
        </w:rPr>
        <w:t>产品</w:t>
      </w:r>
      <w:r>
        <w:rPr>
          <w:rFonts w:hint="eastAsia" w:eastAsia="仿宋"/>
          <w:sz w:val="32"/>
          <w:szCs w:val="32"/>
        </w:rPr>
        <w:t>价格波动风险、关键原材料和核心设备进口依赖风险、核心资产大额减值风险、技术和研发风险、核心人才流失风险等。</w:t>
      </w:r>
    </w:p>
    <w:p>
      <w:pPr>
        <w:widowControl/>
        <w:snapToGrid w:val="0"/>
        <w:spacing w:line="600" w:lineRule="exact"/>
        <w:ind w:firstLine="642" w:firstLineChars="200"/>
        <w:rPr>
          <w:rFonts w:eastAsia="仿宋"/>
          <w:sz w:val="32"/>
          <w:szCs w:val="32"/>
        </w:rPr>
      </w:pPr>
      <w:r>
        <w:rPr>
          <w:rFonts w:hint="eastAsia" w:eastAsia="仿宋"/>
          <w:b/>
          <w:sz w:val="32"/>
          <w:szCs w:val="32"/>
        </w:rPr>
        <w:t>第七条</w:t>
      </w:r>
      <w:r>
        <w:rPr>
          <w:rFonts w:hint="eastAsia" w:eastAsia="仿宋"/>
          <w:sz w:val="32"/>
          <w:szCs w:val="32"/>
        </w:rPr>
        <w:t xml:space="preserve"> </w:t>
      </w:r>
      <w:r>
        <w:rPr>
          <w:rFonts w:eastAsia="仿宋"/>
          <w:sz w:val="32"/>
          <w:szCs w:val="32"/>
        </w:rPr>
        <w:t>公司应披露报告期内对所属</w:t>
      </w:r>
      <w:r>
        <w:rPr>
          <w:rFonts w:hint="eastAsia" w:eastAsia="仿宋"/>
          <w:sz w:val="32"/>
          <w:szCs w:val="32"/>
        </w:rPr>
        <w:t>化工</w:t>
      </w:r>
      <w:r>
        <w:rPr>
          <w:rFonts w:eastAsia="仿宋"/>
          <w:sz w:val="32"/>
          <w:szCs w:val="32"/>
        </w:rPr>
        <w:t>细分行业具有重大影响的</w:t>
      </w:r>
      <w:r>
        <w:rPr>
          <w:rFonts w:hint="eastAsia" w:eastAsia="仿宋"/>
          <w:sz w:val="32"/>
          <w:szCs w:val="32"/>
        </w:rPr>
        <w:t>国家</w:t>
      </w:r>
      <w:r>
        <w:rPr>
          <w:rFonts w:eastAsia="仿宋"/>
          <w:sz w:val="32"/>
          <w:szCs w:val="32"/>
        </w:rPr>
        <w:t>及地方产业发展政策、环保政策</w:t>
      </w:r>
      <w:r>
        <w:rPr>
          <w:rFonts w:hint="eastAsia" w:eastAsia="仿宋"/>
          <w:sz w:val="32"/>
          <w:szCs w:val="32"/>
        </w:rPr>
        <w:t>、</w:t>
      </w:r>
      <w:r>
        <w:rPr>
          <w:rFonts w:eastAsia="仿宋"/>
          <w:sz w:val="32"/>
          <w:szCs w:val="32"/>
        </w:rPr>
        <w:t>安全生产</w:t>
      </w:r>
      <w:r>
        <w:rPr>
          <w:rFonts w:hint="eastAsia" w:eastAsia="仿宋"/>
          <w:sz w:val="32"/>
          <w:szCs w:val="32"/>
        </w:rPr>
        <w:t>及</w:t>
      </w:r>
      <w:r>
        <w:rPr>
          <w:rFonts w:eastAsia="仿宋"/>
          <w:sz w:val="32"/>
          <w:szCs w:val="32"/>
        </w:rPr>
        <w:t>行业许可政策</w:t>
      </w:r>
      <w:r>
        <w:rPr>
          <w:rFonts w:hint="eastAsia" w:eastAsia="仿宋"/>
          <w:sz w:val="32"/>
          <w:szCs w:val="32"/>
        </w:rPr>
        <w:t>、进出口</w:t>
      </w:r>
      <w:r>
        <w:rPr>
          <w:rFonts w:eastAsia="仿宋"/>
          <w:sz w:val="32"/>
          <w:szCs w:val="32"/>
        </w:rPr>
        <w:t>贸易政策等外部因素的变化情况，并说明</w:t>
      </w:r>
      <w:r>
        <w:rPr>
          <w:rFonts w:hint="eastAsia" w:eastAsia="仿宋"/>
          <w:sz w:val="32"/>
          <w:szCs w:val="32"/>
        </w:rPr>
        <w:t>对</w:t>
      </w:r>
      <w:r>
        <w:rPr>
          <w:rFonts w:eastAsia="仿宋"/>
          <w:sz w:val="32"/>
          <w:szCs w:val="32"/>
        </w:rPr>
        <w:t>公司</w:t>
      </w:r>
      <w:r>
        <w:rPr>
          <w:rFonts w:hint="eastAsia" w:eastAsia="仿宋"/>
          <w:sz w:val="32"/>
          <w:szCs w:val="32"/>
        </w:rPr>
        <w:t>生产</w:t>
      </w:r>
      <w:r>
        <w:rPr>
          <w:rFonts w:eastAsia="仿宋"/>
          <w:sz w:val="32"/>
          <w:szCs w:val="32"/>
        </w:rPr>
        <w:t>经营的</w:t>
      </w:r>
      <w:r>
        <w:rPr>
          <w:rFonts w:hint="eastAsia" w:eastAsia="仿宋"/>
          <w:sz w:val="32"/>
          <w:szCs w:val="32"/>
        </w:rPr>
        <w:t>具体</w:t>
      </w:r>
      <w:r>
        <w:rPr>
          <w:rFonts w:eastAsia="仿宋"/>
          <w:sz w:val="32"/>
          <w:szCs w:val="32"/>
        </w:rPr>
        <w:t>影响以及公司采取的应对措施。</w:t>
      </w:r>
    </w:p>
    <w:p>
      <w:pPr>
        <w:widowControl/>
        <w:snapToGrid w:val="0"/>
        <w:spacing w:line="600" w:lineRule="exact"/>
        <w:ind w:firstLine="642" w:firstLineChars="200"/>
        <w:rPr>
          <w:rFonts w:eastAsia="仿宋"/>
          <w:sz w:val="32"/>
          <w:szCs w:val="32"/>
        </w:rPr>
      </w:pPr>
      <w:r>
        <w:rPr>
          <w:rFonts w:hint="eastAsia" w:eastAsia="仿宋"/>
          <w:b/>
          <w:sz w:val="32"/>
          <w:szCs w:val="32"/>
        </w:rPr>
        <w:t>第八条</w:t>
      </w:r>
      <w:r>
        <w:rPr>
          <w:rFonts w:hint="eastAsia" w:eastAsia="仿宋"/>
          <w:sz w:val="32"/>
          <w:szCs w:val="32"/>
        </w:rPr>
        <w:t xml:space="preserve"> 公司应披露报告期内所属细分行业的最新发展情况，包括</w:t>
      </w:r>
      <w:r>
        <w:rPr>
          <w:rFonts w:eastAsia="仿宋"/>
          <w:sz w:val="32"/>
          <w:szCs w:val="32"/>
        </w:rPr>
        <w:t>行业所处周期</w:t>
      </w:r>
      <w:r>
        <w:rPr>
          <w:rFonts w:hint="eastAsia" w:eastAsia="仿宋"/>
          <w:sz w:val="32"/>
          <w:szCs w:val="32"/>
        </w:rPr>
        <w:t>及其</w:t>
      </w:r>
      <w:r>
        <w:rPr>
          <w:rFonts w:eastAsia="仿宋"/>
          <w:sz w:val="32"/>
          <w:szCs w:val="32"/>
        </w:rPr>
        <w:t>变动情况</w:t>
      </w:r>
      <w:r>
        <w:rPr>
          <w:rFonts w:hint="eastAsia" w:eastAsia="仿宋"/>
          <w:sz w:val="32"/>
          <w:szCs w:val="32"/>
        </w:rPr>
        <w:t>、市场竞争格局、行业技术水平或特点的变化情况。</w:t>
      </w:r>
    </w:p>
    <w:p>
      <w:pPr>
        <w:spacing w:line="600" w:lineRule="exact"/>
        <w:ind w:firstLine="642" w:firstLineChars="200"/>
        <w:rPr>
          <w:rFonts w:eastAsia="仿宋"/>
          <w:sz w:val="32"/>
          <w:szCs w:val="32"/>
        </w:rPr>
      </w:pPr>
      <w:r>
        <w:rPr>
          <w:rFonts w:hint="eastAsia" w:eastAsia="仿宋"/>
          <w:b/>
          <w:sz w:val="32"/>
          <w:szCs w:val="32"/>
        </w:rPr>
        <w:t>第九条</w:t>
      </w:r>
      <w:r>
        <w:rPr>
          <w:rFonts w:hint="eastAsia" w:eastAsia="仿宋"/>
          <w:sz w:val="32"/>
          <w:szCs w:val="32"/>
        </w:rPr>
        <w:t xml:space="preserve"> 公司应结合自身一体化生产能力与生产规模、成本控制水平、技术水平与研发能力、自然资源与区位优劣势等情况</w:t>
      </w:r>
      <w:r>
        <w:rPr>
          <w:rFonts w:eastAsia="仿宋"/>
          <w:sz w:val="32"/>
          <w:szCs w:val="32"/>
        </w:rPr>
        <w:t>，</w:t>
      </w:r>
      <w:r>
        <w:rPr>
          <w:rFonts w:hint="eastAsia" w:ascii="仿宋_GB2312" w:hAnsi="宋体" w:eastAsia="仿宋_GB2312"/>
          <w:sz w:val="32"/>
          <w:szCs w:val="32"/>
        </w:rPr>
        <w:t>分析公司的行业地位、核心竞争优势和主要劣势</w:t>
      </w:r>
      <w:r>
        <w:rPr>
          <w:rFonts w:hint="eastAsia" w:eastAsia="仿宋"/>
          <w:sz w:val="32"/>
          <w:szCs w:val="32"/>
        </w:rPr>
        <w:t>。</w:t>
      </w:r>
    </w:p>
    <w:p>
      <w:pPr>
        <w:widowControl/>
        <w:snapToGrid w:val="0"/>
        <w:spacing w:line="600" w:lineRule="exact"/>
        <w:ind w:firstLine="642" w:firstLineChars="200"/>
        <w:rPr>
          <w:rFonts w:eastAsia="仿宋"/>
          <w:sz w:val="32"/>
          <w:szCs w:val="32"/>
        </w:rPr>
      </w:pPr>
      <w:r>
        <w:rPr>
          <w:rFonts w:hint="eastAsia" w:eastAsia="仿宋"/>
          <w:b/>
          <w:sz w:val="32"/>
          <w:szCs w:val="32"/>
        </w:rPr>
        <w:t>第十条</w:t>
      </w:r>
      <w:r>
        <w:rPr>
          <w:rFonts w:hint="eastAsia" w:eastAsia="仿宋"/>
          <w:sz w:val="32"/>
          <w:szCs w:val="32"/>
        </w:rPr>
        <w:t xml:space="preserve"> 公司应结合自身业务特点与行业惯例，披露公司主要产品的分类、属性、用途、运输与存储方式，并说明主要产品的上下游产业链、主要产品价格的影响因素等情况。</w:t>
      </w:r>
    </w:p>
    <w:p>
      <w:pPr>
        <w:widowControl/>
        <w:snapToGrid w:val="0"/>
        <w:spacing w:line="600" w:lineRule="exact"/>
        <w:ind w:firstLine="642" w:firstLineChars="200"/>
        <w:rPr>
          <w:rFonts w:eastAsia="仿宋"/>
          <w:sz w:val="32"/>
          <w:szCs w:val="32"/>
        </w:rPr>
      </w:pPr>
      <w:r>
        <w:rPr>
          <w:rFonts w:hint="eastAsia" w:eastAsia="仿宋"/>
          <w:b/>
          <w:sz w:val="32"/>
          <w:szCs w:val="32"/>
        </w:rPr>
        <w:t>第十一条</w:t>
      </w:r>
      <w:r>
        <w:rPr>
          <w:rFonts w:hint="eastAsia" w:eastAsia="仿宋"/>
          <w:sz w:val="32"/>
          <w:szCs w:val="32"/>
        </w:rPr>
        <w:t xml:space="preserve"> 公司应当按照主要</w:t>
      </w:r>
      <w:r>
        <w:rPr>
          <w:rFonts w:eastAsia="仿宋"/>
          <w:sz w:val="32"/>
          <w:szCs w:val="32"/>
        </w:rPr>
        <w:t>产品</w:t>
      </w:r>
      <w:r>
        <w:rPr>
          <w:rFonts w:hint="eastAsia" w:eastAsia="仿宋"/>
          <w:sz w:val="32"/>
          <w:szCs w:val="32"/>
        </w:rPr>
        <w:t>类别披露生产过程中</w:t>
      </w:r>
      <w:r>
        <w:rPr>
          <w:rFonts w:eastAsia="仿宋"/>
          <w:sz w:val="32"/>
          <w:szCs w:val="32"/>
        </w:rPr>
        <w:t>使用的</w:t>
      </w:r>
      <w:r>
        <w:rPr>
          <w:rFonts w:hint="eastAsia" w:eastAsia="仿宋"/>
          <w:sz w:val="32"/>
          <w:szCs w:val="32"/>
        </w:rPr>
        <w:t>主要技术</w:t>
      </w:r>
      <w:r>
        <w:rPr>
          <w:rFonts w:eastAsia="仿宋"/>
          <w:sz w:val="32"/>
          <w:szCs w:val="32"/>
        </w:rPr>
        <w:t>和工艺信息</w:t>
      </w:r>
      <w:r>
        <w:rPr>
          <w:rFonts w:hint="eastAsia" w:eastAsia="仿宋"/>
          <w:sz w:val="32"/>
          <w:szCs w:val="32"/>
        </w:rPr>
        <w:t>，包括技术原理、工艺流程、技术储备、专利、是否自主</w:t>
      </w:r>
      <w:r>
        <w:rPr>
          <w:rFonts w:eastAsia="仿宋"/>
          <w:sz w:val="32"/>
          <w:szCs w:val="32"/>
        </w:rPr>
        <w:t>拥有</w:t>
      </w:r>
      <w:r>
        <w:rPr>
          <w:rFonts w:hint="eastAsia" w:eastAsia="仿宋"/>
          <w:sz w:val="32"/>
          <w:szCs w:val="32"/>
        </w:rPr>
        <w:t>生产工艺或配方等，鼓励公司</w:t>
      </w:r>
      <w:r>
        <w:rPr>
          <w:rFonts w:eastAsia="仿宋"/>
          <w:sz w:val="32"/>
          <w:szCs w:val="32"/>
        </w:rPr>
        <w:t>披露</w:t>
      </w:r>
      <w:r>
        <w:rPr>
          <w:rFonts w:hint="eastAsia" w:eastAsia="仿宋"/>
          <w:sz w:val="32"/>
          <w:szCs w:val="32"/>
        </w:rPr>
        <w:t>其与国内外先进技术工艺的比较分析情况。</w:t>
      </w:r>
    </w:p>
    <w:p>
      <w:pPr>
        <w:widowControl/>
        <w:snapToGrid w:val="0"/>
        <w:spacing w:line="600" w:lineRule="exact"/>
        <w:ind w:firstLine="640" w:firstLineChars="200"/>
        <w:rPr>
          <w:rFonts w:eastAsia="仿宋"/>
          <w:sz w:val="32"/>
          <w:szCs w:val="32"/>
        </w:rPr>
      </w:pPr>
      <w:r>
        <w:rPr>
          <w:rFonts w:hint="eastAsia" w:eastAsia="仿宋"/>
          <w:sz w:val="32"/>
          <w:szCs w:val="32"/>
        </w:rPr>
        <w:t>公司已</w:t>
      </w:r>
      <w:r>
        <w:rPr>
          <w:rFonts w:eastAsia="仿宋"/>
          <w:sz w:val="32"/>
          <w:szCs w:val="32"/>
        </w:rPr>
        <w:t>在前次</w:t>
      </w:r>
      <w:r>
        <w:rPr>
          <w:rFonts w:hint="eastAsia" w:eastAsia="仿宋"/>
          <w:sz w:val="32"/>
          <w:szCs w:val="32"/>
        </w:rPr>
        <w:t>年度</w:t>
      </w:r>
      <w:r>
        <w:rPr>
          <w:rFonts w:eastAsia="仿宋"/>
          <w:sz w:val="32"/>
          <w:szCs w:val="32"/>
        </w:rPr>
        <w:t>报告中完整披露</w:t>
      </w:r>
      <w:r>
        <w:rPr>
          <w:rFonts w:hint="eastAsia" w:eastAsia="仿宋"/>
          <w:sz w:val="32"/>
          <w:szCs w:val="32"/>
        </w:rPr>
        <w:t>其主要产品</w:t>
      </w:r>
      <w:r>
        <w:rPr>
          <w:rFonts w:eastAsia="仿宋"/>
          <w:sz w:val="32"/>
          <w:szCs w:val="32"/>
        </w:rPr>
        <w:t>技术工艺</w:t>
      </w:r>
      <w:r>
        <w:rPr>
          <w:rFonts w:hint="eastAsia" w:eastAsia="仿宋"/>
          <w:sz w:val="32"/>
          <w:szCs w:val="32"/>
        </w:rPr>
        <w:t>信息，</w:t>
      </w:r>
      <w:r>
        <w:rPr>
          <w:rFonts w:eastAsia="仿宋"/>
          <w:sz w:val="32"/>
          <w:szCs w:val="32"/>
        </w:rPr>
        <w:t>报告期未</w:t>
      </w:r>
      <w:r>
        <w:rPr>
          <w:rFonts w:hint="eastAsia" w:eastAsia="仿宋"/>
          <w:sz w:val="32"/>
          <w:szCs w:val="32"/>
        </w:rPr>
        <w:t>发生重大</w:t>
      </w:r>
      <w:r>
        <w:rPr>
          <w:rFonts w:eastAsia="仿宋"/>
          <w:sz w:val="32"/>
          <w:szCs w:val="32"/>
        </w:rPr>
        <w:t>调整的，可以简化披露并提供索引。报告期</w:t>
      </w:r>
      <w:r>
        <w:rPr>
          <w:rFonts w:hint="eastAsia" w:eastAsia="仿宋"/>
          <w:sz w:val="32"/>
          <w:szCs w:val="32"/>
        </w:rPr>
        <w:t>内主要</w:t>
      </w:r>
      <w:r>
        <w:rPr>
          <w:rFonts w:eastAsia="仿宋"/>
          <w:sz w:val="32"/>
          <w:szCs w:val="32"/>
        </w:rPr>
        <w:t>产品技术工艺发生</w:t>
      </w:r>
      <w:r>
        <w:rPr>
          <w:rFonts w:hint="eastAsia" w:eastAsia="仿宋"/>
          <w:sz w:val="32"/>
          <w:szCs w:val="32"/>
        </w:rPr>
        <w:t>重大</w:t>
      </w:r>
      <w:r>
        <w:rPr>
          <w:rFonts w:eastAsia="仿宋"/>
          <w:sz w:val="32"/>
          <w:szCs w:val="32"/>
        </w:rPr>
        <w:t>调整的，应披露调整</w:t>
      </w:r>
      <w:r>
        <w:rPr>
          <w:rFonts w:hint="eastAsia" w:eastAsia="仿宋"/>
          <w:sz w:val="32"/>
          <w:szCs w:val="32"/>
        </w:rPr>
        <w:t>原因</w:t>
      </w:r>
      <w:r>
        <w:rPr>
          <w:rFonts w:eastAsia="仿宋"/>
          <w:sz w:val="32"/>
          <w:szCs w:val="32"/>
        </w:rPr>
        <w:t>及调整后的技术工艺，并分析新工艺的特点及优势。</w:t>
      </w:r>
    </w:p>
    <w:p>
      <w:pPr>
        <w:widowControl/>
        <w:snapToGrid w:val="0"/>
        <w:spacing w:line="600" w:lineRule="exact"/>
        <w:ind w:firstLine="642" w:firstLineChars="200"/>
        <w:rPr>
          <w:rFonts w:eastAsia="仿宋"/>
          <w:sz w:val="32"/>
          <w:szCs w:val="32"/>
        </w:rPr>
      </w:pPr>
      <w:r>
        <w:rPr>
          <w:rFonts w:hint="eastAsia" w:eastAsia="仿宋"/>
          <w:b/>
          <w:sz w:val="32"/>
          <w:szCs w:val="32"/>
        </w:rPr>
        <w:t>第十二条</w:t>
      </w:r>
      <w:r>
        <w:rPr>
          <w:rFonts w:hint="eastAsia" w:eastAsia="仿宋"/>
          <w:sz w:val="32"/>
          <w:szCs w:val="32"/>
        </w:rPr>
        <w:t xml:space="preserve"> 公司应披露研发创新机制，包括研发模式、研发机构设置、研发人员构成、报告期主要研发成果。鼓励公司披露研发投入较大或已取得阶段性成果的在研项目。</w:t>
      </w:r>
    </w:p>
    <w:p>
      <w:pPr>
        <w:widowControl/>
        <w:snapToGrid w:val="0"/>
        <w:spacing w:line="600" w:lineRule="exact"/>
        <w:ind w:firstLine="642" w:firstLineChars="200"/>
        <w:rPr>
          <w:rFonts w:eastAsia="仿宋"/>
          <w:sz w:val="32"/>
          <w:szCs w:val="32"/>
        </w:rPr>
      </w:pPr>
      <w:r>
        <w:rPr>
          <w:rFonts w:hint="eastAsia" w:eastAsia="仿宋"/>
          <w:b/>
          <w:sz w:val="32"/>
          <w:szCs w:val="32"/>
        </w:rPr>
        <w:t>第十三条</w:t>
      </w:r>
      <w:r>
        <w:rPr>
          <w:rFonts w:hint="eastAsia" w:eastAsia="仿宋"/>
          <w:sz w:val="32"/>
          <w:szCs w:val="32"/>
        </w:rPr>
        <w:t xml:space="preserve"> 公司应结合生产成本要素构成，披露主要产品的主要原材料、主要能源动力及其采购模式、供应的稳定性、价格走势，披露报告期内主要原材料</w:t>
      </w:r>
      <w:r>
        <w:rPr>
          <w:rFonts w:eastAsia="仿宋"/>
          <w:sz w:val="32"/>
          <w:szCs w:val="32"/>
        </w:rPr>
        <w:t>与能源的耗用情况</w:t>
      </w:r>
      <w:r>
        <w:rPr>
          <w:rFonts w:hint="eastAsia" w:eastAsia="仿宋"/>
          <w:sz w:val="32"/>
          <w:szCs w:val="32"/>
        </w:rPr>
        <w:t>，并分析说明主要原材料或能源价格波动对公司营业成本的影响。</w:t>
      </w:r>
    </w:p>
    <w:p>
      <w:pPr>
        <w:widowControl/>
        <w:snapToGrid w:val="0"/>
        <w:spacing w:line="600" w:lineRule="exact"/>
        <w:ind w:firstLine="642" w:firstLineChars="200"/>
        <w:rPr>
          <w:rFonts w:eastAsia="仿宋"/>
          <w:sz w:val="32"/>
          <w:szCs w:val="32"/>
        </w:rPr>
      </w:pPr>
      <w:r>
        <w:rPr>
          <w:rFonts w:hint="eastAsia" w:eastAsia="仿宋"/>
          <w:b/>
          <w:sz w:val="32"/>
          <w:szCs w:val="32"/>
        </w:rPr>
        <w:t>第十四条</w:t>
      </w:r>
      <w:r>
        <w:rPr>
          <w:rFonts w:hint="eastAsia" w:eastAsia="仿宋"/>
          <w:sz w:val="32"/>
          <w:szCs w:val="32"/>
        </w:rPr>
        <w:t xml:space="preserve"> 公司采用衍生产品交易等金融手段应对主要原料或燃料价格波动风险的，应披露相关金融产品的持有目的、金额、风险敞口、套期保值效果、可能承担的最高损失金额及相关会计政策。</w:t>
      </w:r>
    </w:p>
    <w:p>
      <w:pPr>
        <w:widowControl/>
        <w:snapToGrid w:val="0"/>
        <w:spacing w:line="600" w:lineRule="exact"/>
        <w:ind w:firstLine="640" w:firstLineChars="200"/>
        <w:rPr>
          <w:rFonts w:eastAsia="仿宋"/>
          <w:sz w:val="32"/>
          <w:szCs w:val="32"/>
        </w:rPr>
      </w:pPr>
      <w:r>
        <w:rPr>
          <w:rFonts w:hint="eastAsia" w:eastAsia="仿宋"/>
          <w:sz w:val="32"/>
          <w:szCs w:val="32"/>
        </w:rPr>
        <w:t>公司采用阶段性储备等其他方式进行风险应对的，应披露相关措施的具体策略及报告期内实施情况，并量化分析可能对公司财务状况、经营成果和现金流量造成的影响。</w:t>
      </w:r>
    </w:p>
    <w:p>
      <w:pPr>
        <w:widowControl/>
        <w:snapToGrid w:val="0"/>
        <w:spacing w:line="600" w:lineRule="exact"/>
        <w:ind w:firstLine="642" w:firstLineChars="200"/>
        <w:rPr>
          <w:rFonts w:eastAsia="仿宋"/>
          <w:sz w:val="32"/>
          <w:szCs w:val="32"/>
        </w:rPr>
      </w:pPr>
      <w:r>
        <w:rPr>
          <w:rFonts w:hint="eastAsia" w:eastAsia="仿宋"/>
          <w:b/>
          <w:sz w:val="32"/>
          <w:szCs w:val="32"/>
        </w:rPr>
        <w:t>第十五条</w:t>
      </w:r>
      <w:r>
        <w:rPr>
          <w:rFonts w:hint="eastAsia" w:eastAsia="仿宋"/>
          <w:sz w:val="32"/>
          <w:szCs w:val="32"/>
        </w:rPr>
        <w:t xml:space="preserve"> 公司生产过程中产出联产品、副产品、半成品、废料、余热利用产品等，影响重大的，应披露以下情况：</w:t>
      </w:r>
    </w:p>
    <w:p>
      <w:pPr>
        <w:widowControl/>
        <w:snapToGrid w:val="0"/>
        <w:spacing w:line="600" w:lineRule="exact"/>
        <w:ind w:firstLine="640" w:firstLineChars="200"/>
        <w:rPr>
          <w:rFonts w:eastAsia="仿宋"/>
          <w:sz w:val="32"/>
          <w:szCs w:val="32"/>
        </w:rPr>
      </w:pPr>
      <w:r>
        <w:rPr>
          <w:rFonts w:hint="eastAsia" w:eastAsia="仿宋"/>
          <w:sz w:val="32"/>
          <w:szCs w:val="32"/>
        </w:rPr>
        <w:t>（一）生产过程中产生的联产品、副产品、半成品、废料、余热利用产品的名称、主要应用领域、销售情况；</w:t>
      </w:r>
    </w:p>
    <w:p>
      <w:pPr>
        <w:widowControl/>
        <w:snapToGrid w:val="0"/>
        <w:spacing w:line="600" w:lineRule="exact"/>
        <w:ind w:firstLine="640" w:firstLineChars="200"/>
        <w:rPr>
          <w:rFonts w:eastAsia="仿宋"/>
          <w:sz w:val="32"/>
          <w:szCs w:val="32"/>
        </w:rPr>
      </w:pPr>
      <w:r>
        <w:rPr>
          <w:rFonts w:hint="eastAsia" w:eastAsia="仿宋"/>
          <w:sz w:val="32"/>
          <w:szCs w:val="32"/>
        </w:rPr>
        <w:t>（二）生产过程中产生的废料、废渣、废液等对外销售的，应披露主要销售对象及其销售占比情况、定价方式和处置周期；</w:t>
      </w:r>
    </w:p>
    <w:p>
      <w:pPr>
        <w:widowControl/>
        <w:snapToGrid w:val="0"/>
        <w:spacing w:line="600" w:lineRule="exact"/>
        <w:ind w:firstLine="640" w:firstLineChars="200"/>
        <w:rPr>
          <w:rFonts w:eastAsia="仿宋"/>
          <w:sz w:val="32"/>
          <w:szCs w:val="32"/>
        </w:rPr>
      </w:pPr>
      <w:r>
        <w:rPr>
          <w:rFonts w:hint="eastAsia" w:eastAsia="仿宋"/>
          <w:sz w:val="32"/>
          <w:szCs w:val="32"/>
        </w:rPr>
        <w:t>（三）生产过程中产生的电力、蒸汽、余热等产品对外销售或用于除生产外用途的，应披露报告期内主要销售对象及其销售占比情况、合作方式和定价方法。</w:t>
      </w:r>
    </w:p>
    <w:p>
      <w:pPr>
        <w:widowControl/>
        <w:snapToGrid w:val="0"/>
        <w:spacing w:line="600" w:lineRule="exact"/>
        <w:ind w:firstLine="642" w:firstLineChars="200"/>
        <w:rPr>
          <w:rFonts w:eastAsia="仿宋"/>
          <w:sz w:val="32"/>
          <w:szCs w:val="32"/>
        </w:rPr>
      </w:pPr>
      <w:r>
        <w:rPr>
          <w:rFonts w:hint="eastAsia" w:eastAsia="仿宋"/>
          <w:b/>
          <w:sz w:val="32"/>
          <w:szCs w:val="32"/>
        </w:rPr>
        <w:t>第十六条</w:t>
      </w:r>
      <w:r>
        <w:rPr>
          <w:rFonts w:hint="eastAsia" w:eastAsia="仿宋"/>
          <w:sz w:val="32"/>
          <w:szCs w:val="32"/>
        </w:rPr>
        <w:t xml:space="preserve"> 公司应披露报告期内主要产品的产能与</w:t>
      </w:r>
      <w:r>
        <w:rPr>
          <w:rFonts w:eastAsia="仿宋"/>
          <w:sz w:val="32"/>
          <w:szCs w:val="32"/>
        </w:rPr>
        <w:t>开工</w:t>
      </w:r>
      <w:r>
        <w:rPr>
          <w:rFonts w:hint="eastAsia" w:eastAsia="仿宋"/>
          <w:sz w:val="32"/>
          <w:szCs w:val="32"/>
        </w:rPr>
        <w:t>情况，包括：</w:t>
      </w:r>
    </w:p>
    <w:p>
      <w:pPr>
        <w:widowControl/>
        <w:snapToGrid w:val="0"/>
        <w:spacing w:line="600" w:lineRule="exact"/>
        <w:ind w:firstLine="640" w:firstLineChars="200"/>
        <w:rPr>
          <w:rFonts w:eastAsia="仿宋"/>
          <w:sz w:val="32"/>
          <w:szCs w:val="32"/>
        </w:rPr>
      </w:pPr>
      <w:r>
        <w:rPr>
          <w:rFonts w:hint="eastAsia" w:eastAsia="仿宋"/>
          <w:sz w:val="32"/>
          <w:szCs w:val="32"/>
        </w:rPr>
        <w:t>（一）主要产品的产量和产能利用率，若利用率较低，应当说明不能充分利用产能的原因；</w:t>
      </w:r>
    </w:p>
    <w:p>
      <w:pPr>
        <w:widowControl/>
        <w:snapToGrid w:val="0"/>
        <w:spacing w:line="600" w:lineRule="exact"/>
        <w:ind w:firstLine="640" w:firstLineChars="200"/>
        <w:rPr>
          <w:rFonts w:eastAsia="仿宋"/>
          <w:sz w:val="32"/>
          <w:szCs w:val="32"/>
        </w:rPr>
      </w:pPr>
      <w:r>
        <w:rPr>
          <w:rFonts w:hint="eastAsia" w:eastAsia="仿宋"/>
          <w:sz w:val="32"/>
          <w:szCs w:val="32"/>
        </w:rPr>
        <w:t>（二）公司出现非正常停产、检修、整改、复产等情形，影响重大的，应披露相关情况、影响程度和应对措施；</w:t>
      </w:r>
    </w:p>
    <w:p>
      <w:pPr>
        <w:widowControl/>
        <w:snapToGrid w:val="0"/>
        <w:spacing w:line="600" w:lineRule="exact"/>
        <w:ind w:firstLine="640" w:firstLineChars="200"/>
        <w:rPr>
          <w:rFonts w:eastAsia="仿宋"/>
          <w:sz w:val="32"/>
          <w:szCs w:val="32"/>
        </w:rPr>
      </w:pPr>
      <w:r>
        <w:rPr>
          <w:rFonts w:hint="eastAsia" w:eastAsia="仿宋"/>
          <w:sz w:val="32"/>
          <w:szCs w:val="32"/>
        </w:rPr>
        <w:t>（三</w:t>
      </w:r>
      <w:r>
        <w:rPr>
          <w:rFonts w:eastAsia="仿宋"/>
          <w:sz w:val="32"/>
          <w:szCs w:val="32"/>
        </w:rPr>
        <w:t>）</w:t>
      </w:r>
      <w:r>
        <w:rPr>
          <w:rFonts w:hint="eastAsia" w:eastAsia="仿宋"/>
          <w:sz w:val="32"/>
          <w:szCs w:val="32"/>
        </w:rPr>
        <w:t>在建产能的总投资额、设计产能、预计投产时间、工艺路线及环保投入等；</w:t>
      </w:r>
    </w:p>
    <w:p>
      <w:pPr>
        <w:widowControl/>
        <w:snapToGrid w:val="0"/>
        <w:spacing w:line="600" w:lineRule="exact"/>
        <w:ind w:firstLine="640" w:firstLineChars="200"/>
        <w:rPr>
          <w:rFonts w:eastAsia="仿宋"/>
          <w:sz w:val="32"/>
          <w:szCs w:val="32"/>
        </w:rPr>
      </w:pPr>
      <w:r>
        <w:rPr>
          <w:rFonts w:hint="eastAsia" w:eastAsia="仿宋"/>
          <w:sz w:val="32"/>
          <w:szCs w:val="32"/>
        </w:rPr>
        <w:t>（四</w:t>
      </w:r>
      <w:r>
        <w:rPr>
          <w:rFonts w:eastAsia="仿宋"/>
          <w:sz w:val="32"/>
          <w:szCs w:val="32"/>
        </w:rPr>
        <w:t>）</w:t>
      </w:r>
      <w:r>
        <w:rPr>
          <w:rFonts w:hint="eastAsia" w:eastAsia="仿宋"/>
          <w:sz w:val="32"/>
          <w:szCs w:val="32"/>
        </w:rPr>
        <w:t>公司的主要产品在报告期内存在委托生产的，应披露委托生产产品的种类及占同类产品的比例、受托方基本情况、公司与受托厂商之间的排他性协议签订情况等。</w:t>
      </w:r>
    </w:p>
    <w:p>
      <w:pPr>
        <w:widowControl/>
        <w:snapToGrid w:val="0"/>
        <w:spacing w:line="600" w:lineRule="exact"/>
        <w:ind w:firstLine="642" w:firstLineChars="200"/>
        <w:rPr>
          <w:rFonts w:eastAsia="仿宋"/>
          <w:sz w:val="32"/>
          <w:szCs w:val="32"/>
        </w:rPr>
      </w:pPr>
      <w:r>
        <w:rPr>
          <w:rFonts w:hint="eastAsia" w:eastAsia="仿宋"/>
          <w:b/>
          <w:sz w:val="32"/>
          <w:szCs w:val="32"/>
        </w:rPr>
        <w:t>第十七条</w:t>
      </w:r>
      <w:r>
        <w:rPr>
          <w:rFonts w:hint="eastAsia" w:eastAsia="仿宋"/>
          <w:sz w:val="32"/>
          <w:szCs w:val="32"/>
        </w:rPr>
        <w:t xml:space="preserve"> 公司应披露安全生产资质的取得情况、建设项目的安全审查情况等，公司生产经营活动涉及危险化学品的，应披露其在生产、储存、使用、经营、运输以及危险废弃物处置过程中依法采取的管理措施。</w:t>
      </w:r>
    </w:p>
    <w:p>
      <w:pPr>
        <w:widowControl/>
        <w:snapToGrid w:val="0"/>
        <w:spacing w:line="600" w:lineRule="exact"/>
        <w:ind w:firstLine="640" w:firstLineChars="200"/>
        <w:rPr>
          <w:rFonts w:eastAsia="仿宋"/>
          <w:sz w:val="32"/>
          <w:szCs w:val="32"/>
        </w:rPr>
      </w:pPr>
      <w:r>
        <w:rPr>
          <w:rFonts w:hint="eastAsia" w:eastAsia="仿宋"/>
          <w:sz w:val="32"/>
          <w:szCs w:val="32"/>
        </w:rPr>
        <w:t>公司应披露所使用场所的消防验收、备案</w:t>
      </w:r>
      <w:r>
        <w:rPr>
          <w:rFonts w:eastAsia="仿宋"/>
          <w:sz w:val="32"/>
          <w:szCs w:val="32"/>
        </w:rPr>
        <w:t>情况</w:t>
      </w:r>
      <w:r>
        <w:rPr>
          <w:rFonts w:hint="eastAsia" w:eastAsia="仿宋"/>
          <w:sz w:val="32"/>
          <w:szCs w:val="32"/>
        </w:rPr>
        <w:t>，消防安全检查的办理情况以及</w:t>
      </w:r>
      <w:r>
        <w:rPr>
          <w:rFonts w:eastAsia="仿宋"/>
          <w:sz w:val="32"/>
          <w:szCs w:val="32"/>
        </w:rPr>
        <w:t>日常消防安全</w:t>
      </w:r>
      <w:r>
        <w:rPr>
          <w:rFonts w:hint="eastAsia" w:eastAsia="仿宋"/>
          <w:sz w:val="32"/>
          <w:szCs w:val="32"/>
        </w:rPr>
        <w:t>管理</w:t>
      </w:r>
      <w:r>
        <w:rPr>
          <w:rFonts w:eastAsia="仿宋"/>
          <w:sz w:val="32"/>
          <w:szCs w:val="32"/>
        </w:rPr>
        <w:t>措施</w:t>
      </w:r>
      <w:r>
        <w:rPr>
          <w:rFonts w:hint="eastAsia" w:eastAsia="仿宋"/>
          <w:sz w:val="32"/>
          <w:szCs w:val="32"/>
        </w:rPr>
        <w:t>。</w:t>
      </w:r>
    </w:p>
    <w:p>
      <w:pPr>
        <w:widowControl/>
        <w:snapToGrid w:val="0"/>
        <w:spacing w:line="600" w:lineRule="exact"/>
        <w:ind w:firstLine="640" w:firstLineChars="200"/>
        <w:rPr>
          <w:rFonts w:eastAsia="仿宋"/>
          <w:sz w:val="32"/>
          <w:szCs w:val="32"/>
        </w:rPr>
      </w:pPr>
      <w:r>
        <w:rPr>
          <w:rFonts w:hint="eastAsia" w:eastAsia="仿宋"/>
          <w:sz w:val="32"/>
          <w:szCs w:val="32"/>
        </w:rPr>
        <w:t>公司</w:t>
      </w:r>
      <w:r>
        <w:rPr>
          <w:rFonts w:eastAsia="仿宋"/>
          <w:sz w:val="32"/>
          <w:szCs w:val="32"/>
        </w:rPr>
        <w:t>应</w:t>
      </w:r>
      <w:r>
        <w:rPr>
          <w:rFonts w:hint="eastAsia" w:eastAsia="仿宋"/>
          <w:sz w:val="32"/>
          <w:szCs w:val="32"/>
        </w:rPr>
        <w:t>披露</w:t>
      </w:r>
      <w:r>
        <w:rPr>
          <w:rFonts w:eastAsia="仿宋"/>
          <w:sz w:val="32"/>
          <w:szCs w:val="32"/>
        </w:rPr>
        <w:t>报告期内</w:t>
      </w:r>
      <w:r>
        <w:rPr>
          <w:rFonts w:hint="eastAsia" w:eastAsia="仿宋"/>
          <w:sz w:val="32"/>
          <w:szCs w:val="32"/>
        </w:rPr>
        <w:t>发生</w:t>
      </w:r>
      <w:r>
        <w:rPr>
          <w:rFonts w:eastAsia="仿宋"/>
          <w:sz w:val="32"/>
          <w:szCs w:val="32"/>
        </w:rPr>
        <w:t>的重大安全生产事故及其处理情况，并说明对公司当期及未来产生的具体影响。</w:t>
      </w:r>
    </w:p>
    <w:p>
      <w:pPr>
        <w:widowControl/>
        <w:snapToGrid w:val="0"/>
        <w:spacing w:line="600" w:lineRule="exact"/>
        <w:ind w:firstLine="642" w:firstLineChars="200"/>
        <w:rPr>
          <w:rFonts w:eastAsia="仿宋"/>
          <w:sz w:val="32"/>
          <w:szCs w:val="32"/>
        </w:rPr>
      </w:pPr>
      <w:r>
        <w:rPr>
          <w:rFonts w:hint="eastAsia" w:eastAsia="仿宋"/>
          <w:b/>
          <w:sz w:val="32"/>
          <w:szCs w:val="32"/>
        </w:rPr>
        <w:t>第十八条</w:t>
      </w:r>
      <w:r>
        <w:rPr>
          <w:rFonts w:hint="eastAsia" w:eastAsia="仿宋"/>
          <w:sz w:val="32"/>
          <w:szCs w:val="32"/>
        </w:rPr>
        <w:t xml:space="preserve"> 公司应</w:t>
      </w:r>
      <w:r>
        <w:rPr>
          <w:rFonts w:eastAsia="仿宋"/>
          <w:sz w:val="32"/>
          <w:szCs w:val="32"/>
        </w:rPr>
        <w:t>披露是否</w:t>
      </w:r>
      <w:r>
        <w:rPr>
          <w:rFonts w:hint="eastAsia" w:eastAsia="仿宋"/>
          <w:sz w:val="32"/>
          <w:szCs w:val="32"/>
        </w:rPr>
        <w:t>属于重</w:t>
      </w:r>
      <w:r>
        <w:rPr>
          <w:rFonts w:eastAsia="仿宋"/>
          <w:sz w:val="32"/>
          <w:szCs w:val="32"/>
        </w:rPr>
        <w:t>污染化工行业</w:t>
      </w:r>
      <w:r>
        <w:rPr>
          <w:rFonts w:hint="eastAsia" w:eastAsia="仿宋"/>
          <w:sz w:val="32"/>
          <w:szCs w:val="32"/>
        </w:rPr>
        <w:t>，生产经营中产生</w:t>
      </w:r>
      <w:r>
        <w:rPr>
          <w:rFonts w:eastAsia="仿宋"/>
          <w:sz w:val="32"/>
          <w:szCs w:val="32"/>
        </w:rPr>
        <w:t>的</w:t>
      </w:r>
      <w:r>
        <w:rPr>
          <w:rFonts w:hint="eastAsia" w:eastAsia="仿宋"/>
          <w:sz w:val="32"/>
          <w:szCs w:val="32"/>
        </w:rPr>
        <w:t>主要污染物种类及处置措施、排放量、处理设施的配置、环保投入情况</w:t>
      </w:r>
      <w:r>
        <w:rPr>
          <w:rFonts w:eastAsia="仿宋"/>
          <w:sz w:val="32"/>
          <w:szCs w:val="32"/>
        </w:rPr>
        <w:t>等</w:t>
      </w:r>
      <w:r>
        <w:rPr>
          <w:rFonts w:hint="eastAsia" w:eastAsia="仿宋"/>
          <w:sz w:val="32"/>
          <w:szCs w:val="32"/>
        </w:rPr>
        <w:t>。</w:t>
      </w:r>
    </w:p>
    <w:p>
      <w:pPr>
        <w:widowControl/>
        <w:snapToGrid w:val="0"/>
        <w:spacing w:line="600" w:lineRule="exact"/>
        <w:ind w:firstLine="640" w:firstLineChars="200"/>
        <w:rPr>
          <w:rFonts w:eastAsia="仿宋"/>
          <w:sz w:val="32"/>
          <w:szCs w:val="32"/>
        </w:rPr>
      </w:pPr>
      <w:r>
        <w:rPr>
          <w:rFonts w:hint="eastAsia" w:eastAsia="仿宋"/>
          <w:sz w:val="32"/>
          <w:szCs w:val="32"/>
        </w:rPr>
        <w:t>报告期内发生重大环境污染违规事件的，应</w:t>
      </w:r>
      <w:r>
        <w:rPr>
          <w:rFonts w:eastAsia="仿宋"/>
          <w:sz w:val="32"/>
          <w:szCs w:val="32"/>
        </w:rPr>
        <w:t>披露</w:t>
      </w:r>
      <w:r>
        <w:rPr>
          <w:rFonts w:hint="eastAsia" w:eastAsia="仿宋"/>
          <w:sz w:val="32"/>
          <w:szCs w:val="32"/>
        </w:rPr>
        <w:t>违规事件</w:t>
      </w:r>
      <w:r>
        <w:rPr>
          <w:rFonts w:eastAsia="仿宋"/>
          <w:sz w:val="32"/>
          <w:szCs w:val="32"/>
        </w:rPr>
        <w:t>的具体情形</w:t>
      </w:r>
      <w:r>
        <w:rPr>
          <w:rFonts w:hint="eastAsia" w:eastAsia="仿宋"/>
          <w:sz w:val="32"/>
          <w:szCs w:val="32"/>
        </w:rPr>
        <w:t>、</w:t>
      </w:r>
      <w:r>
        <w:rPr>
          <w:rFonts w:eastAsia="仿宋"/>
          <w:sz w:val="32"/>
          <w:szCs w:val="32"/>
        </w:rPr>
        <w:t>处理结果</w:t>
      </w:r>
      <w:r>
        <w:rPr>
          <w:rFonts w:hint="eastAsia" w:eastAsia="仿宋"/>
          <w:sz w:val="32"/>
          <w:szCs w:val="32"/>
        </w:rPr>
        <w:t>，以</w:t>
      </w:r>
      <w:r>
        <w:rPr>
          <w:rFonts w:eastAsia="仿宋"/>
          <w:sz w:val="32"/>
          <w:szCs w:val="32"/>
        </w:rPr>
        <w:t>及对公司生产经营产生的影响</w:t>
      </w:r>
      <w:r>
        <w:rPr>
          <w:rFonts w:hint="eastAsia" w:eastAsia="仿宋"/>
          <w:sz w:val="32"/>
          <w:szCs w:val="32"/>
        </w:rPr>
        <w:t>。</w:t>
      </w:r>
    </w:p>
    <w:p>
      <w:pPr>
        <w:spacing w:line="600" w:lineRule="exact"/>
        <w:ind w:firstLine="642" w:firstLineChars="200"/>
        <w:rPr>
          <w:rFonts w:ascii="仿宋_GB2312" w:eastAsia="仿宋_GB2312" w:hAnsiTheme="minorHAnsi" w:cstheme="minorBidi"/>
          <w:sz w:val="32"/>
          <w:szCs w:val="32"/>
        </w:rPr>
      </w:pPr>
      <w:r>
        <w:rPr>
          <w:rFonts w:hint="eastAsia" w:ascii="仿宋_GB2312" w:eastAsia="仿宋_GB2312"/>
          <w:b/>
          <w:sz w:val="32"/>
          <w:szCs w:val="32"/>
        </w:rPr>
        <w:t>第十九</w:t>
      </w:r>
      <w:r>
        <w:rPr>
          <w:rFonts w:ascii="仿宋_GB2312" w:eastAsia="仿宋_GB2312"/>
          <w:b/>
          <w:sz w:val="32"/>
          <w:szCs w:val="32"/>
        </w:rPr>
        <w:t>条</w:t>
      </w:r>
      <w:r>
        <w:rPr>
          <w:rFonts w:hint="eastAsia" w:ascii="仿宋_GB2312" w:eastAsia="仿宋_GB2312"/>
          <w:sz w:val="32"/>
          <w:szCs w:val="32"/>
        </w:rPr>
        <w:t xml:space="preserve"> </w:t>
      </w:r>
      <w:r>
        <w:rPr>
          <w:rFonts w:hint="eastAsia" w:ascii="仿宋_GB2312" w:eastAsia="仿宋_GB2312" w:hAnsiTheme="minorHAnsi" w:cstheme="minorBidi"/>
          <w:sz w:val="32"/>
          <w:szCs w:val="32"/>
        </w:rPr>
        <w:t>公司从事化肥生产的，应披露生产</w:t>
      </w:r>
      <w:r>
        <w:rPr>
          <w:rFonts w:ascii="仿宋_GB2312" w:eastAsia="仿宋_GB2312" w:hAnsiTheme="minorHAnsi" w:cstheme="minorBidi"/>
          <w:sz w:val="32"/>
          <w:szCs w:val="32"/>
        </w:rPr>
        <w:t>许可情况、化肥</w:t>
      </w:r>
      <w:r>
        <w:rPr>
          <w:rFonts w:hint="eastAsia" w:ascii="仿宋_GB2312" w:eastAsia="仿宋_GB2312" w:hAnsiTheme="minorHAnsi" w:cstheme="minorBidi"/>
          <w:sz w:val="32"/>
          <w:szCs w:val="32"/>
        </w:rPr>
        <w:t>产品</w:t>
      </w:r>
      <w:r>
        <w:rPr>
          <w:rFonts w:ascii="仿宋_GB2312" w:eastAsia="仿宋_GB2312" w:hAnsiTheme="minorHAnsi" w:cstheme="minorBidi"/>
          <w:sz w:val="32"/>
          <w:szCs w:val="32"/>
        </w:rPr>
        <w:t>登记情况</w:t>
      </w:r>
      <w:r>
        <w:rPr>
          <w:rFonts w:hint="eastAsia" w:ascii="仿宋_GB2312" w:eastAsia="仿宋_GB2312" w:hAnsiTheme="minorHAnsi" w:cstheme="minorBidi"/>
          <w:sz w:val="32"/>
          <w:szCs w:val="32"/>
        </w:rPr>
        <w:t>或</w:t>
      </w:r>
      <w:r>
        <w:rPr>
          <w:rFonts w:ascii="仿宋_GB2312" w:eastAsia="仿宋_GB2312" w:hAnsiTheme="minorHAnsi" w:cstheme="minorBidi"/>
          <w:sz w:val="32"/>
          <w:szCs w:val="32"/>
        </w:rPr>
        <w:t>评审进展</w:t>
      </w:r>
      <w:r>
        <w:rPr>
          <w:rFonts w:hint="eastAsia" w:ascii="仿宋_GB2312" w:eastAsia="仿宋_GB2312" w:hAnsiTheme="minorHAnsi" w:cstheme="minorBidi"/>
          <w:sz w:val="32"/>
          <w:szCs w:val="32"/>
        </w:rPr>
        <w:t>、税收优惠、化肥淡季商业储备政策、农业补贴政策，以及农业生产的季节性波动对公司生产经营的影响。</w:t>
      </w:r>
    </w:p>
    <w:p>
      <w:pPr>
        <w:spacing w:line="600" w:lineRule="exact"/>
        <w:ind w:firstLine="642" w:firstLineChars="200"/>
        <w:rPr>
          <w:rFonts w:ascii="仿宋_GB2312" w:eastAsia="仿宋_GB2312" w:hAnsiTheme="minorHAnsi" w:cstheme="minorBidi"/>
          <w:sz w:val="32"/>
          <w:szCs w:val="32"/>
        </w:rPr>
      </w:pPr>
      <w:r>
        <w:rPr>
          <w:rFonts w:hint="eastAsia" w:ascii="仿宋_GB2312" w:eastAsia="仿宋_GB2312" w:hAnsiTheme="minorHAnsi" w:cstheme="minorBidi"/>
          <w:b/>
          <w:sz w:val="32"/>
          <w:szCs w:val="32"/>
        </w:rPr>
        <w:t xml:space="preserve">第二十条 </w:t>
      </w:r>
      <w:r>
        <w:rPr>
          <w:rFonts w:hint="eastAsia" w:ascii="仿宋_GB2312" w:eastAsia="仿宋_GB2312" w:hAnsiTheme="minorHAnsi" w:cstheme="minorBidi"/>
          <w:sz w:val="32"/>
          <w:szCs w:val="32"/>
        </w:rPr>
        <w:t>公司从事农药生产的，应披露生产许可情况、农药产品登记情况、退换货政策等。</w:t>
      </w:r>
    </w:p>
    <w:p>
      <w:pPr>
        <w:widowControl/>
        <w:snapToGrid w:val="0"/>
        <w:spacing w:line="600" w:lineRule="exact"/>
        <w:ind w:firstLine="642" w:firstLineChars="200"/>
        <w:rPr>
          <w:rFonts w:eastAsia="仿宋"/>
          <w:sz w:val="32"/>
          <w:szCs w:val="32"/>
        </w:rPr>
      </w:pPr>
      <w:r>
        <w:rPr>
          <w:rFonts w:hint="eastAsia" w:eastAsia="仿宋"/>
          <w:b/>
          <w:sz w:val="32"/>
          <w:szCs w:val="32"/>
        </w:rPr>
        <w:t>第二十一条</w:t>
      </w:r>
      <w:r>
        <w:rPr>
          <w:rFonts w:hint="eastAsia" w:eastAsia="仿宋"/>
          <w:sz w:val="32"/>
          <w:szCs w:val="32"/>
        </w:rPr>
        <w:t xml:space="preserve"> 公司从事日用化学品行业的，应披露生产资质</w:t>
      </w:r>
      <w:r>
        <w:rPr>
          <w:rFonts w:eastAsia="仿宋"/>
          <w:sz w:val="32"/>
          <w:szCs w:val="32"/>
        </w:rPr>
        <w:t>及生产许可或备案的办理情况</w:t>
      </w:r>
      <w:r>
        <w:rPr>
          <w:rFonts w:hint="eastAsia" w:eastAsia="仿宋"/>
          <w:sz w:val="32"/>
          <w:szCs w:val="32"/>
        </w:rPr>
        <w:t>，品牌管理、防范假冒伪劣产品</w:t>
      </w:r>
      <w:r>
        <w:rPr>
          <w:rFonts w:eastAsia="仿宋"/>
          <w:sz w:val="32"/>
          <w:szCs w:val="32"/>
        </w:rPr>
        <w:t>等方面</w:t>
      </w:r>
      <w:r>
        <w:rPr>
          <w:rFonts w:hint="eastAsia" w:eastAsia="仿宋"/>
          <w:sz w:val="32"/>
          <w:szCs w:val="32"/>
        </w:rPr>
        <w:t>的费用支出情况，报告期内公司品牌存在被侵权情形的，应披露对公司品牌声誉的影响及</w:t>
      </w:r>
      <w:r>
        <w:rPr>
          <w:rFonts w:eastAsia="仿宋"/>
          <w:sz w:val="32"/>
          <w:szCs w:val="32"/>
        </w:rPr>
        <w:t>应对措施</w:t>
      </w:r>
      <w:r>
        <w:rPr>
          <w:rFonts w:hint="eastAsia" w:eastAsia="仿宋"/>
          <w:sz w:val="32"/>
          <w:szCs w:val="32"/>
        </w:rPr>
        <w:t>。</w:t>
      </w:r>
    </w:p>
    <w:p>
      <w:pPr>
        <w:widowControl/>
        <w:snapToGrid w:val="0"/>
        <w:spacing w:line="600" w:lineRule="exact"/>
        <w:ind w:firstLine="642" w:firstLineChars="200"/>
        <w:rPr>
          <w:rFonts w:eastAsia="仿宋"/>
          <w:sz w:val="32"/>
          <w:szCs w:val="32"/>
        </w:rPr>
      </w:pPr>
      <w:r>
        <w:rPr>
          <w:rFonts w:hint="eastAsia" w:eastAsia="仿宋"/>
          <w:b/>
          <w:sz w:val="32"/>
          <w:szCs w:val="32"/>
        </w:rPr>
        <w:t>第二十二</w:t>
      </w:r>
      <w:r>
        <w:rPr>
          <w:rFonts w:eastAsia="仿宋"/>
          <w:b/>
          <w:sz w:val="32"/>
          <w:szCs w:val="32"/>
        </w:rPr>
        <w:t>条</w:t>
      </w:r>
      <w:r>
        <w:rPr>
          <w:rFonts w:hint="eastAsia" w:eastAsia="仿宋"/>
          <w:sz w:val="32"/>
          <w:szCs w:val="32"/>
        </w:rPr>
        <w:t xml:space="preserve"> 公司</w:t>
      </w:r>
      <w:r>
        <w:rPr>
          <w:rFonts w:eastAsia="仿宋"/>
          <w:sz w:val="32"/>
          <w:szCs w:val="32"/>
        </w:rPr>
        <w:t>从事民爆行业的，应披露生产</w:t>
      </w:r>
      <w:r>
        <w:rPr>
          <w:rFonts w:hint="eastAsia" w:eastAsia="仿宋"/>
          <w:sz w:val="32"/>
          <w:szCs w:val="32"/>
        </w:rPr>
        <w:t>及</w:t>
      </w:r>
      <w:r>
        <w:rPr>
          <w:rFonts w:eastAsia="仿宋"/>
          <w:sz w:val="32"/>
          <w:szCs w:val="32"/>
        </w:rPr>
        <w:t>销售资质情况</w:t>
      </w:r>
      <w:r>
        <w:rPr>
          <w:rFonts w:hint="eastAsia" w:eastAsia="仿宋"/>
          <w:sz w:val="32"/>
          <w:szCs w:val="32"/>
        </w:rPr>
        <w:t>、</w:t>
      </w:r>
      <w:r>
        <w:rPr>
          <w:rFonts w:eastAsia="仿宋"/>
          <w:sz w:val="32"/>
          <w:szCs w:val="32"/>
        </w:rPr>
        <w:t>价格管制</w:t>
      </w:r>
      <w:r>
        <w:rPr>
          <w:rFonts w:hint="eastAsia" w:eastAsia="仿宋"/>
          <w:sz w:val="32"/>
          <w:szCs w:val="32"/>
        </w:rPr>
        <w:t>、</w:t>
      </w:r>
      <w:r>
        <w:rPr>
          <w:rFonts w:eastAsia="仿宋"/>
          <w:sz w:val="32"/>
          <w:szCs w:val="32"/>
        </w:rPr>
        <w:t>生产销售</w:t>
      </w:r>
      <w:r>
        <w:rPr>
          <w:rFonts w:hint="eastAsia" w:eastAsia="仿宋"/>
          <w:sz w:val="32"/>
          <w:szCs w:val="32"/>
        </w:rPr>
        <w:t>的</w:t>
      </w:r>
      <w:r>
        <w:rPr>
          <w:rFonts w:eastAsia="仿宋"/>
          <w:sz w:val="32"/>
          <w:szCs w:val="32"/>
        </w:rPr>
        <w:t>合法合规性。</w:t>
      </w:r>
    </w:p>
    <w:p>
      <w:pPr>
        <w:spacing w:line="600" w:lineRule="exact"/>
        <w:ind w:firstLine="642" w:firstLineChars="200"/>
        <w:rPr>
          <w:rFonts w:eastAsia="仿宋"/>
          <w:sz w:val="32"/>
          <w:szCs w:val="32"/>
        </w:rPr>
      </w:pPr>
      <w:r>
        <w:rPr>
          <w:rFonts w:hint="eastAsia" w:eastAsia="仿宋"/>
          <w:b/>
          <w:sz w:val="32"/>
          <w:szCs w:val="32"/>
        </w:rPr>
        <w:t>第二十三条</w:t>
      </w:r>
      <w:r>
        <w:rPr>
          <w:rFonts w:hint="eastAsia" w:eastAsia="仿宋"/>
          <w:sz w:val="32"/>
          <w:szCs w:val="32"/>
        </w:rPr>
        <w:t xml:space="preserve"> 公司参照《公开发行证券的公司信息披露编报规则第15号——财务报告的一般规定》披露财务报告附注时，应同时披露以下信息：</w:t>
      </w:r>
    </w:p>
    <w:p>
      <w:pPr>
        <w:spacing w:line="600" w:lineRule="exact"/>
        <w:ind w:firstLine="640" w:firstLineChars="200"/>
        <w:rPr>
          <w:rFonts w:eastAsia="仿宋"/>
          <w:sz w:val="32"/>
          <w:szCs w:val="32"/>
        </w:rPr>
      </w:pPr>
      <w:r>
        <w:rPr>
          <w:rFonts w:hint="eastAsia" w:eastAsia="仿宋"/>
          <w:sz w:val="32"/>
          <w:szCs w:val="32"/>
        </w:rPr>
        <w:t>（一）结合产品</w:t>
      </w:r>
      <w:r>
        <w:rPr>
          <w:rFonts w:eastAsia="仿宋"/>
          <w:sz w:val="32"/>
          <w:szCs w:val="32"/>
        </w:rPr>
        <w:t>类别、</w:t>
      </w:r>
      <w:r>
        <w:rPr>
          <w:rFonts w:hint="eastAsia" w:eastAsia="仿宋"/>
          <w:sz w:val="32"/>
          <w:szCs w:val="32"/>
        </w:rPr>
        <w:t>销售模式等实际</w:t>
      </w:r>
      <w:r>
        <w:rPr>
          <w:rFonts w:eastAsia="仿宋"/>
          <w:sz w:val="32"/>
          <w:szCs w:val="32"/>
        </w:rPr>
        <w:t>生产经营特点</w:t>
      </w:r>
      <w:r>
        <w:rPr>
          <w:rFonts w:hint="eastAsia" w:eastAsia="仿宋"/>
          <w:sz w:val="32"/>
          <w:szCs w:val="32"/>
        </w:rPr>
        <w:t>，细化披露收入确认的具体方法和时点；</w:t>
      </w:r>
    </w:p>
    <w:p>
      <w:pPr>
        <w:spacing w:line="600" w:lineRule="exact"/>
        <w:ind w:firstLine="640" w:firstLineChars="200"/>
        <w:rPr>
          <w:rFonts w:eastAsia="仿宋"/>
          <w:sz w:val="32"/>
          <w:szCs w:val="32"/>
        </w:rPr>
      </w:pPr>
      <w:r>
        <w:rPr>
          <w:rFonts w:hint="eastAsia" w:eastAsia="仿宋"/>
          <w:sz w:val="32"/>
          <w:szCs w:val="32"/>
        </w:rPr>
        <w:t>（二）重要</w:t>
      </w:r>
      <w:r>
        <w:rPr>
          <w:rFonts w:eastAsia="仿宋"/>
          <w:sz w:val="32"/>
          <w:szCs w:val="32"/>
        </w:rPr>
        <w:t>资产</w:t>
      </w:r>
      <w:r>
        <w:rPr>
          <w:rFonts w:hint="eastAsia" w:eastAsia="仿宋"/>
          <w:sz w:val="32"/>
          <w:szCs w:val="32"/>
        </w:rPr>
        <w:t>（固定资产</w:t>
      </w:r>
      <w:r>
        <w:rPr>
          <w:rFonts w:eastAsia="仿宋"/>
          <w:sz w:val="32"/>
          <w:szCs w:val="32"/>
        </w:rPr>
        <w:t>、无形资产、存货</w:t>
      </w:r>
      <w:r>
        <w:rPr>
          <w:rFonts w:hint="eastAsia" w:eastAsia="仿宋"/>
          <w:sz w:val="32"/>
          <w:szCs w:val="32"/>
        </w:rPr>
        <w:t>）发生减值的，应当结合自身技术水平、市场行情、产品销售等情况，分析并披露上述减值的具体情况和依据；</w:t>
      </w:r>
    </w:p>
    <w:p>
      <w:pPr>
        <w:spacing w:line="600" w:lineRule="exact"/>
        <w:ind w:firstLine="640" w:firstLineChars="200"/>
        <w:rPr>
          <w:rFonts w:eastAsia="仿宋"/>
          <w:sz w:val="32"/>
          <w:szCs w:val="32"/>
        </w:rPr>
      </w:pPr>
      <w:r>
        <w:rPr>
          <w:rFonts w:hint="eastAsia" w:eastAsia="仿宋"/>
          <w:sz w:val="32"/>
          <w:szCs w:val="32"/>
        </w:rPr>
        <w:t>（三）重大资本性支出情况，包括报告期内资本性支出计划总金额、资金来源、资金成本、利息资本化金额等；</w:t>
      </w:r>
    </w:p>
    <w:p>
      <w:pPr>
        <w:spacing w:line="600" w:lineRule="exact"/>
        <w:ind w:firstLine="640" w:firstLineChars="200"/>
        <w:rPr>
          <w:rFonts w:eastAsia="仿宋"/>
          <w:sz w:val="32"/>
          <w:szCs w:val="32"/>
        </w:rPr>
      </w:pPr>
      <w:r>
        <w:rPr>
          <w:rFonts w:hint="eastAsia" w:eastAsia="仿宋"/>
          <w:sz w:val="32"/>
          <w:szCs w:val="32"/>
        </w:rPr>
        <w:t>（四）按照规定应计提安全生产费的，应披露安全生产费的计提标准、报告期内计提和使用情况。报告期内安全生产费的计提标准发生变化的，应披露具体情况和原因。</w:t>
      </w:r>
    </w:p>
    <w:p>
      <w:pPr>
        <w:widowControl/>
        <w:snapToGrid w:val="0"/>
        <w:spacing w:line="600" w:lineRule="exact"/>
        <w:ind w:firstLine="640" w:firstLineChars="200"/>
        <w:rPr>
          <w:rFonts w:eastAsia="仿宋"/>
          <w:sz w:val="32"/>
          <w:szCs w:val="32"/>
        </w:rPr>
      </w:pPr>
    </w:p>
    <w:p>
      <w:pPr>
        <w:pStyle w:val="15"/>
        <w:widowControl/>
        <w:numPr>
          <w:ilvl w:val="0"/>
          <w:numId w:val="1"/>
        </w:numPr>
        <w:snapToGrid w:val="0"/>
        <w:spacing w:line="600" w:lineRule="exact"/>
        <w:ind w:firstLineChars="0"/>
        <w:jc w:val="center"/>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临时报告</w:t>
      </w:r>
    </w:p>
    <w:p>
      <w:pPr>
        <w:pStyle w:val="15"/>
        <w:widowControl/>
        <w:snapToGrid w:val="0"/>
        <w:spacing w:line="600" w:lineRule="exact"/>
        <w:ind w:left="1290" w:firstLine="0" w:firstLineChars="0"/>
        <w:rPr>
          <w:rFonts w:ascii="黑体" w:eastAsia="黑体" w:hAnsiTheme="minorHAnsi" w:cstheme="minorBidi"/>
          <w:b/>
          <w:color w:val="000000"/>
          <w:kern w:val="0"/>
          <w:sz w:val="32"/>
          <w:szCs w:val="32"/>
        </w:rPr>
      </w:pPr>
    </w:p>
    <w:p>
      <w:pPr>
        <w:widowControl/>
        <w:snapToGrid w:val="0"/>
        <w:spacing w:line="600" w:lineRule="exact"/>
        <w:ind w:firstLine="642" w:firstLineChars="200"/>
        <w:rPr>
          <w:rFonts w:eastAsia="仿宋"/>
          <w:sz w:val="32"/>
          <w:szCs w:val="32"/>
        </w:rPr>
      </w:pPr>
      <w:r>
        <w:rPr>
          <w:rFonts w:hint="eastAsia" w:eastAsia="仿宋"/>
          <w:b/>
          <w:sz w:val="32"/>
          <w:szCs w:val="32"/>
        </w:rPr>
        <w:t>第二十四条</w:t>
      </w:r>
      <w:r>
        <w:rPr>
          <w:rFonts w:hint="eastAsia" w:eastAsia="仿宋"/>
          <w:sz w:val="32"/>
          <w:szCs w:val="32"/>
        </w:rPr>
        <w:t xml:space="preserve"> 国内外或地区化工行业相关政策法规或其他行业影响因素发生重大变化，或发生其他行业性重大事件，对公司具有直接或重大影响的，公司应及时披露相关情况及其对公司当期和未来发展的影响。</w:t>
      </w:r>
    </w:p>
    <w:p>
      <w:pPr>
        <w:widowControl/>
        <w:snapToGrid w:val="0"/>
        <w:spacing w:line="600" w:lineRule="exact"/>
        <w:ind w:firstLine="642" w:firstLineChars="200"/>
        <w:rPr>
          <w:rFonts w:eastAsia="仿宋"/>
          <w:sz w:val="32"/>
          <w:szCs w:val="32"/>
        </w:rPr>
      </w:pPr>
      <w:r>
        <w:rPr>
          <w:rFonts w:hint="eastAsia" w:eastAsia="仿宋"/>
          <w:b/>
          <w:sz w:val="32"/>
          <w:szCs w:val="32"/>
        </w:rPr>
        <w:t>第</w:t>
      </w:r>
      <w:r>
        <w:rPr>
          <w:rFonts w:eastAsia="仿宋"/>
          <w:b/>
          <w:sz w:val="32"/>
          <w:szCs w:val="32"/>
        </w:rPr>
        <w:t>二十</w:t>
      </w:r>
      <w:r>
        <w:rPr>
          <w:rFonts w:hint="eastAsia" w:eastAsia="仿宋"/>
          <w:b/>
          <w:sz w:val="32"/>
          <w:szCs w:val="32"/>
        </w:rPr>
        <w:t>五</w:t>
      </w:r>
      <w:r>
        <w:rPr>
          <w:rFonts w:eastAsia="仿宋"/>
          <w:b/>
          <w:sz w:val="32"/>
          <w:szCs w:val="32"/>
        </w:rPr>
        <w:t>条</w:t>
      </w:r>
      <w:r>
        <w:rPr>
          <w:rFonts w:hint="eastAsia" w:eastAsia="仿宋"/>
          <w:sz w:val="32"/>
          <w:szCs w:val="32"/>
        </w:rPr>
        <w:t xml:space="preserve"> 公司新建、改建、扩建等建设项目和技术改造建设项目的，应及时披露建设项目在安全生产</w:t>
      </w:r>
      <w:r>
        <w:rPr>
          <w:rFonts w:eastAsia="仿宋"/>
          <w:sz w:val="32"/>
          <w:szCs w:val="32"/>
        </w:rPr>
        <w:t>、环境</w:t>
      </w:r>
      <w:r>
        <w:rPr>
          <w:rFonts w:hint="eastAsia" w:eastAsia="仿宋"/>
          <w:sz w:val="32"/>
          <w:szCs w:val="32"/>
        </w:rPr>
        <w:t>保护</w:t>
      </w:r>
      <w:r>
        <w:rPr>
          <w:rFonts w:eastAsia="仿宋"/>
          <w:sz w:val="32"/>
          <w:szCs w:val="32"/>
        </w:rPr>
        <w:t>、消防等方面的合规情况及相关审批或备案</w:t>
      </w:r>
      <w:r>
        <w:rPr>
          <w:rFonts w:hint="eastAsia" w:eastAsia="仿宋"/>
          <w:sz w:val="32"/>
          <w:szCs w:val="32"/>
        </w:rPr>
        <w:t>手续</w:t>
      </w:r>
      <w:r>
        <w:rPr>
          <w:rFonts w:eastAsia="仿宋"/>
          <w:sz w:val="32"/>
          <w:szCs w:val="32"/>
        </w:rPr>
        <w:t>办理情况</w:t>
      </w:r>
      <w:r>
        <w:rPr>
          <w:rFonts w:hint="eastAsia" w:eastAsia="仿宋"/>
          <w:sz w:val="32"/>
          <w:szCs w:val="32"/>
        </w:rPr>
        <w:t>。</w:t>
      </w:r>
    </w:p>
    <w:p>
      <w:pPr>
        <w:widowControl/>
        <w:snapToGrid w:val="0"/>
        <w:spacing w:line="600" w:lineRule="exact"/>
        <w:ind w:firstLine="642" w:firstLineChars="200"/>
        <w:rPr>
          <w:rFonts w:eastAsia="仿宋"/>
          <w:sz w:val="32"/>
          <w:szCs w:val="32"/>
        </w:rPr>
      </w:pPr>
      <w:r>
        <w:rPr>
          <w:rFonts w:hint="eastAsia" w:eastAsia="仿宋"/>
          <w:b/>
          <w:sz w:val="32"/>
          <w:szCs w:val="32"/>
        </w:rPr>
        <w:t>第二十六条</w:t>
      </w:r>
      <w:r>
        <w:rPr>
          <w:rFonts w:hint="eastAsia" w:eastAsia="仿宋"/>
          <w:sz w:val="32"/>
          <w:szCs w:val="32"/>
        </w:rPr>
        <w:t xml:space="preserve"> 公司发生重大环保或安全生产事故的，应及时披露相关情况，并说明对公司当期与未来发展的影响，以及公司拟采取的应对措施。</w:t>
      </w:r>
    </w:p>
    <w:p>
      <w:pPr>
        <w:widowControl/>
        <w:snapToGrid w:val="0"/>
        <w:spacing w:line="600" w:lineRule="exact"/>
        <w:ind w:firstLine="642" w:firstLineChars="200"/>
        <w:rPr>
          <w:rFonts w:eastAsia="仿宋"/>
          <w:sz w:val="32"/>
          <w:szCs w:val="32"/>
        </w:rPr>
      </w:pPr>
      <w:r>
        <w:rPr>
          <w:rFonts w:hint="eastAsia" w:eastAsia="仿宋"/>
          <w:b/>
          <w:sz w:val="32"/>
          <w:szCs w:val="32"/>
        </w:rPr>
        <w:t>第二十七</w:t>
      </w:r>
      <w:r>
        <w:rPr>
          <w:rFonts w:eastAsia="仿宋"/>
          <w:b/>
          <w:sz w:val="32"/>
          <w:szCs w:val="32"/>
        </w:rPr>
        <w:t>条</w:t>
      </w:r>
      <w:r>
        <w:rPr>
          <w:rFonts w:hint="eastAsia" w:eastAsia="仿宋"/>
          <w:sz w:val="32"/>
          <w:szCs w:val="32"/>
        </w:rPr>
        <w:t xml:space="preserve"> 公司取得或丧失重要生产资质或认证的，应及时披露相关情况，并说明对公司当期与未来发展的影响，以及公司拟采取的应对措施。</w:t>
      </w:r>
    </w:p>
    <w:p>
      <w:pPr>
        <w:widowControl/>
        <w:snapToGrid w:val="0"/>
        <w:spacing w:line="600" w:lineRule="exact"/>
        <w:ind w:firstLine="642" w:firstLineChars="200"/>
        <w:rPr>
          <w:rFonts w:eastAsia="仿宋"/>
          <w:sz w:val="32"/>
          <w:szCs w:val="32"/>
        </w:rPr>
      </w:pPr>
      <w:r>
        <w:rPr>
          <w:rFonts w:hint="eastAsia" w:eastAsia="仿宋"/>
          <w:b/>
          <w:sz w:val="32"/>
          <w:szCs w:val="32"/>
        </w:rPr>
        <w:t>第二十八条</w:t>
      </w:r>
      <w:r>
        <w:rPr>
          <w:rFonts w:hint="eastAsia" w:eastAsia="仿宋"/>
          <w:sz w:val="32"/>
          <w:szCs w:val="32"/>
        </w:rPr>
        <w:t xml:space="preserve"> 公司出现非正常停产、检修、整改、复产等情形，影响重大的，应及时披露相关情况、影响程度和应对措施。</w:t>
      </w:r>
    </w:p>
    <w:p>
      <w:pPr>
        <w:widowControl/>
        <w:snapToGrid w:val="0"/>
        <w:spacing w:line="600" w:lineRule="exact"/>
        <w:ind w:firstLine="642" w:firstLineChars="200"/>
        <w:rPr>
          <w:rFonts w:eastAsia="仿宋"/>
          <w:sz w:val="32"/>
          <w:szCs w:val="32"/>
        </w:rPr>
      </w:pPr>
      <w:r>
        <w:rPr>
          <w:rFonts w:hint="eastAsia" w:eastAsia="仿宋"/>
          <w:b/>
          <w:sz w:val="32"/>
          <w:szCs w:val="32"/>
        </w:rPr>
        <w:t>第二十九条</w:t>
      </w:r>
      <w:r>
        <w:rPr>
          <w:rFonts w:hint="eastAsia" w:eastAsia="仿宋"/>
          <w:sz w:val="32"/>
          <w:szCs w:val="32"/>
        </w:rPr>
        <w:t xml:space="preserve"> 公司主要产品价格、原材料价格、消耗能源价格等发生变动，影响重大的，应及时披露价格变动情况、影响程度和应对措施。</w:t>
      </w:r>
    </w:p>
    <w:p>
      <w:pPr>
        <w:widowControl/>
        <w:snapToGrid w:val="0"/>
        <w:spacing w:line="600" w:lineRule="exact"/>
        <w:ind w:firstLine="640" w:firstLineChars="200"/>
        <w:rPr>
          <w:rFonts w:eastAsia="仿宋"/>
          <w:sz w:val="32"/>
          <w:szCs w:val="32"/>
        </w:rPr>
      </w:pPr>
    </w:p>
    <w:p>
      <w:pPr>
        <w:widowControl/>
        <w:snapToGrid w:val="0"/>
        <w:spacing w:line="600" w:lineRule="exact"/>
        <w:ind w:firstLine="640" w:firstLineChars="200"/>
        <w:rPr>
          <w:rFonts w:eastAsia="仿宋"/>
          <w:sz w:val="32"/>
          <w:szCs w:val="32"/>
        </w:rPr>
      </w:pPr>
    </w:p>
    <w:p>
      <w:pPr>
        <w:pStyle w:val="15"/>
        <w:widowControl/>
        <w:numPr>
          <w:ilvl w:val="0"/>
          <w:numId w:val="1"/>
        </w:numPr>
        <w:snapToGrid w:val="0"/>
        <w:spacing w:line="600" w:lineRule="exact"/>
        <w:ind w:firstLineChars="0"/>
        <w:jc w:val="center"/>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附则</w:t>
      </w:r>
    </w:p>
    <w:p>
      <w:pPr>
        <w:pStyle w:val="15"/>
        <w:widowControl/>
        <w:snapToGrid w:val="0"/>
        <w:spacing w:line="600" w:lineRule="exact"/>
        <w:ind w:left="1290" w:firstLine="0" w:firstLineChars="0"/>
        <w:rPr>
          <w:rFonts w:ascii="黑体" w:eastAsia="黑体" w:hAnsiTheme="minorHAnsi" w:cstheme="minorBidi"/>
          <w:b/>
          <w:color w:val="000000"/>
          <w:kern w:val="0"/>
          <w:sz w:val="32"/>
          <w:szCs w:val="32"/>
        </w:rPr>
      </w:pPr>
    </w:p>
    <w:p>
      <w:pPr>
        <w:widowControl/>
        <w:snapToGrid w:val="0"/>
        <w:spacing w:line="600" w:lineRule="exact"/>
        <w:ind w:firstLine="642" w:firstLineChars="200"/>
        <w:rPr>
          <w:rFonts w:eastAsia="仿宋"/>
          <w:sz w:val="32"/>
          <w:szCs w:val="32"/>
        </w:rPr>
      </w:pPr>
      <w:r>
        <w:rPr>
          <w:rFonts w:hint="eastAsia" w:eastAsia="仿宋"/>
          <w:b/>
          <w:sz w:val="32"/>
          <w:szCs w:val="32"/>
        </w:rPr>
        <w:t>第三十条</w:t>
      </w:r>
      <w:r>
        <w:rPr>
          <w:rFonts w:hint="eastAsia" w:eastAsia="仿宋"/>
          <w:sz w:val="32"/>
          <w:szCs w:val="32"/>
        </w:rPr>
        <w:t xml:space="preserve"> 本指引由全国股转公司负责解释。</w:t>
      </w:r>
    </w:p>
    <w:p>
      <w:pPr>
        <w:widowControl/>
        <w:snapToGrid w:val="0"/>
        <w:spacing w:line="600" w:lineRule="exact"/>
        <w:ind w:firstLine="642" w:firstLineChars="200"/>
        <w:rPr>
          <w:rFonts w:eastAsia="仿宋"/>
          <w:sz w:val="32"/>
          <w:szCs w:val="32"/>
        </w:rPr>
      </w:pPr>
      <w:r>
        <w:rPr>
          <w:rFonts w:hint="eastAsia" w:eastAsia="仿宋"/>
          <w:b/>
          <w:sz w:val="32"/>
          <w:szCs w:val="32"/>
        </w:rPr>
        <w:t xml:space="preserve">第三十一条 </w:t>
      </w:r>
      <w:r>
        <w:rPr>
          <w:rFonts w:eastAsia="仿宋"/>
          <w:color w:val="000000"/>
          <w:sz w:val="32"/>
          <w:szCs w:val="32"/>
        </w:rPr>
        <w:t>本指引自公布之日起施行。</w:t>
      </w: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微软雅黑">
    <w:altName w:val="黑体"/>
    <w:panose1 w:val="020B0503020204020204"/>
    <w:charset w:val="86"/>
    <w:family w:val="swiss"/>
    <w:pitch w:val="default"/>
    <w:sig w:usb0="00000000" w:usb1="0000000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9353089"/>
      <w:docPartObj>
        <w:docPartGallery w:val="AutoText"/>
      </w:docPartObj>
    </w:sdtPr>
    <w:sdtContent>
      <w:sdt>
        <w:sdtPr>
          <w:id w:val="1728636285"/>
          <w:docPartObj>
            <w:docPartGallery w:val="AutoText"/>
          </w:docPartObj>
        </w:sdtPr>
        <w:sdtContent>
          <w:p>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7</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1C73A1"/>
    <w:multiLevelType w:val="multilevel"/>
    <w:tmpl w:val="581C73A1"/>
    <w:lvl w:ilvl="0" w:tentative="0">
      <w:start w:val="1"/>
      <w:numFmt w:val="japaneseCounting"/>
      <w:lvlText w:val="第%1章"/>
      <w:lvlJc w:val="left"/>
      <w:pPr>
        <w:ind w:left="1290" w:hanging="12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1F"/>
    <w:rsid w:val="00000DE7"/>
    <w:rsid w:val="00024AF5"/>
    <w:rsid w:val="00025AE5"/>
    <w:rsid w:val="000428A3"/>
    <w:rsid w:val="00055962"/>
    <w:rsid w:val="00092170"/>
    <w:rsid w:val="000926F2"/>
    <w:rsid w:val="000C44B9"/>
    <w:rsid w:val="000C5187"/>
    <w:rsid w:val="000D2E77"/>
    <w:rsid w:val="000D7A57"/>
    <w:rsid w:val="00105181"/>
    <w:rsid w:val="00111040"/>
    <w:rsid w:val="0013587A"/>
    <w:rsid w:val="0014765A"/>
    <w:rsid w:val="001A42E2"/>
    <w:rsid w:val="001E7560"/>
    <w:rsid w:val="002472B0"/>
    <w:rsid w:val="002D42FD"/>
    <w:rsid w:val="002E53B3"/>
    <w:rsid w:val="002E6CDE"/>
    <w:rsid w:val="002F0746"/>
    <w:rsid w:val="002F732C"/>
    <w:rsid w:val="00317008"/>
    <w:rsid w:val="00343984"/>
    <w:rsid w:val="00352A3C"/>
    <w:rsid w:val="0038024C"/>
    <w:rsid w:val="003A4BF9"/>
    <w:rsid w:val="003A51B5"/>
    <w:rsid w:val="003A7A5B"/>
    <w:rsid w:val="003B2340"/>
    <w:rsid w:val="003B4FD7"/>
    <w:rsid w:val="003C0FF3"/>
    <w:rsid w:val="003C38C6"/>
    <w:rsid w:val="003D18EB"/>
    <w:rsid w:val="003F40C6"/>
    <w:rsid w:val="0040129E"/>
    <w:rsid w:val="00414C08"/>
    <w:rsid w:val="0041541F"/>
    <w:rsid w:val="004275AE"/>
    <w:rsid w:val="00437DF4"/>
    <w:rsid w:val="004416FC"/>
    <w:rsid w:val="00466CCF"/>
    <w:rsid w:val="004873C2"/>
    <w:rsid w:val="004B6FF3"/>
    <w:rsid w:val="004E3C6E"/>
    <w:rsid w:val="005108DE"/>
    <w:rsid w:val="005327B8"/>
    <w:rsid w:val="00535942"/>
    <w:rsid w:val="00553B3C"/>
    <w:rsid w:val="00555786"/>
    <w:rsid w:val="00584A7F"/>
    <w:rsid w:val="005C7C4B"/>
    <w:rsid w:val="0063192F"/>
    <w:rsid w:val="00666D3A"/>
    <w:rsid w:val="0066776D"/>
    <w:rsid w:val="006729A5"/>
    <w:rsid w:val="00674EC0"/>
    <w:rsid w:val="006A5CFA"/>
    <w:rsid w:val="006C3954"/>
    <w:rsid w:val="006E507F"/>
    <w:rsid w:val="006F0544"/>
    <w:rsid w:val="00715A85"/>
    <w:rsid w:val="00716851"/>
    <w:rsid w:val="00733354"/>
    <w:rsid w:val="0075600C"/>
    <w:rsid w:val="0079568A"/>
    <w:rsid w:val="007A06E2"/>
    <w:rsid w:val="007B0706"/>
    <w:rsid w:val="007B3E90"/>
    <w:rsid w:val="007C6DB1"/>
    <w:rsid w:val="007D41F1"/>
    <w:rsid w:val="007F085E"/>
    <w:rsid w:val="007F5901"/>
    <w:rsid w:val="00844EAE"/>
    <w:rsid w:val="00850A16"/>
    <w:rsid w:val="00852E39"/>
    <w:rsid w:val="00857877"/>
    <w:rsid w:val="00863174"/>
    <w:rsid w:val="0086668A"/>
    <w:rsid w:val="008B3D0B"/>
    <w:rsid w:val="008F616A"/>
    <w:rsid w:val="00933070"/>
    <w:rsid w:val="009513D8"/>
    <w:rsid w:val="0097508A"/>
    <w:rsid w:val="00980292"/>
    <w:rsid w:val="0098351F"/>
    <w:rsid w:val="009C3A22"/>
    <w:rsid w:val="009D7959"/>
    <w:rsid w:val="009E27EC"/>
    <w:rsid w:val="009E40DD"/>
    <w:rsid w:val="009F105A"/>
    <w:rsid w:val="00A21001"/>
    <w:rsid w:val="00A22A50"/>
    <w:rsid w:val="00A23C82"/>
    <w:rsid w:val="00A66EE6"/>
    <w:rsid w:val="00A76216"/>
    <w:rsid w:val="00A90C21"/>
    <w:rsid w:val="00A95ADA"/>
    <w:rsid w:val="00AA5ADC"/>
    <w:rsid w:val="00AD2401"/>
    <w:rsid w:val="00AE1BA3"/>
    <w:rsid w:val="00AF1678"/>
    <w:rsid w:val="00B13F09"/>
    <w:rsid w:val="00B30D1D"/>
    <w:rsid w:val="00B56EA1"/>
    <w:rsid w:val="00B73BC0"/>
    <w:rsid w:val="00B800A0"/>
    <w:rsid w:val="00B9102F"/>
    <w:rsid w:val="00BF0436"/>
    <w:rsid w:val="00BF5987"/>
    <w:rsid w:val="00C324AC"/>
    <w:rsid w:val="00C45C14"/>
    <w:rsid w:val="00C71968"/>
    <w:rsid w:val="00C7423A"/>
    <w:rsid w:val="00C9235F"/>
    <w:rsid w:val="00C92C14"/>
    <w:rsid w:val="00CA2C99"/>
    <w:rsid w:val="00CB2772"/>
    <w:rsid w:val="00CE43F0"/>
    <w:rsid w:val="00CF051D"/>
    <w:rsid w:val="00D01B2C"/>
    <w:rsid w:val="00D45A39"/>
    <w:rsid w:val="00D606D8"/>
    <w:rsid w:val="00D65CF0"/>
    <w:rsid w:val="00D910AE"/>
    <w:rsid w:val="00DA4218"/>
    <w:rsid w:val="00DA55ED"/>
    <w:rsid w:val="00DF13A9"/>
    <w:rsid w:val="00E036D8"/>
    <w:rsid w:val="00E40794"/>
    <w:rsid w:val="00E625A3"/>
    <w:rsid w:val="00E66260"/>
    <w:rsid w:val="00E7062A"/>
    <w:rsid w:val="00E73579"/>
    <w:rsid w:val="00E8498C"/>
    <w:rsid w:val="00E90579"/>
    <w:rsid w:val="00EA32B0"/>
    <w:rsid w:val="00EB1963"/>
    <w:rsid w:val="00EB7E35"/>
    <w:rsid w:val="00F0144A"/>
    <w:rsid w:val="00F1380E"/>
    <w:rsid w:val="00F33BA3"/>
    <w:rsid w:val="00F34C8D"/>
    <w:rsid w:val="00F466F3"/>
    <w:rsid w:val="00F51843"/>
    <w:rsid w:val="00F52086"/>
    <w:rsid w:val="00F63273"/>
    <w:rsid w:val="00F81D3F"/>
    <w:rsid w:val="00F83097"/>
    <w:rsid w:val="00FA14C7"/>
    <w:rsid w:val="00FB2A3A"/>
    <w:rsid w:val="00FD3903"/>
    <w:rsid w:val="00FD5CA5"/>
    <w:rsid w:val="00FE7579"/>
    <w:rsid w:val="00FF7B80"/>
    <w:rsid w:val="BF7E7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character" w:customStyle="1" w:styleId="12">
    <w:name w:val="批注框文本 Char"/>
    <w:basedOn w:val="8"/>
    <w:link w:val="3"/>
    <w:semiHidden/>
    <w:qFormat/>
    <w:uiPriority w:val="99"/>
    <w:rPr>
      <w:rFonts w:ascii="Times New Roman" w:hAnsi="Times New Roman" w:eastAsia="宋体" w:cs="Times New Roman"/>
      <w:sz w:val="18"/>
      <w:szCs w:val="18"/>
    </w:rPr>
  </w:style>
  <w:style w:type="character" w:customStyle="1" w:styleId="13">
    <w:name w:val="批注文字 Char"/>
    <w:basedOn w:val="8"/>
    <w:link w:val="2"/>
    <w:semiHidden/>
    <w:qFormat/>
    <w:uiPriority w:val="99"/>
    <w:rPr>
      <w:rFonts w:ascii="Times New Roman" w:hAnsi="Times New Roman" w:eastAsia="宋体" w:cs="Times New Roman"/>
      <w:szCs w:val="24"/>
    </w:rPr>
  </w:style>
  <w:style w:type="character" w:customStyle="1" w:styleId="14">
    <w:name w:val="批注主题 Char"/>
    <w:basedOn w:val="13"/>
    <w:link w:val="6"/>
    <w:semiHidden/>
    <w:qFormat/>
    <w:uiPriority w:val="99"/>
    <w:rPr>
      <w:rFonts w:ascii="Times New Roman" w:hAnsi="Times New Roman" w:eastAsia="宋体" w:cs="Times New Roman"/>
      <w:b/>
      <w:bCs/>
      <w:szCs w:val="24"/>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3435</Words>
  <Characters>3436</Characters>
  <Lines>25</Lines>
  <Paragraphs>7</Paragraphs>
  <TotalTime>40</TotalTime>
  <ScaleCrop>false</ScaleCrop>
  <LinksUpToDate>false</LinksUpToDate>
  <CharactersWithSpaces>3472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2019-09-25T15:24:00Z</dcterms:created>
  <dc:creator>neeq</dc:creator>
  <cp:lastModifiedBy>shejx</cp:lastModifiedBy>
  <cp:lastPrinted>2019-09-25T14:23:00Z</cp:lastPrinted>
  <dcterms:modified xsi:type="dcterms:W3CDTF">2024-09-25T18:02:02Z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