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eastAsia="仿宋"/>
          <w:b/>
          <w:sz w:val="32"/>
          <w:szCs w:val="32"/>
        </w:rPr>
      </w:pPr>
      <w:bookmarkStart w:id="0" w:name="_GoBack"/>
      <w:bookmarkEnd w:id="0"/>
    </w:p>
    <w:p>
      <w:pPr>
        <w:widowControl w:val="0"/>
        <w:spacing w:line="560" w:lineRule="exact"/>
        <w:jc w:val="center"/>
        <w:outlineLvl w:val="0"/>
        <w:rPr>
          <w:rFonts w:eastAsia="方正大标宋简体"/>
          <w:kern w:val="2"/>
          <w:sz w:val="44"/>
          <w:szCs w:val="44"/>
        </w:rPr>
      </w:pPr>
      <w:r>
        <w:rPr>
          <w:rFonts w:eastAsia="方正大标宋简体"/>
          <w:kern w:val="2"/>
          <w:sz w:val="44"/>
          <w:szCs w:val="44"/>
        </w:rPr>
        <w:t>全国中小企业股份转让系统挂牌公司</w:t>
      </w:r>
    </w:p>
    <w:p>
      <w:pPr>
        <w:widowControl w:val="0"/>
        <w:spacing w:line="560" w:lineRule="exact"/>
        <w:jc w:val="center"/>
        <w:outlineLvl w:val="0"/>
        <w:rPr>
          <w:rFonts w:eastAsia="方正大标宋简体"/>
          <w:kern w:val="2"/>
          <w:sz w:val="44"/>
          <w:szCs w:val="44"/>
        </w:rPr>
      </w:pPr>
      <w:r>
        <w:rPr>
          <w:rFonts w:eastAsia="方正大标宋简体"/>
          <w:kern w:val="2"/>
          <w:sz w:val="44"/>
          <w:szCs w:val="44"/>
        </w:rPr>
        <w:t>信息披露指引</w:t>
      </w:r>
      <w:r>
        <w:rPr>
          <w:rFonts w:eastAsia="方正大标宋简体"/>
          <w:color w:val="000000"/>
          <w:sz w:val="44"/>
          <w:szCs w:val="42"/>
        </w:rPr>
        <w:t>——</w:t>
      </w:r>
      <w:r>
        <w:rPr>
          <w:rFonts w:eastAsia="方正大标宋简体"/>
          <w:kern w:val="2"/>
          <w:sz w:val="44"/>
          <w:szCs w:val="44"/>
        </w:rPr>
        <w:t>零售公司</w:t>
      </w:r>
    </w:p>
    <w:p>
      <w:pPr>
        <w:jc w:val="both"/>
        <w:rPr>
          <w:sz w:val="40"/>
        </w:rPr>
      </w:pPr>
    </w:p>
    <w:p>
      <w:pPr>
        <w:pStyle w:val="10"/>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总则</w:t>
      </w:r>
    </w:p>
    <w:p>
      <w:pPr>
        <w:spacing w:line="600" w:lineRule="exact"/>
        <w:ind w:left="360" w:right="204" w:firstLine="600"/>
        <w:jc w:val="both"/>
        <w:rPr>
          <w:rFonts w:eastAsia="宋体"/>
          <w:sz w:val="24"/>
          <w:szCs w:val="24"/>
        </w:rPr>
      </w:pP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第一条 </w:t>
      </w:r>
      <w:r>
        <w:rPr>
          <w:rFonts w:ascii="Times New Roman" w:hAnsi="Times New Roman" w:eastAsia="仿宋" w:cs="Times New Roman"/>
          <w:sz w:val="32"/>
          <w:szCs w:val="32"/>
        </w:rPr>
        <w:t>为满足差异化信息披露要求，规范零售业挂牌公司的持续信息披露行为，提高信息披露针对性和有效性，保障投资者的合法权益，根据《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则》等业务规则，制定本指引。</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第二条 </w:t>
      </w:r>
      <w:r>
        <w:rPr>
          <w:rFonts w:ascii="Times New Roman" w:hAnsi="Times New Roman" w:eastAsia="仿宋" w:cs="Times New Roman"/>
          <w:sz w:val="32"/>
          <w:szCs w:val="32"/>
        </w:rPr>
        <w:t>零售业挂牌公司（以下简称“公司”）在年度报告和临时报告中披露行业经营性信息，适用本指引的规定。</w:t>
      </w:r>
    </w:p>
    <w:p>
      <w:pPr>
        <w:pStyle w:val="10"/>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本指引所称零售业挂牌公司是指根据全国中小企业股份转让系统有限责任公司（以下简称“全国股转公司”）制定并发布的《挂牌公司管理型行业分类指引》中属于零售业的公司。</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第三条 </w:t>
      </w:r>
      <w:r>
        <w:rPr>
          <w:rFonts w:ascii="Times New Roman" w:hAnsi="Times New Roman" w:eastAsia="仿宋" w:cs="Times New Roman"/>
          <w:sz w:val="32"/>
          <w:szCs w:val="32"/>
        </w:rPr>
        <w:t>公司在适用本指引时，还应当同时遵循法律法规、中国证券监督管理委员会关于信息披露的相关规定、《全国中小企业股份转让系统业务规则（试行）》、《全国中小企业股份转让系统挂牌公司信息披露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则》及全国股转公司关于信息披露的其他规定。</w:t>
      </w:r>
    </w:p>
    <w:p>
      <w:pPr>
        <w:pStyle w:val="10"/>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公司确属客观原因难以按照本指引要求披露相关信息的，可以不予披露，但应当在年度报告或临时报告中解释未按要求进行披露的原因，并予以特别提示。</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第四条 </w:t>
      </w:r>
      <w:r>
        <w:rPr>
          <w:rFonts w:ascii="Times New Roman" w:hAnsi="Times New Roman" w:eastAsia="仿宋" w:cs="Times New Roman"/>
          <w:sz w:val="32"/>
          <w:szCs w:val="32"/>
        </w:rPr>
        <w:t>公司披露行业经营性信息时，应对行业专业术语、专业背景、行业知识等进行必要的介绍和解释说明，便于投资者理解公司实际经营状况和风险信息。</w:t>
      </w:r>
    </w:p>
    <w:p>
      <w:pPr>
        <w:pStyle w:val="10"/>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公司在披露行业经营性信息时引用相关数据、资料的，应当保证引用内容充分可靠、客观权威，并注明其来源。</w:t>
      </w:r>
    </w:p>
    <w:p>
      <w:pPr>
        <w:snapToGrid w:val="0"/>
        <w:spacing w:line="600" w:lineRule="exact"/>
        <w:jc w:val="both"/>
        <w:rPr>
          <w:rFonts w:eastAsia="黑体"/>
          <w:b/>
          <w:color w:val="000000"/>
          <w:sz w:val="32"/>
          <w:szCs w:val="32"/>
        </w:rPr>
      </w:pPr>
    </w:p>
    <w:p>
      <w:pPr>
        <w:pStyle w:val="10"/>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年度报告</w:t>
      </w:r>
    </w:p>
    <w:p>
      <w:pPr>
        <w:spacing w:line="600" w:lineRule="exact"/>
        <w:ind w:left="360" w:right="204" w:firstLine="600"/>
        <w:jc w:val="both"/>
        <w:rPr>
          <w:rFonts w:eastAsia="宋体"/>
          <w:sz w:val="24"/>
          <w:szCs w:val="24"/>
        </w:rPr>
      </w:pP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第五条 </w:t>
      </w:r>
      <w:r>
        <w:rPr>
          <w:rFonts w:ascii="Times New Roman" w:hAnsi="Times New Roman" w:eastAsia="仿宋" w:cs="Times New Roman"/>
          <w:sz w:val="32"/>
          <w:szCs w:val="32"/>
        </w:rPr>
        <w:t>公司根据全国股转公司年度报告内容与格式指引要求披露年度报告时，应当同时按照本章要求履行信息披露义务。</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第六条 </w:t>
      </w:r>
      <w:r>
        <w:rPr>
          <w:rFonts w:ascii="Times New Roman" w:hAnsi="Times New Roman" w:eastAsia="仿宋" w:cs="Times New Roman"/>
          <w:sz w:val="32"/>
          <w:szCs w:val="32"/>
        </w:rPr>
        <w:t>公司应针对行业和自身特点，遵循相关性和重要性原则，充分披露影响其业务经营活动的行业重大风险因素及变动情况，如国际贸易摩擦风险、消费领域政策调整风险、购物方式变化风险、跨区域经营风险、门店选址风险、经营场所租赁期满无法续租风险、新开门店短期无法盈利风险、货源中断风险、存货积压风险、商品质量和安全风险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第七条 </w:t>
      </w:r>
      <w:r>
        <w:rPr>
          <w:rFonts w:ascii="Times New Roman" w:hAnsi="Times New Roman" w:eastAsia="仿宋" w:cs="Times New Roman"/>
          <w:sz w:val="32"/>
          <w:szCs w:val="32"/>
        </w:rPr>
        <w:t>公司应当披露报告期内重大风险因素及行业变化对公司当期和未来发展的具体或潜在影响，以及公司已经或计划采取的应对措施。</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第八条 </w:t>
      </w:r>
      <w:r>
        <w:rPr>
          <w:rFonts w:ascii="Times New Roman" w:hAnsi="Times New Roman" w:eastAsia="仿宋" w:cs="Times New Roman"/>
          <w:kern w:val="0"/>
          <w:sz w:val="32"/>
          <w:szCs w:val="32"/>
        </w:rPr>
        <w:t>公司应披露所属细分行业的国内外发展状况和市场竞争格局，以及公司的市场地位、竞争优劣势、业务前景和发展规划。</w:t>
      </w:r>
    </w:p>
    <w:p>
      <w:pPr>
        <w:pStyle w:val="10"/>
        <w:widowControl/>
        <w:shd w:val="clear" w:color="auto" w:fill="FFFFFF"/>
        <w:spacing w:line="600" w:lineRule="exact"/>
        <w:ind w:firstLine="640"/>
        <w:outlineLvl w:val="2"/>
        <w:rPr>
          <w:rFonts w:ascii="Times New Roman" w:hAnsi="Times New Roman" w:eastAsia="仿宋" w:cs="Times New Roman"/>
          <w:sz w:val="32"/>
          <w:szCs w:val="32"/>
        </w:rPr>
      </w:pPr>
      <w:r>
        <w:rPr>
          <w:rFonts w:ascii="Times New Roman" w:hAnsi="Times New Roman" w:eastAsia="仿宋" w:cs="Times New Roman"/>
          <w:sz w:val="32"/>
          <w:szCs w:val="32"/>
        </w:rPr>
        <w:t>公司可以披露报告期内宏观经济形势、国家及地方金融税收政策、居民消费价格指数（CPI）、全国或地区社会消费品零售总额、新兴经营模式等对公司业务的具体影响，以及公司已经或计划进行的业务调整（如有）。</w:t>
      </w:r>
    </w:p>
    <w:p>
      <w:pPr>
        <w:pStyle w:val="10"/>
        <w:widowControl/>
        <w:shd w:val="clear" w:color="auto" w:fill="FFFFFF"/>
        <w:spacing w:line="600" w:lineRule="exact"/>
        <w:ind w:firstLine="640"/>
        <w:outlineLvl w:val="2"/>
        <w:rPr>
          <w:rFonts w:ascii="Times New Roman" w:hAnsi="Times New Roman" w:eastAsia="仿宋" w:cs="Times New Roman"/>
          <w:sz w:val="32"/>
          <w:szCs w:val="32"/>
        </w:rPr>
      </w:pPr>
      <w:r>
        <w:rPr>
          <w:rFonts w:ascii="Times New Roman" w:hAnsi="Times New Roman" w:eastAsia="仿宋" w:cs="Times New Roman"/>
          <w:sz w:val="32"/>
          <w:szCs w:val="32"/>
        </w:rPr>
        <w:t>公司可以披露为打通线上线下、优化消费场景、升级客户体验、提高销售业绩等研发或采用的新技术、新模式、新方法。</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第九条 </w:t>
      </w:r>
      <w:r>
        <w:rPr>
          <w:rFonts w:ascii="Times New Roman" w:hAnsi="Times New Roman" w:eastAsia="仿宋" w:cs="Times New Roman"/>
          <w:sz w:val="32"/>
          <w:szCs w:val="32"/>
        </w:rPr>
        <w:t>公司应当按照下述要求披露报告期门店的相关信息：</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一）门店经营情况。公司应披露报告期末门店的总数量、经营业态及各业态门店数量、地域分布、管理模式（直营、加盟或其他模式）。公司应披露收入前十名直营门店的名称、开业时间、所在地域、经营面积、物业权属（自有物业、租赁物业或其他权属状态）、租赁物业的租赁期限。</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二）门店变动情况。公司应披露报告期内门店的变动情况，包括按地区、经营业态披露新增和减少门店的数量、经营面积、对公司业绩的影响。新增门店对公司业绩有重大影响的，应披露新增门店的名称、所在地域、取得方式、开业时间、管理模式（直营、加盟或其他模式）、物业权属（自有物业、租赁物业或其他权属状态）、经营面积等；减少门店对公司业绩有重大影响的，应披露减少门店的名称、所在地域、减少原因、停业时间、经营面积等。对于下一年度租赁期限届满的门店，应披露续租或退租安排。公司可以同时披露下一年度开关店计划。</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（三）门店店效情况。公司应按经营业态及所在地区披露直营门店的店效信息，包括平均销售增长率、日均平效（日均销售额/门店经营面积）等。公司可以披露加盟门店的店效信息。</w:t>
      </w:r>
    </w:p>
    <w:p>
      <w:pPr>
        <w:pStyle w:val="10"/>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第十条 </w:t>
      </w:r>
      <w:r>
        <w:rPr>
          <w:rFonts w:ascii="Times New Roman" w:hAnsi="Times New Roman" w:eastAsia="仿宋" w:cs="Times New Roman"/>
          <w:sz w:val="32"/>
          <w:szCs w:val="32"/>
        </w:rPr>
        <w:t>公司应披露报告期内主要经营模式、各经营模式的营业收入及同比变动情况。采用自营方式经营的，应披露自营商品主要品类及自营销售经营面积；采用联营方式经营的，应披露主要入驻商户品牌、结算方式及销售结算账期；采用场地租赁方式经营的，应披露租赁商户的主要业务、租赁合同签订周期以及物业和商户管理方式。</w:t>
      </w:r>
    </w:p>
    <w:p>
      <w:pPr>
        <w:pStyle w:val="10"/>
        <w:shd w:val="clear" w:color="auto" w:fill="FFFFFF"/>
        <w:spacing w:line="600" w:lineRule="exact"/>
        <w:ind w:firstLine="640"/>
        <w:outlineLvl w:val="2"/>
        <w:rPr>
          <w:rFonts w:ascii="Times New Roman" w:hAnsi="Times New Roman" w:eastAsia="仿宋" w:cs="Times New Roman"/>
          <w:sz w:val="32"/>
          <w:szCs w:val="32"/>
        </w:rPr>
      </w:pPr>
      <w:r>
        <w:rPr>
          <w:rFonts w:ascii="Times New Roman" w:hAnsi="Times New Roman" w:eastAsia="仿宋" w:cs="Times New Roman"/>
          <w:sz w:val="32"/>
          <w:szCs w:val="32"/>
        </w:rPr>
        <w:t>公司在百货商场、购物中心、超市等设置店铺的，应披露与上述主体之间的合作方式、结算方式及周期（如有）、各期租金及管理费情况（如有）。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第十一条 </w:t>
      </w:r>
      <w:r>
        <w:rPr>
          <w:rFonts w:ascii="Times New Roman" w:hAnsi="Times New Roman" w:eastAsia="仿宋" w:cs="Times New Roman"/>
          <w:sz w:val="32"/>
          <w:szCs w:val="32"/>
        </w:rPr>
        <w:t xml:space="preserve">公司采用加盟模式经营的，应披露报告期末加盟商的数量、加盟费收入、加盟费收入占营业收入的比重及同比变动情况等。 </w:t>
      </w:r>
    </w:p>
    <w:p>
      <w:pPr>
        <w:pStyle w:val="10"/>
        <w:widowControl/>
        <w:shd w:val="clear" w:color="auto" w:fill="FFFFFF"/>
        <w:spacing w:line="600" w:lineRule="exact"/>
        <w:ind w:firstLine="640"/>
        <w:outlineLvl w:val="2"/>
        <w:rPr>
          <w:rFonts w:ascii="Times New Roman" w:hAnsi="Times New Roman" w:eastAsia="仿宋" w:cs="Times New Roman"/>
          <w:sz w:val="32"/>
          <w:szCs w:val="32"/>
        </w:rPr>
      </w:pPr>
      <w:r>
        <w:rPr>
          <w:rFonts w:ascii="Times New Roman" w:hAnsi="Times New Roman" w:eastAsia="仿宋" w:cs="Times New Roman"/>
          <w:sz w:val="32"/>
          <w:szCs w:val="32"/>
        </w:rPr>
        <w:t>公司对加盟商的管理方式，包括品牌加盟策略、商品质量控制、对加盟商的培训等发生变动的，应披露相关变动情况。</w:t>
      </w:r>
    </w:p>
    <w:p>
      <w:pPr>
        <w:pStyle w:val="10"/>
        <w:widowControl/>
        <w:shd w:val="clear" w:color="auto" w:fill="FFFFFF"/>
        <w:spacing w:line="600" w:lineRule="exact"/>
        <w:ind w:firstLine="643"/>
        <w:outlineLvl w:val="2"/>
        <w:rPr>
          <w:rFonts w:ascii="Times New Roman" w:hAnsi="Times New Roman" w:eastAsia="仿宋" w:cs="Times New Roman"/>
          <w:sz w:val="32"/>
          <w:szCs w:val="28"/>
        </w:rPr>
      </w:pPr>
      <w:r>
        <w:rPr>
          <w:rFonts w:ascii="Times New Roman" w:hAnsi="Times New Roman" w:eastAsia="仿宋" w:cs="Times New Roman"/>
          <w:b/>
          <w:sz w:val="32"/>
          <w:szCs w:val="32"/>
        </w:rPr>
        <w:t xml:space="preserve">第十二条 </w:t>
      </w:r>
      <w:r>
        <w:rPr>
          <w:rFonts w:ascii="Times New Roman" w:hAnsi="Times New Roman" w:eastAsia="仿宋" w:cs="Times New Roman"/>
          <w:sz w:val="32"/>
          <w:szCs w:val="28"/>
        </w:rPr>
        <w:t>公司从事线上销售，且线上</w:t>
      </w:r>
      <w:r>
        <w:rPr>
          <w:rFonts w:ascii="Times New Roman" w:hAnsi="Times New Roman" w:eastAsia="仿宋" w:cs="Times New Roman"/>
          <w:sz w:val="32"/>
          <w:szCs w:val="32"/>
        </w:rPr>
        <w:t>销售额</w:t>
      </w:r>
      <w:r>
        <w:rPr>
          <w:rFonts w:ascii="Times New Roman" w:hAnsi="Times New Roman" w:eastAsia="仿宋" w:cs="Times New Roman"/>
          <w:sz w:val="32"/>
          <w:szCs w:val="28"/>
        </w:rPr>
        <w:t>占公司总销售额5%以上的，应按下述要求披露报告期内线上销售情况：</w:t>
      </w:r>
    </w:p>
    <w:p>
      <w:pPr>
        <w:shd w:val="clear" w:color="auto" w:fill="FFFFFF"/>
        <w:spacing w:line="600" w:lineRule="exact"/>
        <w:ind w:firstLine="640" w:firstLineChars="200"/>
        <w:jc w:val="both"/>
        <w:rPr>
          <w:rFonts w:eastAsia="仿宋"/>
          <w:sz w:val="32"/>
          <w:szCs w:val="32"/>
        </w:rPr>
      </w:pPr>
      <w:r>
        <w:rPr>
          <w:rFonts w:eastAsia="仿宋"/>
          <w:sz w:val="32"/>
          <w:szCs w:val="32"/>
        </w:rPr>
        <w:t>（一）公司通过自建平台销售商品的，应披露报告期内交易额（GMV）及计算标准、营业收入、日均访问量、入驻商户数量、注册用户数量及注册用户人均消费金额。</w:t>
      </w:r>
    </w:p>
    <w:p>
      <w:pPr>
        <w:shd w:val="clear" w:color="auto" w:fill="FFFFFF"/>
        <w:spacing w:line="600" w:lineRule="exact"/>
        <w:ind w:firstLine="640" w:firstLineChars="200"/>
        <w:jc w:val="both"/>
        <w:rPr>
          <w:rFonts w:eastAsia="仿宋"/>
          <w:sz w:val="32"/>
          <w:szCs w:val="32"/>
        </w:rPr>
      </w:pPr>
      <w:r>
        <w:rPr>
          <w:rFonts w:eastAsia="仿宋"/>
          <w:sz w:val="32"/>
          <w:szCs w:val="32"/>
        </w:rPr>
        <w:t>公司可以披露报告期内的获客方式及成本、客单价、复购率、日均活跃数量及转化率、订单履约成本、PC端及移动端订单占比等。</w:t>
      </w:r>
    </w:p>
    <w:p>
      <w:pPr>
        <w:pStyle w:val="10"/>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（二）公司通过第三方电子商务平台面向终端消费者销售的，应披露与各平台的合作模式和期限，以及在主要合作平台上的营业收入。</w:t>
      </w:r>
    </w:p>
    <w:p>
      <w:pPr>
        <w:pStyle w:val="10"/>
        <w:widowControl/>
        <w:shd w:val="clear" w:color="auto" w:fill="FFFFFF"/>
        <w:spacing w:line="600" w:lineRule="exact"/>
        <w:ind w:firstLine="643"/>
        <w:outlineLvl w:val="2"/>
        <w:rPr>
          <w:rFonts w:ascii="Times New Roman" w:hAnsi="Times New Roman" w:eastAsia="仿宋" w:cs="Times New Roman"/>
          <w:b/>
          <w:sz w:val="32"/>
          <w:szCs w:val="32"/>
        </w:rPr>
      </w:pPr>
      <w:r>
        <w:rPr>
          <w:rFonts w:ascii="Times New Roman" w:hAnsi="Times New Roman" w:eastAsia="仿宋" w:cs="Times New Roman"/>
          <w:b/>
          <w:sz w:val="32"/>
          <w:szCs w:val="32"/>
        </w:rPr>
        <w:t xml:space="preserve">第十三条 </w:t>
      </w:r>
      <w:r>
        <w:rPr>
          <w:rFonts w:ascii="Times New Roman" w:hAnsi="Times New Roman" w:eastAsia="仿宋" w:cs="Times New Roman"/>
          <w:sz w:val="32"/>
          <w:szCs w:val="32"/>
        </w:rPr>
        <w:t>公司自有品牌商品销售占总销售额5%以上的，应披露报告期内自有品牌商品的品类、营业收入及占比、同比变动情况等。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第十四条 </w:t>
      </w:r>
      <w:r>
        <w:rPr>
          <w:rFonts w:ascii="Times New Roman" w:hAnsi="Times New Roman" w:eastAsia="仿宋" w:cs="Times New Roman"/>
          <w:sz w:val="32"/>
          <w:szCs w:val="32"/>
        </w:rPr>
        <w:t>公司应当披露报告期内采购、仓储及物流情况：</w:t>
      </w:r>
    </w:p>
    <w:p>
      <w:pPr>
        <w:shd w:val="clear" w:color="auto" w:fill="FFFFFF"/>
        <w:spacing w:line="600" w:lineRule="exact"/>
        <w:ind w:firstLine="640" w:firstLineChars="200"/>
        <w:jc w:val="both"/>
        <w:rPr>
          <w:rFonts w:eastAsia="仿宋"/>
          <w:b/>
          <w:sz w:val="32"/>
          <w:szCs w:val="32"/>
        </w:rPr>
      </w:pPr>
      <w:r>
        <w:rPr>
          <w:rFonts w:eastAsia="仿宋"/>
          <w:sz w:val="32"/>
          <w:szCs w:val="32"/>
        </w:rPr>
        <w:t>（一）采购与存货情况。公司存在商品采购的，应披露主要采购渠道、存货管理政策、对滞销和过期商品的处理政策等的变动及执行情况。报告期内主要供应商发生重大变更的，应说明变动原因，分析对公司持续经营能力的影响并说明应对措施。</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二）仓储与物流情况。公司应当披露报告期内仓储物流情况，包括租赁及自有仓库面积、仓库及物流中心的地区分布情况、冷链设施配备情况（如需）及配送半径（如有）。公司采用第三方仓储及配送的，应披露对第三方仓储及配送管理措施的变动情况、报告期内的自有物流费用与第三方物流费用。</w:t>
      </w:r>
    </w:p>
    <w:p>
      <w:pPr>
        <w:shd w:val="clear" w:color="auto" w:fill="FFFFFF"/>
        <w:snapToGrid w:val="0"/>
        <w:spacing w:line="600" w:lineRule="exact"/>
        <w:ind w:firstLine="562" w:firstLineChars="200"/>
        <w:jc w:val="both"/>
        <w:rPr>
          <w:rFonts w:eastAsia="仿宋"/>
          <w:sz w:val="32"/>
          <w:szCs w:val="32"/>
        </w:rPr>
      </w:pPr>
      <w:r>
        <w:rPr>
          <w:rFonts w:eastAsia="楷体"/>
          <w:b/>
          <w:sz w:val="28"/>
          <w:szCs w:val="28"/>
        </w:rPr>
        <w:t xml:space="preserve">    </w:t>
      </w:r>
      <w:r>
        <w:rPr>
          <w:rFonts w:eastAsia="仿宋"/>
          <w:sz w:val="32"/>
          <w:szCs w:val="32"/>
        </w:rPr>
        <w:t>公司可以披露报告期内提升物流管理效率的具体措施，包括降低物流成本、降低仓储成本、提高存货周转率、提升货品管理水平等。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第十五条 </w:t>
      </w:r>
      <w:r>
        <w:rPr>
          <w:rFonts w:ascii="Times New Roman" w:hAnsi="Times New Roman" w:eastAsia="仿宋" w:cs="Times New Roman"/>
          <w:sz w:val="32"/>
          <w:szCs w:val="32"/>
        </w:rPr>
        <w:t>公司应当披露报告期内客户的主要消费群体及其地区分布情况。</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公司对客户采取会员管理的，应披露报告期末会员数量，公司可以披露线上客户与线下门店客户销售占比等信息。会员卡充（储）值功能的备案情况（如需）及保障会员资金安全的风险防控措施发生变动的，应披露变动情况。</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报告期内存在主要客户不再续约或整体会员数量大幅减少的，应分析原因及其对公司未来经营的影响。</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公司可以披露报告期内参加或举办的主要促销或营销活动及其财务或业务效果。</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第十六条 </w:t>
      </w:r>
      <w:r>
        <w:rPr>
          <w:rFonts w:ascii="Times New Roman" w:hAnsi="Times New Roman" w:eastAsia="仿宋" w:cs="Times New Roman"/>
          <w:sz w:val="32"/>
          <w:szCs w:val="32"/>
        </w:rPr>
        <w:t>公司从事跨境电商业务的，应披露进出口商品的报关、报检、完税情况及支付结算方式。公司聘请第三方提供报关、报检、商品预归类等服务的，应披露第三方资质情况。</w:t>
      </w:r>
    </w:p>
    <w:p>
      <w:pPr>
        <w:pStyle w:val="10"/>
        <w:widowControl/>
        <w:shd w:val="clear" w:color="auto" w:fill="FFFFFF"/>
        <w:spacing w:line="600" w:lineRule="exact"/>
        <w:ind w:firstLine="640"/>
        <w:outlineLvl w:val="2"/>
        <w:rPr>
          <w:rFonts w:ascii="Times New Roman" w:hAnsi="Times New Roman" w:eastAsia="仿宋" w:cs="Times New Roman"/>
          <w:kern w:val="0"/>
          <w:sz w:val="32"/>
          <w:szCs w:val="32"/>
        </w:rPr>
      </w:pPr>
      <w:r>
        <w:rPr>
          <w:rFonts w:ascii="Times New Roman" w:hAnsi="Times New Roman" w:eastAsia="仿宋" w:cs="Times New Roman"/>
          <w:kern w:val="0"/>
          <w:sz w:val="32"/>
          <w:szCs w:val="32"/>
        </w:rPr>
        <w:t>公司从事跨境进口电商业务的，应披露报告期内代理销售品牌及品类、代理模式、对进口产品的质量管理措施的变动情况；公司从事跨境出口电商业务的，应披露报告期内在境外的主要销售平台、出口国家、各国销售占比、主要出口国税收政策、境外商标注册情况及境外子公司设置情况。</w:t>
      </w:r>
    </w:p>
    <w:p>
      <w:pPr>
        <w:pStyle w:val="10"/>
        <w:widowControl/>
        <w:shd w:val="clear" w:color="auto" w:fill="FFFFFF"/>
        <w:spacing w:line="600" w:lineRule="exact"/>
        <w:ind w:firstLine="643"/>
        <w:outlineLvl w:val="2"/>
        <w:rPr>
          <w:rFonts w:ascii="Times New Roman" w:hAnsi="Times New Roman" w:eastAsia="仿宋" w:cs="Times New Roman"/>
          <w:b/>
          <w:sz w:val="32"/>
          <w:szCs w:val="32"/>
        </w:rPr>
      </w:pPr>
      <w:r>
        <w:rPr>
          <w:rFonts w:ascii="Times New Roman" w:hAnsi="Times New Roman" w:eastAsia="仿宋" w:cs="Times New Roman"/>
          <w:b/>
          <w:sz w:val="32"/>
          <w:szCs w:val="32"/>
        </w:rPr>
        <w:t xml:space="preserve">第十七条 </w:t>
      </w:r>
      <w:r>
        <w:rPr>
          <w:rFonts w:ascii="Times New Roman" w:hAnsi="Times New Roman" w:eastAsia="仿宋" w:cs="Times New Roman"/>
          <w:sz w:val="32"/>
          <w:szCs w:val="32"/>
        </w:rPr>
        <w:t>公司从事黄金或其他珠宝零售的，应披露报告期内原材料、在产品、库存商品、在途物资等存货项目中各存货类型（如黄金、铂金等）的分布情况及进行商品期货套期保值（如有）、黄金租赁（如有）等交易的具体情况。</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第十八条 </w:t>
      </w:r>
      <w:r>
        <w:rPr>
          <w:rFonts w:ascii="Times New Roman" w:hAnsi="Times New Roman" w:eastAsia="仿宋" w:cs="Times New Roman"/>
          <w:sz w:val="32"/>
          <w:szCs w:val="32"/>
        </w:rPr>
        <w:t>公司从事药品零售的，应披露报告期内门店医师和药剂师的人数及执业资格情况、特殊药品保管情况、处方药销售管理情况及过期药品处置方式。</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第十九条 </w:t>
      </w:r>
      <w:r>
        <w:rPr>
          <w:rFonts w:ascii="Times New Roman" w:hAnsi="Times New Roman" w:eastAsia="仿宋" w:cs="Times New Roman"/>
          <w:sz w:val="32"/>
          <w:szCs w:val="32"/>
        </w:rPr>
        <w:t>公司从事汽车销售的，应披露报告期内授权销售品牌及期限、购车贷款服务（如有）合作银行及合作方式、汽车保险服务（如有）合作保险公司及合作方式、汽车维修服务（如有）的模式及维修人员配备情况。</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第二十条 </w:t>
      </w:r>
      <w:r>
        <w:rPr>
          <w:rFonts w:ascii="Times New Roman" w:hAnsi="Times New Roman" w:eastAsia="仿宋" w:cs="Times New Roman"/>
          <w:sz w:val="32"/>
          <w:szCs w:val="32"/>
        </w:rPr>
        <w:t>公司参照《公开发行证券的公司信息披露编报规则第15号——财务报告的一般规定》披露财务报表附注时，应当同时按照下列要求履行信息披露义务：</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一）公司应当披露行业相关的具体会计政策及会计处理方式。公司应基于企业会计准则的原则性规定，结合自身经营特点，细化财务报表附注部分中不同销售模式下的收入确认时点、确认方法和账款结算方式，以及存货计量和跌价准备等会计政策，同时还应披露销售退回、积分消费或兑换、销售返利及销售奖励等会计处理方式。</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（二）公司应当披露报告期内与行业特点相关的费用情况并分析其波动原因，包括租金、广告营销费、门店装饰装修费、自有物流费用与外包物流费用等。</w:t>
      </w:r>
    </w:p>
    <w:p>
      <w:pPr>
        <w:shd w:val="clear" w:color="auto" w:fill="FFFFFF"/>
        <w:snapToGrid w:val="0"/>
        <w:spacing w:line="600" w:lineRule="exact"/>
        <w:ind w:firstLine="640" w:firstLineChars="200"/>
        <w:jc w:val="both"/>
        <w:rPr>
          <w:rFonts w:eastAsia="仿宋"/>
          <w:sz w:val="32"/>
          <w:szCs w:val="32"/>
        </w:rPr>
      </w:pPr>
    </w:p>
    <w:p>
      <w:pPr>
        <w:pStyle w:val="10"/>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临时报告</w:t>
      </w:r>
    </w:p>
    <w:p>
      <w:pPr>
        <w:spacing w:line="600" w:lineRule="exact"/>
        <w:ind w:firstLine="642" w:firstLineChars="200"/>
        <w:jc w:val="both"/>
        <w:rPr>
          <w:rFonts w:eastAsia="仿宋"/>
          <w:b/>
          <w:sz w:val="32"/>
          <w:szCs w:val="32"/>
        </w:rPr>
      </w:pP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第二十一条 </w:t>
      </w:r>
      <w:r>
        <w:rPr>
          <w:rFonts w:ascii="Times New Roman" w:hAnsi="Times New Roman" w:eastAsia="仿宋" w:cs="Times New Roman"/>
          <w:sz w:val="32"/>
          <w:szCs w:val="32"/>
        </w:rPr>
        <w:t>公司所在零售细分行业相关政策法规或其他行业影响因素发生重大变化，或发生其他行业性重大事件，对公司具有直接或重大影响的，公司应当及时披露相关情况及其对公司经营的影响。</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第二十二条 </w:t>
      </w:r>
      <w:r>
        <w:rPr>
          <w:rFonts w:ascii="Times New Roman" w:hAnsi="Times New Roman" w:eastAsia="仿宋" w:cs="Times New Roman"/>
          <w:sz w:val="32"/>
          <w:szCs w:val="32"/>
        </w:rPr>
        <w:t>公司签订购买、租入、租出或续租物业的相关协议，影响重大的，公司应当及时披露交易对方基本情况及其履约能力、交易标的基本情况、交易协议主要内容等。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第二十三条 </w:t>
      </w:r>
      <w:r>
        <w:rPr>
          <w:rFonts w:ascii="Times New Roman" w:hAnsi="Times New Roman" w:eastAsia="仿宋" w:cs="Times New Roman"/>
          <w:sz w:val="32"/>
          <w:szCs w:val="32"/>
        </w:rPr>
        <w:t>公司新开设门店，预计对公司经营业绩产生重大影响的，应当及时披露新开设门店的名称、所在地域、开业时间、管理模式（直营、加盟或其他模式）、物业权属（自有物业、租赁物业或其他权属状态）、经营面积等内容。公司前期已披露相关物业的购买、租赁信息的，可援引前期公告。</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公司关闭重要门店，对公司经营业绩产生重要影响的，应当及时披露关闭门店的名称、所在地域、关闭原因、停业时间、经营面积、对公司的影响等。</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第二十四条 </w:t>
      </w:r>
      <w:r>
        <w:rPr>
          <w:rFonts w:ascii="Times New Roman" w:hAnsi="Times New Roman" w:eastAsia="仿宋" w:cs="Times New Roman"/>
          <w:sz w:val="32"/>
          <w:szCs w:val="32"/>
        </w:rPr>
        <w:t>公司收购同类公司股权，影响重大的，除应当按照相关临时公告格式模板进行披露外，还应披露收购标的的经营业态、管理模式（直营、加盟或其他模式）、门店数量及其地区分布、经营面积、物业权属（自有物业、租赁物业或其他权属状态）等情况。</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收购对公司经营业态分布产生重大影响的，公司应当披露变动后的业态分布情况。</w:t>
      </w:r>
    </w:p>
    <w:p>
      <w:pPr>
        <w:pStyle w:val="10"/>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 xml:space="preserve">第二十五条 </w:t>
      </w:r>
      <w:r>
        <w:rPr>
          <w:rFonts w:ascii="Times New Roman" w:hAnsi="Times New Roman" w:eastAsia="仿宋" w:cs="Times New Roman"/>
          <w:sz w:val="32"/>
          <w:szCs w:val="32"/>
        </w:rPr>
        <w:t>公司因重大产品质量安全或服务问题受到消费者投诉、起诉的，或发生重大生产经营事故的，应及时披露相关事件情况、对公司的影响及拟采取的处理措施等。</w:t>
      </w:r>
    </w:p>
    <w:p>
      <w:pPr>
        <w:spacing w:line="600" w:lineRule="exact"/>
        <w:ind w:firstLine="640" w:firstLineChars="200"/>
        <w:jc w:val="both"/>
        <w:rPr>
          <w:rFonts w:eastAsia="仿宋"/>
          <w:sz w:val="32"/>
          <w:szCs w:val="32"/>
        </w:rPr>
      </w:pPr>
    </w:p>
    <w:p>
      <w:pPr>
        <w:pStyle w:val="10"/>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附则</w:t>
      </w:r>
    </w:p>
    <w:p>
      <w:pPr>
        <w:shd w:val="clear" w:color="auto" w:fill="FFFFFF"/>
        <w:snapToGrid w:val="0"/>
        <w:spacing w:line="600" w:lineRule="exact"/>
        <w:ind w:firstLine="642" w:firstLineChars="200"/>
        <w:jc w:val="both"/>
        <w:rPr>
          <w:rFonts w:eastAsia="仿宋"/>
          <w:b/>
          <w:color w:val="000000"/>
          <w:sz w:val="32"/>
          <w:szCs w:val="32"/>
        </w:rPr>
      </w:pPr>
    </w:p>
    <w:p>
      <w:pPr>
        <w:pStyle w:val="10"/>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第二十六条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本指引有关用语含义如下：</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一）经营业态，是指百货商场、购物中心、大型综合卖场、连锁超市、专卖店、专业店（包括医药零售、珠宝零售等）、便利店、折扣店等国家统一标准的经营场所形态。公司根据实际情况自行确定经营业态的，应明确相关名称或含义，并保持表述一致。</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（二）经营模式，是指自营销售、联营销售、专柜销售、场地租赁等模式。</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（三）线上销售，是指顾客通过计算机、手机或其他移动设备等利用互联网渠道购买商品而实现的销售。</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（四）经营面积，是指实际用于经营活动的场地面积，一般按照建筑面积扣减用于办公、安保等后勤工作所需建筑面积及建筑公摊面积之外的场地面积计算。</w:t>
      </w:r>
    </w:p>
    <w:p>
      <w:pPr>
        <w:shd w:val="clear" w:color="auto" w:fill="FFFFFF"/>
        <w:snapToGrid w:val="0"/>
        <w:spacing w:line="600" w:lineRule="exact"/>
        <w:ind w:firstLine="640" w:firstLineChars="200"/>
        <w:jc w:val="both"/>
        <w:rPr>
          <w:rFonts w:eastAsia="仿宋"/>
          <w:sz w:val="32"/>
          <w:szCs w:val="32"/>
        </w:rPr>
      </w:pPr>
      <w:r>
        <w:rPr>
          <w:rFonts w:eastAsia="仿宋"/>
          <w:sz w:val="32"/>
          <w:szCs w:val="32"/>
        </w:rPr>
        <w:t>（五）交易额（GMV），是指一定期间线上销售平台的订单成交总额。</w:t>
      </w:r>
    </w:p>
    <w:p>
      <w:pPr>
        <w:pStyle w:val="10"/>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第二十七条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本指引由全国股转公司负责解释。</w:t>
      </w:r>
    </w:p>
    <w:p>
      <w:pPr>
        <w:pStyle w:val="10"/>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第二十八条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本指引自公布之日起施行。</w:t>
      </w:r>
    </w:p>
    <w:sectPr>
      <w:footerReference r:id="rId3" w:type="default"/>
      <w:pgSz w:w="11900" w:h="16838"/>
      <w:pgMar w:top="1440" w:right="1440" w:bottom="1440" w:left="1440" w:header="850" w:footer="992" w:gutter="0"/>
      <w:pgNumType w:fmt="numberInDash"/>
      <w:cols w:equalWidth="0" w:num="1">
        <w:col w:w="9024"/>
      </w:cols>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534914"/>
      <w:docPartObj>
        <w:docPartGallery w:val="AutoText"/>
      </w:docPartObj>
    </w:sdtPr>
    <w:sdtEndPr>
      <w:rPr>
        <w:rFonts w:ascii="宋体" w:hAnsi="宋体" w:eastAsia="宋体"/>
        <w:sz w:val="28"/>
      </w:rPr>
    </w:sdtEndPr>
    <w:sdtContent>
      <w:p>
        <w:pPr>
          <w:pStyle w:val="4"/>
          <w:jc w:val="center"/>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9 -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8915EC"/>
    <w:multiLevelType w:val="multilevel"/>
    <w:tmpl w:val="268915EC"/>
    <w:lvl w:ilvl="0" w:tentative="0">
      <w:start w:val="1"/>
      <w:numFmt w:val="japaneseCounting"/>
      <w:lvlText w:val="第%1章"/>
      <w:lvlJc w:val="left"/>
      <w:pPr>
        <w:ind w:left="5461" w:hanging="1350"/>
      </w:pPr>
    </w:lvl>
    <w:lvl w:ilvl="1" w:tentative="0">
      <w:start w:val="1"/>
      <w:numFmt w:val="lowerLetter"/>
      <w:lvlText w:val="%2)"/>
      <w:lvlJc w:val="left"/>
      <w:pPr>
        <w:ind w:left="2965" w:hanging="420"/>
      </w:pPr>
    </w:lvl>
    <w:lvl w:ilvl="2" w:tentative="0">
      <w:start w:val="1"/>
      <w:numFmt w:val="lowerRoman"/>
      <w:lvlText w:val="%3."/>
      <w:lvlJc w:val="right"/>
      <w:pPr>
        <w:ind w:left="3385" w:hanging="420"/>
      </w:pPr>
    </w:lvl>
    <w:lvl w:ilvl="3" w:tentative="0">
      <w:start w:val="1"/>
      <w:numFmt w:val="decimal"/>
      <w:lvlText w:val="%4."/>
      <w:lvlJc w:val="left"/>
      <w:pPr>
        <w:ind w:left="3805" w:hanging="420"/>
      </w:pPr>
    </w:lvl>
    <w:lvl w:ilvl="4" w:tentative="0">
      <w:start w:val="1"/>
      <w:numFmt w:val="lowerLetter"/>
      <w:lvlText w:val="%5)"/>
      <w:lvlJc w:val="left"/>
      <w:pPr>
        <w:ind w:left="4225" w:hanging="420"/>
      </w:pPr>
    </w:lvl>
    <w:lvl w:ilvl="5" w:tentative="0">
      <w:start w:val="1"/>
      <w:numFmt w:val="lowerRoman"/>
      <w:lvlText w:val="%6."/>
      <w:lvlJc w:val="right"/>
      <w:pPr>
        <w:ind w:left="4645" w:hanging="420"/>
      </w:pPr>
    </w:lvl>
    <w:lvl w:ilvl="6" w:tentative="0">
      <w:start w:val="1"/>
      <w:numFmt w:val="decimal"/>
      <w:lvlText w:val="%7."/>
      <w:lvlJc w:val="left"/>
      <w:pPr>
        <w:ind w:left="5065" w:hanging="420"/>
      </w:pPr>
    </w:lvl>
    <w:lvl w:ilvl="7" w:tentative="0">
      <w:start w:val="1"/>
      <w:numFmt w:val="lowerLetter"/>
      <w:lvlText w:val="%8)"/>
      <w:lvlJc w:val="left"/>
      <w:pPr>
        <w:ind w:left="5485" w:hanging="420"/>
      </w:pPr>
    </w:lvl>
    <w:lvl w:ilvl="8" w:tentative="0">
      <w:start w:val="1"/>
      <w:numFmt w:val="lowerRoman"/>
      <w:lvlText w:val="%9."/>
      <w:lvlJc w:val="right"/>
      <w:pPr>
        <w:ind w:left="5905"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A79"/>
    <w:rsid w:val="000003B0"/>
    <w:rsid w:val="00005604"/>
    <w:rsid w:val="00006F28"/>
    <w:rsid w:val="00007A20"/>
    <w:rsid w:val="00007CF7"/>
    <w:rsid w:val="00012007"/>
    <w:rsid w:val="00013549"/>
    <w:rsid w:val="00013B97"/>
    <w:rsid w:val="00013C3F"/>
    <w:rsid w:val="0002091C"/>
    <w:rsid w:val="000253BE"/>
    <w:rsid w:val="000377E1"/>
    <w:rsid w:val="00037AE9"/>
    <w:rsid w:val="00037CE1"/>
    <w:rsid w:val="00037EC3"/>
    <w:rsid w:val="00040420"/>
    <w:rsid w:val="00040C91"/>
    <w:rsid w:val="00043EAA"/>
    <w:rsid w:val="00052CAD"/>
    <w:rsid w:val="000537AC"/>
    <w:rsid w:val="00054C50"/>
    <w:rsid w:val="000550B7"/>
    <w:rsid w:val="00056620"/>
    <w:rsid w:val="00057B78"/>
    <w:rsid w:val="00060F6B"/>
    <w:rsid w:val="00061F57"/>
    <w:rsid w:val="00063E7C"/>
    <w:rsid w:val="00070D89"/>
    <w:rsid w:val="00072BAB"/>
    <w:rsid w:val="00076AC7"/>
    <w:rsid w:val="000806A8"/>
    <w:rsid w:val="0008115B"/>
    <w:rsid w:val="00081395"/>
    <w:rsid w:val="00081A17"/>
    <w:rsid w:val="000822B6"/>
    <w:rsid w:val="0008465C"/>
    <w:rsid w:val="00084C68"/>
    <w:rsid w:val="00085095"/>
    <w:rsid w:val="00092D59"/>
    <w:rsid w:val="00094D3F"/>
    <w:rsid w:val="00097568"/>
    <w:rsid w:val="000A10CC"/>
    <w:rsid w:val="000A22AC"/>
    <w:rsid w:val="000A4468"/>
    <w:rsid w:val="000A64F3"/>
    <w:rsid w:val="000A69E3"/>
    <w:rsid w:val="000A76CF"/>
    <w:rsid w:val="000B00CD"/>
    <w:rsid w:val="000B072C"/>
    <w:rsid w:val="000B0AF5"/>
    <w:rsid w:val="000B577F"/>
    <w:rsid w:val="000C2069"/>
    <w:rsid w:val="000C2439"/>
    <w:rsid w:val="000C3DF7"/>
    <w:rsid w:val="000C3FEF"/>
    <w:rsid w:val="000C44ED"/>
    <w:rsid w:val="000D0005"/>
    <w:rsid w:val="000D00EC"/>
    <w:rsid w:val="000D44CF"/>
    <w:rsid w:val="000D4596"/>
    <w:rsid w:val="000D7188"/>
    <w:rsid w:val="000D71CC"/>
    <w:rsid w:val="000D7AF8"/>
    <w:rsid w:val="000E25CD"/>
    <w:rsid w:val="000E2B41"/>
    <w:rsid w:val="000E6D4C"/>
    <w:rsid w:val="000E7CE7"/>
    <w:rsid w:val="000F4C99"/>
    <w:rsid w:val="000F528C"/>
    <w:rsid w:val="00100624"/>
    <w:rsid w:val="00102CA2"/>
    <w:rsid w:val="00103402"/>
    <w:rsid w:val="00105A11"/>
    <w:rsid w:val="00113E36"/>
    <w:rsid w:val="00120112"/>
    <w:rsid w:val="00123425"/>
    <w:rsid w:val="0013167B"/>
    <w:rsid w:val="001341A1"/>
    <w:rsid w:val="00135889"/>
    <w:rsid w:val="00135E18"/>
    <w:rsid w:val="001515C5"/>
    <w:rsid w:val="0015269D"/>
    <w:rsid w:val="00152F70"/>
    <w:rsid w:val="00155FB9"/>
    <w:rsid w:val="00157F9C"/>
    <w:rsid w:val="00160E46"/>
    <w:rsid w:val="001650C5"/>
    <w:rsid w:val="00165141"/>
    <w:rsid w:val="00167F87"/>
    <w:rsid w:val="00167FBE"/>
    <w:rsid w:val="00171C50"/>
    <w:rsid w:val="001750E2"/>
    <w:rsid w:val="0018242F"/>
    <w:rsid w:val="0018263B"/>
    <w:rsid w:val="00192228"/>
    <w:rsid w:val="001931A6"/>
    <w:rsid w:val="00196033"/>
    <w:rsid w:val="001A1F05"/>
    <w:rsid w:val="001A3367"/>
    <w:rsid w:val="001B5540"/>
    <w:rsid w:val="001B7C9D"/>
    <w:rsid w:val="001C1A22"/>
    <w:rsid w:val="001C2BB7"/>
    <w:rsid w:val="001C362E"/>
    <w:rsid w:val="001C3C32"/>
    <w:rsid w:val="001C56CA"/>
    <w:rsid w:val="001C6729"/>
    <w:rsid w:val="001C6E57"/>
    <w:rsid w:val="001D226B"/>
    <w:rsid w:val="001D39F0"/>
    <w:rsid w:val="001D45BE"/>
    <w:rsid w:val="001D5ABD"/>
    <w:rsid w:val="001D6EB3"/>
    <w:rsid w:val="001E06FB"/>
    <w:rsid w:val="001E548C"/>
    <w:rsid w:val="001E6E0D"/>
    <w:rsid w:val="001F5DBE"/>
    <w:rsid w:val="001F717E"/>
    <w:rsid w:val="00203E15"/>
    <w:rsid w:val="00205487"/>
    <w:rsid w:val="00205855"/>
    <w:rsid w:val="00205C3C"/>
    <w:rsid w:val="00211307"/>
    <w:rsid w:val="0021294F"/>
    <w:rsid w:val="0021326B"/>
    <w:rsid w:val="002142C4"/>
    <w:rsid w:val="00214D50"/>
    <w:rsid w:val="00215CA7"/>
    <w:rsid w:val="00217F52"/>
    <w:rsid w:val="00220DC0"/>
    <w:rsid w:val="00221A7D"/>
    <w:rsid w:val="0022271F"/>
    <w:rsid w:val="0022517A"/>
    <w:rsid w:val="0022546C"/>
    <w:rsid w:val="002308D0"/>
    <w:rsid w:val="0023426D"/>
    <w:rsid w:val="00234761"/>
    <w:rsid w:val="00237B89"/>
    <w:rsid w:val="00243181"/>
    <w:rsid w:val="0024792A"/>
    <w:rsid w:val="00251CCE"/>
    <w:rsid w:val="00252118"/>
    <w:rsid w:val="002549EC"/>
    <w:rsid w:val="00255826"/>
    <w:rsid w:val="00262278"/>
    <w:rsid w:val="00264DEA"/>
    <w:rsid w:val="002710E5"/>
    <w:rsid w:val="00274E5F"/>
    <w:rsid w:val="00280ED8"/>
    <w:rsid w:val="00283DC7"/>
    <w:rsid w:val="00290264"/>
    <w:rsid w:val="00292196"/>
    <w:rsid w:val="0029384C"/>
    <w:rsid w:val="002A04CE"/>
    <w:rsid w:val="002A2E7D"/>
    <w:rsid w:val="002A3D67"/>
    <w:rsid w:val="002A46C3"/>
    <w:rsid w:val="002A4811"/>
    <w:rsid w:val="002A5A0C"/>
    <w:rsid w:val="002A5BEC"/>
    <w:rsid w:val="002A5FD1"/>
    <w:rsid w:val="002B1DC2"/>
    <w:rsid w:val="002B1F39"/>
    <w:rsid w:val="002C1C92"/>
    <w:rsid w:val="002C41F5"/>
    <w:rsid w:val="002C5D1A"/>
    <w:rsid w:val="002C7402"/>
    <w:rsid w:val="002C78F9"/>
    <w:rsid w:val="002D2309"/>
    <w:rsid w:val="002D2A0A"/>
    <w:rsid w:val="002D575F"/>
    <w:rsid w:val="002D5841"/>
    <w:rsid w:val="002D653E"/>
    <w:rsid w:val="002D7D0C"/>
    <w:rsid w:val="002E5ADE"/>
    <w:rsid w:val="002F0A7E"/>
    <w:rsid w:val="002F1B76"/>
    <w:rsid w:val="002F50C7"/>
    <w:rsid w:val="002F54E7"/>
    <w:rsid w:val="002F6575"/>
    <w:rsid w:val="002F7A31"/>
    <w:rsid w:val="003002F6"/>
    <w:rsid w:val="00304A1C"/>
    <w:rsid w:val="0030583E"/>
    <w:rsid w:val="003060DC"/>
    <w:rsid w:val="00306D4A"/>
    <w:rsid w:val="00310962"/>
    <w:rsid w:val="00310AED"/>
    <w:rsid w:val="00313462"/>
    <w:rsid w:val="0031348D"/>
    <w:rsid w:val="003141D1"/>
    <w:rsid w:val="00314477"/>
    <w:rsid w:val="00320006"/>
    <w:rsid w:val="00320ACD"/>
    <w:rsid w:val="003221A8"/>
    <w:rsid w:val="00322719"/>
    <w:rsid w:val="003239FA"/>
    <w:rsid w:val="00325A02"/>
    <w:rsid w:val="0032771D"/>
    <w:rsid w:val="003279D6"/>
    <w:rsid w:val="00330BEF"/>
    <w:rsid w:val="00332E3E"/>
    <w:rsid w:val="00333C9C"/>
    <w:rsid w:val="00333E52"/>
    <w:rsid w:val="003365C8"/>
    <w:rsid w:val="00337CEB"/>
    <w:rsid w:val="00340DC3"/>
    <w:rsid w:val="003415F1"/>
    <w:rsid w:val="00343A28"/>
    <w:rsid w:val="00344144"/>
    <w:rsid w:val="0034792A"/>
    <w:rsid w:val="00347FBB"/>
    <w:rsid w:val="0035374D"/>
    <w:rsid w:val="00354FFF"/>
    <w:rsid w:val="00355ECA"/>
    <w:rsid w:val="003561A9"/>
    <w:rsid w:val="0035691C"/>
    <w:rsid w:val="003609DA"/>
    <w:rsid w:val="003614BC"/>
    <w:rsid w:val="0036394C"/>
    <w:rsid w:val="00371BCB"/>
    <w:rsid w:val="00376B95"/>
    <w:rsid w:val="0038410E"/>
    <w:rsid w:val="00386794"/>
    <w:rsid w:val="003876AC"/>
    <w:rsid w:val="00390885"/>
    <w:rsid w:val="00390E94"/>
    <w:rsid w:val="00393950"/>
    <w:rsid w:val="00393F8E"/>
    <w:rsid w:val="003945B2"/>
    <w:rsid w:val="00397037"/>
    <w:rsid w:val="0039785D"/>
    <w:rsid w:val="003A1B0F"/>
    <w:rsid w:val="003A2DBE"/>
    <w:rsid w:val="003A4EB7"/>
    <w:rsid w:val="003B1EA2"/>
    <w:rsid w:val="003B2C77"/>
    <w:rsid w:val="003B4E4D"/>
    <w:rsid w:val="003B5E0F"/>
    <w:rsid w:val="003C1502"/>
    <w:rsid w:val="003C28B5"/>
    <w:rsid w:val="003C35AC"/>
    <w:rsid w:val="003C5048"/>
    <w:rsid w:val="003C6D68"/>
    <w:rsid w:val="003C76F8"/>
    <w:rsid w:val="003D13F9"/>
    <w:rsid w:val="003D3266"/>
    <w:rsid w:val="003D361C"/>
    <w:rsid w:val="003D7747"/>
    <w:rsid w:val="003E14CA"/>
    <w:rsid w:val="003E1BBF"/>
    <w:rsid w:val="003E2908"/>
    <w:rsid w:val="003E2EC8"/>
    <w:rsid w:val="003E341A"/>
    <w:rsid w:val="003E51F4"/>
    <w:rsid w:val="003E64EB"/>
    <w:rsid w:val="003E72C7"/>
    <w:rsid w:val="003E75FE"/>
    <w:rsid w:val="003F12A5"/>
    <w:rsid w:val="003F2542"/>
    <w:rsid w:val="003F62B5"/>
    <w:rsid w:val="003F6B03"/>
    <w:rsid w:val="00400889"/>
    <w:rsid w:val="00400E02"/>
    <w:rsid w:val="00401CF6"/>
    <w:rsid w:val="00402C12"/>
    <w:rsid w:val="00404868"/>
    <w:rsid w:val="00406141"/>
    <w:rsid w:val="00406D7B"/>
    <w:rsid w:val="00407F94"/>
    <w:rsid w:val="00414402"/>
    <w:rsid w:val="004144AF"/>
    <w:rsid w:val="004201AD"/>
    <w:rsid w:val="0042252E"/>
    <w:rsid w:val="00431464"/>
    <w:rsid w:val="00431F26"/>
    <w:rsid w:val="00433CAB"/>
    <w:rsid w:val="00434763"/>
    <w:rsid w:val="00435B76"/>
    <w:rsid w:val="00436BA7"/>
    <w:rsid w:val="00437743"/>
    <w:rsid w:val="00443237"/>
    <w:rsid w:val="00443682"/>
    <w:rsid w:val="00444A96"/>
    <w:rsid w:val="00451658"/>
    <w:rsid w:val="0045463F"/>
    <w:rsid w:val="00456464"/>
    <w:rsid w:val="00456936"/>
    <w:rsid w:val="0045714D"/>
    <w:rsid w:val="00460DD1"/>
    <w:rsid w:val="00464BBC"/>
    <w:rsid w:val="00467B82"/>
    <w:rsid w:val="0047277E"/>
    <w:rsid w:val="004731AC"/>
    <w:rsid w:val="00474440"/>
    <w:rsid w:val="00475BCF"/>
    <w:rsid w:val="00480DBB"/>
    <w:rsid w:val="0048211A"/>
    <w:rsid w:val="0048218B"/>
    <w:rsid w:val="00482DED"/>
    <w:rsid w:val="004832E5"/>
    <w:rsid w:val="00483B1F"/>
    <w:rsid w:val="00485A1C"/>
    <w:rsid w:val="0049070F"/>
    <w:rsid w:val="00492862"/>
    <w:rsid w:val="00494089"/>
    <w:rsid w:val="00496F38"/>
    <w:rsid w:val="004A2396"/>
    <w:rsid w:val="004A50F8"/>
    <w:rsid w:val="004B0E0D"/>
    <w:rsid w:val="004B2050"/>
    <w:rsid w:val="004B25A0"/>
    <w:rsid w:val="004B5491"/>
    <w:rsid w:val="004C1657"/>
    <w:rsid w:val="004C17B5"/>
    <w:rsid w:val="004C55F5"/>
    <w:rsid w:val="004C657F"/>
    <w:rsid w:val="004C7575"/>
    <w:rsid w:val="004D22BC"/>
    <w:rsid w:val="004D4ADC"/>
    <w:rsid w:val="004D4B08"/>
    <w:rsid w:val="004D5C42"/>
    <w:rsid w:val="004D5E15"/>
    <w:rsid w:val="004E16A0"/>
    <w:rsid w:val="004E55C8"/>
    <w:rsid w:val="004E5F9A"/>
    <w:rsid w:val="004E67C6"/>
    <w:rsid w:val="004F0982"/>
    <w:rsid w:val="004F2EBC"/>
    <w:rsid w:val="004F31AA"/>
    <w:rsid w:val="004F51CA"/>
    <w:rsid w:val="004F75ED"/>
    <w:rsid w:val="005027B9"/>
    <w:rsid w:val="00507885"/>
    <w:rsid w:val="00512367"/>
    <w:rsid w:val="0051246F"/>
    <w:rsid w:val="00516F06"/>
    <w:rsid w:val="00523D4A"/>
    <w:rsid w:val="00530101"/>
    <w:rsid w:val="00532AC5"/>
    <w:rsid w:val="00535833"/>
    <w:rsid w:val="00537252"/>
    <w:rsid w:val="0054248F"/>
    <w:rsid w:val="00545E23"/>
    <w:rsid w:val="00547F3A"/>
    <w:rsid w:val="005512D2"/>
    <w:rsid w:val="0055151B"/>
    <w:rsid w:val="00551818"/>
    <w:rsid w:val="0055289B"/>
    <w:rsid w:val="005528AB"/>
    <w:rsid w:val="005557FB"/>
    <w:rsid w:val="00555D5F"/>
    <w:rsid w:val="00560C66"/>
    <w:rsid w:val="00561E39"/>
    <w:rsid w:val="00562AC9"/>
    <w:rsid w:val="00563A44"/>
    <w:rsid w:val="00567FF5"/>
    <w:rsid w:val="005723FB"/>
    <w:rsid w:val="0058245E"/>
    <w:rsid w:val="0058305E"/>
    <w:rsid w:val="00585A15"/>
    <w:rsid w:val="00585E50"/>
    <w:rsid w:val="00586862"/>
    <w:rsid w:val="00586ADA"/>
    <w:rsid w:val="00592C88"/>
    <w:rsid w:val="00595F05"/>
    <w:rsid w:val="005A0088"/>
    <w:rsid w:val="005A3F04"/>
    <w:rsid w:val="005A6B97"/>
    <w:rsid w:val="005B0CF9"/>
    <w:rsid w:val="005B1167"/>
    <w:rsid w:val="005B1EFE"/>
    <w:rsid w:val="005B2638"/>
    <w:rsid w:val="005B2816"/>
    <w:rsid w:val="005B64C4"/>
    <w:rsid w:val="005B6573"/>
    <w:rsid w:val="005B677F"/>
    <w:rsid w:val="005B7371"/>
    <w:rsid w:val="005C1529"/>
    <w:rsid w:val="005C1E46"/>
    <w:rsid w:val="005C508E"/>
    <w:rsid w:val="005C557E"/>
    <w:rsid w:val="005C59CA"/>
    <w:rsid w:val="005C5A08"/>
    <w:rsid w:val="005C5C25"/>
    <w:rsid w:val="005D0CD2"/>
    <w:rsid w:val="005D495B"/>
    <w:rsid w:val="005D6886"/>
    <w:rsid w:val="005D6A15"/>
    <w:rsid w:val="005D72D4"/>
    <w:rsid w:val="005E26E2"/>
    <w:rsid w:val="005E5A32"/>
    <w:rsid w:val="005F47FB"/>
    <w:rsid w:val="006020B3"/>
    <w:rsid w:val="00602F14"/>
    <w:rsid w:val="00603DAC"/>
    <w:rsid w:val="00606DD1"/>
    <w:rsid w:val="006111F3"/>
    <w:rsid w:val="00613452"/>
    <w:rsid w:val="006178E3"/>
    <w:rsid w:val="00622636"/>
    <w:rsid w:val="00624449"/>
    <w:rsid w:val="006246D4"/>
    <w:rsid w:val="00624AAC"/>
    <w:rsid w:val="00626586"/>
    <w:rsid w:val="00627093"/>
    <w:rsid w:val="006275FD"/>
    <w:rsid w:val="00634A2F"/>
    <w:rsid w:val="0064008A"/>
    <w:rsid w:val="00641C58"/>
    <w:rsid w:val="00642AA0"/>
    <w:rsid w:val="0064587D"/>
    <w:rsid w:val="006477A6"/>
    <w:rsid w:val="00647E02"/>
    <w:rsid w:val="006512CF"/>
    <w:rsid w:val="00652AEF"/>
    <w:rsid w:val="00654890"/>
    <w:rsid w:val="006549EA"/>
    <w:rsid w:val="00655262"/>
    <w:rsid w:val="00655285"/>
    <w:rsid w:val="006567AA"/>
    <w:rsid w:val="00663AE0"/>
    <w:rsid w:val="00663EAB"/>
    <w:rsid w:val="00663ED8"/>
    <w:rsid w:val="0066567B"/>
    <w:rsid w:val="00666EF0"/>
    <w:rsid w:val="00667016"/>
    <w:rsid w:val="006713F5"/>
    <w:rsid w:val="006723D8"/>
    <w:rsid w:val="00673D27"/>
    <w:rsid w:val="00674A92"/>
    <w:rsid w:val="00675EEF"/>
    <w:rsid w:val="0067643E"/>
    <w:rsid w:val="00677FEA"/>
    <w:rsid w:val="00680ECC"/>
    <w:rsid w:val="006828EE"/>
    <w:rsid w:val="00682C22"/>
    <w:rsid w:val="00683C80"/>
    <w:rsid w:val="00686160"/>
    <w:rsid w:val="006906C2"/>
    <w:rsid w:val="0069559E"/>
    <w:rsid w:val="00696B94"/>
    <w:rsid w:val="006A1AA1"/>
    <w:rsid w:val="006A2879"/>
    <w:rsid w:val="006A43F7"/>
    <w:rsid w:val="006A58DC"/>
    <w:rsid w:val="006A7395"/>
    <w:rsid w:val="006B05E3"/>
    <w:rsid w:val="006B07B7"/>
    <w:rsid w:val="006B29CC"/>
    <w:rsid w:val="006B4EA6"/>
    <w:rsid w:val="006B7345"/>
    <w:rsid w:val="006C772C"/>
    <w:rsid w:val="006D0C90"/>
    <w:rsid w:val="006D3A66"/>
    <w:rsid w:val="006D59C0"/>
    <w:rsid w:val="006D5C79"/>
    <w:rsid w:val="006E1424"/>
    <w:rsid w:val="006E26F0"/>
    <w:rsid w:val="006E3D99"/>
    <w:rsid w:val="006F054C"/>
    <w:rsid w:val="006F1E9A"/>
    <w:rsid w:val="006F52F7"/>
    <w:rsid w:val="006F54F7"/>
    <w:rsid w:val="00702A09"/>
    <w:rsid w:val="007035CE"/>
    <w:rsid w:val="0070575D"/>
    <w:rsid w:val="00707993"/>
    <w:rsid w:val="0071157F"/>
    <w:rsid w:val="00712EDA"/>
    <w:rsid w:val="00712F80"/>
    <w:rsid w:val="007135FD"/>
    <w:rsid w:val="0071478F"/>
    <w:rsid w:val="00716E0D"/>
    <w:rsid w:val="00717EE6"/>
    <w:rsid w:val="007218D6"/>
    <w:rsid w:val="00722731"/>
    <w:rsid w:val="00724B25"/>
    <w:rsid w:val="007257C7"/>
    <w:rsid w:val="00726E60"/>
    <w:rsid w:val="00726F58"/>
    <w:rsid w:val="00733A3B"/>
    <w:rsid w:val="00735A42"/>
    <w:rsid w:val="00746FF1"/>
    <w:rsid w:val="007477D6"/>
    <w:rsid w:val="00750140"/>
    <w:rsid w:val="00752ABA"/>
    <w:rsid w:val="00753143"/>
    <w:rsid w:val="0075387D"/>
    <w:rsid w:val="00754CA3"/>
    <w:rsid w:val="00757A01"/>
    <w:rsid w:val="007615F6"/>
    <w:rsid w:val="00762886"/>
    <w:rsid w:val="00762F43"/>
    <w:rsid w:val="007659C7"/>
    <w:rsid w:val="007664D6"/>
    <w:rsid w:val="00766622"/>
    <w:rsid w:val="00767143"/>
    <w:rsid w:val="00774AE9"/>
    <w:rsid w:val="00775B9A"/>
    <w:rsid w:val="00775FB1"/>
    <w:rsid w:val="00776F9B"/>
    <w:rsid w:val="00777B95"/>
    <w:rsid w:val="00780480"/>
    <w:rsid w:val="0078344F"/>
    <w:rsid w:val="00785D57"/>
    <w:rsid w:val="007863FE"/>
    <w:rsid w:val="007872A3"/>
    <w:rsid w:val="00787B92"/>
    <w:rsid w:val="00790D3D"/>
    <w:rsid w:val="007969D6"/>
    <w:rsid w:val="007A067F"/>
    <w:rsid w:val="007A29C1"/>
    <w:rsid w:val="007B1FB3"/>
    <w:rsid w:val="007B2036"/>
    <w:rsid w:val="007C1A1D"/>
    <w:rsid w:val="007C546E"/>
    <w:rsid w:val="007D0696"/>
    <w:rsid w:val="007D5BCE"/>
    <w:rsid w:val="007D65D8"/>
    <w:rsid w:val="007D6E0B"/>
    <w:rsid w:val="007D7030"/>
    <w:rsid w:val="007E4DC1"/>
    <w:rsid w:val="007E7FC6"/>
    <w:rsid w:val="007F20E6"/>
    <w:rsid w:val="007F44B6"/>
    <w:rsid w:val="007F5897"/>
    <w:rsid w:val="007F6AAB"/>
    <w:rsid w:val="00800A0D"/>
    <w:rsid w:val="00800B45"/>
    <w:rsid w:val="008039DA"/>
    <w:rsid w:val="0080615A"/>
    <w:rsid w:val="00810B2B"/>
    <w:rsid w:val="00812415"/>
    <w:rsid w:val="0081787A"/>
    <w:rsid w:val="0082094D"/>
    <w:rsid w:val="00821F08"/>
    <w:rsid w:val="0082215B"/>
    <w:rsid w:val="00822A65"/>
    <w:rsid w:val="008239B6"/>
    <w:rsid w:val="008341EC"/>
    <w:rsid w:val="00836660"/>
    <w:rsid w:val="008409B6"/>
    <w:rsid w:val="00840AE5"/>
    <w:rsid w:val="00840D76"/>
    <w:rsid w:val="00841D56"/>
    <w:rsid w:val="008431AB"/>
    <w:rsid w:val="008434A9"/>
    <w:rsid w:val="00844422"/>
    <w:rsid w:val="008468CE"/>
    <w:rsid w:val="00852973"/>
    <w:rsid w:val="00855133"/>
    <w:rsid w:val="00860ABA"/>
    <w:rsid w:val="00862068"/>
    <w:rsid w:val="008644E7"/>
    <w:rsid w:val="00865070"/>
    <w:rsid w:val="008665D1"/>
    <w:rsid w:val="00873BB8"/>
    <w:rsid w:val="0087484B"/>
    <w:rsid w:val="00883F45"/>
    <w:rsid w:val="00885921"/>
    <w:rsid w:val="00886301"/>
    <w:rsid w:val="00890899"/>
    <w:rsid w:val="00893CD2"/>
    <w:rsid w:val="008A4217"/>
    <w:rsid w:val="008B1AC9"/>
    <w:rsid w:val="008B26E2"/>
    <w:rsid w:val="008C003A"/>
    <w:rsid w:val="008C2982"/>
    <w:rsid w:val="008C5D43"/>
    <w:rsid w:val="008C7287"/>
    <w:rsid w:val="008C7BCE"/>
    <w:rsid w:val="008C7D02"/>
    <w:rsid w:val="008D0B5C"/>
    <w:rsid w:val="008D48FE"/>
    <w:rsid w:val="008D7164"/>
    <w:rsid w:val="008E0B2D"/>
    <w:rsid w:val="008E117D"/>
    <w:rsid w:val="008E12D0"/>
    <w:rsid w:val="008E1B79"/>
    <w:rsid w:val="008E2B9C"/>
    <w:rsid w:val="008E3EF1"/>
    <w:rsid w:val="008F09DC"/>
    <w:rsid w:val="008F2D7A"/>
    <w:rsid w:val="008F4E7B"/>
    <w:rsid w:val="009015AE"/>
    <w:rsid w:val="00902047"/>
    <w:rsid w:val="009027E9"/>
    <w:rsid w:val="009029C5"/>
    <w:rsid w:val="0090557F"/>
    <w:rsid w:val="00906744"/>
    <w:rsid w:val="00911E2E"/>
    <w:rsid w:val="00913EBF"/>
    <w:rsid w:val="00915B36"/>
    <w:rsid w:val="0092131A"/>
    <w:rsid w:val="00923C8B"/>
    <w:rsid w:val="009260A8"/>
    <w:rsid w:val="0092764C"/>
    <w:rsid w:val="009305AD"/>
    <w:rsid w:val="00932877"/>
    <w:rsid w:val="00933055"/>
    <w:rsid w:val="009343E8"/>
    <w:rsid w:val="00934D45"/>
    <w:rsid w:val="00936198"/>
    <w:rsid w:val="00936A6D"/>
    <w:rsid w:val="009379BB"/>
    <w:rsid w:val="00937B3C"/>
    <w:rsid w:val="0094347A"/>
    <w:rsid w:val="00945245"/>
    <w:rsid w:val="00945CDF"/>
    <w:rsid w:val="0094667D"/>
    <w:rsid w:val="00953312"/>
    <w:rsid w:val="00953975"/>
    <w:rsid w:val="00961EAB"/>
    <w:rsid w:val="009621C8"/>
    <w:rsid w:val="00962C00"/>
    <w:rsid w:val="009634D6"/>
    <w:rsid w:val="00973604"/>
    <w:rsid w:val="00975949"/>
    <w:rsid w:val="00975BFE"/>
    <w:rsid w:val="00976AEF"/>
    <w:rsid w:val="00977636"/>
    <w:rsid w:val="00982031"/>
    <w:rsid w:val="009824D5"/>
    <w:rsid w:val="00982A65"/>
    <w:rsid w:val="00985A5B"/>
    <w:rsid w:val="00986407"/>
    <w:rsid w:val="00991E15"/>
    <w:rsid w:val="00993128"/>
    <w:rsid w:val="00993C55"/>
    <w:rsid w:val="00995E4B"/>
    <w:rsid w:val="009964DB"/>
    <w:rsid w:val="00996E9C"/>
    <w:rsid w:val="009A20B3"/>
    <w:rsid w:val="009A29F9"/>
    <w:rsid w:val="009A3722"/>
    <w:rsid w:val="009A6576"/>
    <w:rsid w:val="009B13C6"/>
    <w:rsid w:val="009B1DD3"/>
    <w:rsid w:val="009B2FB7"/>
    <w:rsid w:val="009B323B"/>
    <w:rsid w:val="009B78CE"/>
    <w:rsid w:val="009B7AAF"/>
    <w:rsid w:val="009B7B13"/>
    <w:rsid w:val="009C1324"/>
    <w:rsid w:val="009C1C40"/>
    <w:rsid w:val="009C24CD"/>
    <w:rsid w:val="009C48A6"/>
    <w:rsid w:val="009C4961"/>
    <w:rsid w:val="009C5316"/>
    <w:rsid w:val="009C55B5"/>
    <w:rsid w:val="009D0087"/>
    <w:rsid w:val="009D01BB"/>
    <w:rsid w:val="009D10A5"/>
    <w:rsid w:val="009D1C76"/>
    <w:rsid w:val="009D391A"/>
    <w:rsid w:val="009D3AC5"/>
    <w:rsid w:val="009D65D6"/>
    <w:rsid w:val="009D6CA6"/>
    <w:rsid w:val="009D761B"/>
    <w:rsid w:val="009E3350"/>
    <w:rsid w:val="009E515A"/>
    <w:rsid w:val="009E70CC"/>
    <w:rsid w:val="009F501B"/>
    <w:rsid w:val="009F55E6"/>
    <w:rsid w:val="009F5EFA"/>
    <w:rsid w:val="009F77BE"/>
    <w:rsid w:val="009F79A6"/>
    <w:rsid w:val="00A002C5"/>
    <w:rsid w:val="00A02058"/>
    <w:rsid w:val="00A041F2"/>
    <w:rsid w:val="00A14A92"/>
    <w:rsid w:val="00A15FC1"/>
    <w:rsid w:val="00A16B1A"/>
    <w:rsid w:val="00A20B5F"/>
    <w:rsid w:val="00A2418C"/>
    <w:rsid w:val="00A25AD9"/>
    <w:rsid w:val="00A25CCC"/>
    <w:rsid w:val="00A26D65"/>
    <w:rsid w:val="00A27DD9"/>
    <w:rsid w:val="00A300D9"/>
    <w:rsid w:val="00A30199"/>
    <w:rsid w:val="00A303F3"/>
    <w:rsid w:val="00A31BFE"/>
    <w:rsid w:val="00A3275A"/>
    <w:rsid w:val="00A35FCD"/>
    <w:rsid w:val="00A36B3F"/>
    <w:rsid w:val="00A40E65"/>
    <w:rsid w:val="00A42CCA"/>
    <w:rsid w:val="00A432F5"/>
    <w:rsid w:val="00A438B3"/>
    <w:rsid w:val="00A43A24"/>
    <w:rsid w:val="00A4556F"/>
    <w:rsid w:val="00A5165F"/>
    <w:rsid w:val="00A51DA2"/>
    <w:rsid w:val="00A520AC"/>
    <w:rsid w:val="00A53B88"/>
    <w:rsid w:val="00A55249"/>
    <w:rsid w:val="00A5524C"/>
    <w:rsid w:val="00A559AA"/>
    <w:rsid w:val="00A612A4"/>
    <w:rsid w:val="00A65BA3"/>
    <w:rsid w:val="00A71A51"/>
    <w:rsid w:val="00A7254A"/>
    <w:rsid w:val="00A7388E"/>
    <w:rsid w:val="00A74507"/>
    <w:rsid w:val="00A74F68"/>
    <w:rsid w:val="00A75CA4"/>
    <w:rsid w:val="00A77269"/>
    <w:rsid w:val="00A818D9"/>
    <w:rsid w:val="00A84BC8"/>
    <w:rsid w:val="00A8658E"/>
    <w:rsid w:val="00A912B8"/>
    <w:rsid w:val="00A922CE"/>
    <w:rsid w:val="00A92E3E"/>
    <w:rsid w:val="00A92EBD"/>
    <w:rsid w:val="00A93D7A"/>
    <w:rsid w:val="00AA059F"/>
    <w:rsid w:val="00AA5B53"/>
    <w:rsid w:val="00AA7D91"/>
    <w:rsid w:val="00AB1D8E"/>
    <w:rsid w:val="00AB24DD"/>
    <w:rsid w:val="00AB6521"/>
    <w:rsid w:val="00AC0598"/>
    <w:rsid w:val="00AC0E91"/>
    <w:rsid w:val="00AC178C"/>
    <w:rsid w:val="00AC224A"/>
    <w:rsid w:val="00AC7A15"/>
    <w:rsid w:val="00AD5059"/>
    <w:rsid w:val="00AD5961"/>
    <w:rsid w:val="00AD6842"/>
    <w:rsid w:val="00AE0915"/>
    <w:rsid w:val="00AF1AB8"/>
    <w:rsid w:val="00AF5419"/>
    <w:rsid w:val="00AF5619"/>
    <w:rsid w:val="00AF6ADA"/>
    <w:rsid w:val="00AF6F5A"/>
    <w:rsid w:val="00B013D9"/>
    <w:rsid w:val="00B0423A"/>
    <w:rsid w:val="00B05785"/>
    <w:rsid w:val="00B127E3"/>
    <w:rsid w:val="00B13662"/>
    <w:rsid w:val="00B16BE1"/>
    <w:rsid w:val="00B16CA4"/>
    <w:rsid w:val="00B2140C"/>
    <w:rsid w:val="00B2305A"/>
    <w:rsid w:val="00B246CB"/>
    <w:rsid w:val="00B253F7"/>
    <w:rsid w:val="00B30A0A"/>
    <w:rsid w:val="00B32D83"/>
    <w:rsid w:val="00B34614"/>
    <w:rsid w:val="00B36F83"/>
    <w:rsid w:val="00B3738F"/>
    <w:rsid w:val="00B375A1"/>
    <w:rsid w:val="00B3797A"/>
    <w:rsid w:val="00B42E0F"/>
    <w:rsid w:val="00B43033"/>
    <w:rsid w:val="00B43769"/>
    <w:rsid w:val="00B45A64"/>
    <w:rsid w:val="00B502C0"/>
    <w:rsid w:val="00B51B77"/>
    <w:rsid w:val="00B52DC8"/>
    <w:rsid w:val="00B55DE4"/>
    <w:rsid w:val="00B572B6"/>
    <w:rsid w:val="00B6014A"/>
    <w:rsid w:val="00B637C2"/>
    <w:rsid w:val="00B63FA4"/>
    <w:rsid w:val="00B65601"/>
    <w:rsid w:val="00B65765"/>
    <w:rsid w:val="00B659BE"/>
    <w:rsid w:val="00B70552"/>
    <w:rsid w:val="00B73423"/>
    <w:rsid w:val="00B73607"/>
    <w:rsid w:val="00B81DF9"/>
    <w:rsid w:val="00B821F6"/>
    <w:rsid w:val="00B86FA6"/>
    <w:rsid w:val="00B879F9"/>
    <w:rsid w:val="00B9159F"/>
    <w:rsid w:val="00B916AC"/>
    <w:rsid w:val="00BA3918"/>
    <w:rsid w:val="00BA3B6C"/>
    <w:rsid w:val="00BA7E22"/>
    <w:rsid w:val="00BB3997"/>
    <w:rsid w:val="00BB722F"/>
    <w:rsid w:val="00BC5F9F"/>
    <w:rsid w:val="00BC61A0"/>
    <w:rsid w:val="00BE130F"/>
    <w:rsid w:val="00BE17AC"/>
    <w:rsid w:val="00BE2E5B"/>
    <w:rsid w:val="00BE4799"/>
    <w:rsid w:val="00BE5043"/>
    <w:rsid w:val="00BE616C"/>
    <w:rsid w:val="00BE7CAD"/>
    <w:rsid w:val="00BF1B0C"/>
    <w:rsid w:val="00BF1C62"/>
    <w:rsid w:val="00BF4C4B"/>
    <w:rsid w:val="00BF5411"/>
    <w:rsid w:val="00BF58E5"/>
    <w:rsid w:val="00BF6C18"/>
    <w:rsid w:val="00C00757"/>
    <w:rsid w:val="00C01EDD"/>
    <w:rsid w:val="00C03703"/>
    <w:rsid w:val="00C05AAD"/>
    <w:rsid w:val="00C07008"/>
    <w:rsid w:val="00C14529"/>
    <w:rsid w:val="00C1546E"/>
    <w:rsid w:val="00C20CCD"/>
    <w:rsid w:val="00C20E63"/>
    <w:rsid w:val="00C22221"/>
    <w:rsid w:val="00C257AD"/>
    <w:rsid w:val="00C25AB9"/>
    <w:rsid w:val="00C31FDA"/>
    <w:rsid w:val="00C33C3A"/>
    <w:rsid w:val="00C4035B"/>
    <w:rsid w:val="00C406F2"/>
    <w:rsid w:val="00C45BCF"/>
    <w:rsid w:val="00C46281"/>
    <w:rsid w:val="00C53470"/>
    <w:rsid w:val="00C5500E"/>
    <w:rsid w:val="00C55A02"/>
    <w:rsid w:val="00C56B0E"/>
    <w:rsid w:val="00C5771B"/>
    <w:rsid w:val="00C60CC3"/>
    <w:rsid w:val="00C61443"/>
    <w:rsid w:val="00C63D0B"/>
    <w:rsid w:val="00C63FFF"/>
    <w:rsid w:val="00C64368"/>
    <w:rsid w:val="00C65469"/>
    <w:rsid w:val="00C704C8"/>
    <w:rsid w:val="00C7507B"/>
    <w:rsid w:val="00C752C4"/>
    <w:rsid w:val="00C76994"/>
    <w:rsid w:val="00C77DEF"/>
    <w:rsid w:val="00C8316E"/>
    <w:rsid w:val="00C839DD"/>
    <w:rsid w:val="00C85C26"/>
    <w:rsid w:val="00C86783"/>
    <w:rsid w:val="00C92053"/>
    <w:rsid w:val="00C925B4"/>
    <w:rsid w:val="00C926F8"/>
    <w:rsid w:val="00C9308A"/>
    <w:rsid w:val="00C944AF"/>
    <w:rsid w:val="00CA30FA"/>
    <w:rsid w:val="00CA325A"/>
    <w:rsid w:val="00CA493E"/>
    <w:rsid w:val="00CB252A"/>
    <w:rsid w:val="00CB25EE"/>
    <w:rsid w:val="00CB2677"/>
    <w:rsid w:val="00CB3449"/>
    <w:rsid w:val="00CB3773"/>
    <w:rsid w:val="00CB4183"/>
    <w:rsid w:val="00CB582A"/>
    <w:rsid w:val="00CC0004"/>
    <w:rsid w:val="00CC15C3"/>
    <w:rsid w:val="00CC2702"/>
    <w:rsid w:val="00CC4C35"/>
    <w:rsid w:val="00CC51A0"/>
    <w:rsid w:val="00CC52C3"/>
    <w:rsid w:val="00CC602F"/>
    <w:rsid w:val="00CD14F7"/>
    <w:rsid w:val="00CD1A1C"/>
    <w:rsid w:val="00CD3D1C"/>
    <w:rsid w:val="00CD3F61"/>
    <w:rsid w:val="00CD40AB"/>
    <w:rsid w:val="00CD4CB0"/>
    <w:rsid w:val="00CD658C"/>
    <w:rsid w:val="00CD7567"/>
    <w:rsid w:val="00CE085F"/>
    <w:rsid w:val="00CE0B5B"/>
    <w:rsid w:val="00CE0CC6"/>
    <w:rsid w:val="00CE289C"/>
    <w:rsid w:val="00CE3EC9"/>
    <w:rsid w:val="00CE4931"/>
    <w:rsid w:val="00CE6994"/>
    <w:rsid w:val="00CE7120"/>
    <w:rsid w:val="00CE7B36"/>
    <w:rsid w:val="00CE7F8C"/>
    <w:rsid w:val="00CF00A7"/>
    <w:rsid w:val="00CF0266"/>
    <w:rsid w:val="00CF0AF0"/>
    <w:rsid w:val="00CF0CA4"/>
    <w:rsid w:val="00CF1B2E"/>
    <w:rsid w:val="00CF4F4B"/>
    <w:rsid w:val="00CF6018"/>
    <w:rsid w:val="00CF6F79"/>
    <w:rsid w:val="00D02033"/>
    <w:rsid w:val="00D02F1D"/>
    <w:rsid w:val="00D050F9"/>
    <w:rsid w:val="00D0652F"/>
    <w:rsid w:val="00D14BC4"/>
    <w:rsid w:val="00D23646"/>
    <w:rsid w:val="00D252AF"/>
    <w:rsid w:val="00D25B59"/>
    <w:rsid w:val="00D25D2F"/>
    <w:rsid w:val="00D26B10"/>
    <w:rsid w:val="00D34176"/>
    <w:rsid w:val="00D36A51"/>
    <w:rsid w:val="00D37922"/>
    <w:rsid w:val="00D40597"/>
    <w:rsid w:val="00D4310E"/>
    <w:rsid w:val="00D45169"/>
    <w:rsid w:val="00D45868"/>
    <w:rsid w:val="00D46039"/>
    <w:rsid w:val="00D47049"/>
    <w:rsid w:val="00D47BD6"/>
    <w:rsid w:val="00D515C0"/>
    <w:rsid w:val="00D51E7E"/>
    <w:rsid w:val="00D543CA"/>
    <w:rsid w:val="00D54F04"/>
    <w:rsid w:val="00D55D3A"/>
    <w:rsid w:val="00D56165"/>
    <w:rsid w:val="00D56A51"/>
    <w:rsid w:val="00D6675D"/>
    <w:rsid w:val="00D67923"/>
    <w:rsid w:val="00D716B9"/>
    <w:rsid w:val="00D71A71"/>
    <w:rsid w:val="00D72A2A"/>
    <w:rsid w:val="00D75CDD"/>
    <w:rsid w:val="00D85756"/>
    <w:rsid w:val="00D92BD6"/>
    <w:rsid w:val="00D97340"/>
    <w:rsid w:val="00DA3303"/>
    <w:rsid w:val="00DB4521"/>
    <w:rsid w:val="00DB6401"/>
    <w:rsid w:val="00DC0326"/>
    <w:rsid w:val="00DC0434"/>
    <w:rsid w:val="00DC08AA"/>
    <w:rsid w:val="00DC1D86"/>
    <w:rsid w:val="00DC4DCF"/>
    <w:rsid w:val="00DC6A52"/>
    <w:rsid w:val="00DC6F17"/>
    <w:rsid w:val="00DD24F5"/>
    <w:rsid w:val="00DD403E"/>
    <w:rsid w:val="00DD5CDC"/>
    <w:rsid w:val="00DD7175"/>
    <w:rsid w:val="00DD77E3"/>
    <w:rsid w:val="00DE174E"/>
    <w:rsid w:val="00DE5DBD"/>
    <w:rsid w:val="00DE5DFD"/>
    <w:rsid w:val="00DE6F86"/>
    <w:rsid w:val="00DE7B3F"/>
    <w:rsid w:val="00DF1A6A"/>
    <w:rsid w:val="00DF24D6"/>
    <w:rsid w:val="00DF3DBB"/>
    <w:rsid w:val="00DF6C3E"/>
    <w:rsid w:val="00DF738A"/>
    <w:rsid w:val="00E043C7"/>
    <w:rsid w:val="00E046F3"/>
    <w:rsid w:val="00E07B1F"/>
    <w:rsid w:val="00E10D85"/>
    <w:rsid w:val="00E10EBA"/>
    <w:rsid w:val="00E113A1"/>
    <w:rsid w:val="00E12979"/>
    <w:rsid w:val="00E12F58"/>
    <w:rsid w:val="00E1367C"/>
    <w:rsid w:val="00E166E2"/>
    <w:rsid w:val="00E16F2F"/>
    <w:rsid w:val="00E175B3"/>
    <w:rsid w:val="00E21956"/>
    <w:rsid w:val="00E221A1"/>
    <w:rsid w:val="00E23ED0"/>
    <w:rsid w:val="00E26610"/>
    <w:rsid w:val="00E34C5D"/>
    <w:rsid w:val="00E34DF8"/>
    <w:rsid w:val="00E360D9"/>
    <w:rsid w:val="00E41308"/>
    <w:rsid w:val="00E43777"/>
    <w:rsid w:val="00E45EB6"/>
    <w:rsid w:val="00E50308"/>
    <w:rsid w:val="00E506C6"/>
    <w:rsid w:val="00E50CB9"/>
    <w:rsid w:val="00E52DA6"/>
    <w:rsid w:val="00E52DAF"/>
    <w:rsid w:val="00E548A4"/>
    <w:rsid w:val="00E57D10"/>
    <w:rsid w:val="00E641BF"/>
    <w:rsid w:val="00E64B9A"/>
    <w:rsid w:val="00E74A45"/>
    <w:rsid w:val="00E80855"/>
    <w:rsid w:val="00E81AB2"/>
    <w:rsid w:val="00E86C3F"/>
    <w:rsid w:val="00E903B6"/>
    <w:rsid w:val="00E90AEA"/>
    <w:rsid w:val="00E90DB0"/>
    <w:rsid w:val="00E91B97"/>
    <w:rsid w:val="00E91D41"/>
    <w:rsid w:val="00E92A30"/>
    <w:rsid w:val="00E933FC"/>
    <w:rsid w:val="00E93A98"/>
    <w:rsid w:val="00E93BED"/>
    <w:rsid w:val="00E963BD"/>
    <w:rsid w:val="00E96DCA"/>
    <w:rsid w:val="00E97B7C"/>
    <w:rsid w:val="00E97ED0"/>
    <w:rsid w:val="00EA1AC2"/>
    <w:rsid w:val="00EA23E4"/>
    <w:rsid w:val="00EA2A7D"/>
    <w:rsid w:val="00EA3F99"/>
    <w:rsid w:val="00EA69ED"/>
    <w:rsid w:val="00EA7DDC"/>
    <w:rsid w:val="00EB1CBD"/>
    <w:rsid w:val="00EB2925"/>
    <w:rsid w:val="00EB37F0"/>
    <w:rsid w:val="00EB3B8D"/>
    <w:rsid w:val="00EB43CD"/>
    <w:rsid w:val="00EB61E3"/>
    <w:rsid w:val="00EB7D6A"/>
    <w:rsid w:val="00EC0D27"/>
    <w:rsid w:val="00EC1B8D"/>
    <w:rsid w:val="00EC1DB7"/>
    <w:rsid w:val="00EC2737"/>
    <w:rsid w:val="00EC2E9E"/>
    <w:rsid w:val="00EC422C"/>
    <w:rsid w:val="00EC69D0"/>
    <w:rsid w:val="00EC6F6F"/>
    <w:rsid w:val="00ED05FC"/>
    <w:rsid w:val="00ED7673"/>
    <w:rsid w:val="00EE0971"/>
    <w:rsid w:val="00EE1033"/>
    <w:rsid w:val="00EE2DA9"/>
    <w:rsid w:val="00EE384E"/>
    <w:rsid w:val="00EE42ED"/>
    <w:rsid w:val="00EE5FC1"/>
    <w:rsid w:val="00EE6381"/>
    <w:rsid w:val="00EF14F9"/>
    <w:rsid w:val="00EF4AE9"/>
    <w:rsid w:val="00EF5F44"/>
    <w:rsid w:val="00F00D3B"/>
    <w:rsid w:val="00F00DE1"/>
    <w:rsid w:val="00F01FB3"/>
    <w:rsid w:val="00F06A0B"/>
    <w:rsid w:val="00F10205"/>
    <w:rsid w:val="00F10DBB"/>
    <w:rsid w:val="00F125AD"/>
    <w:rsid w:val="00F15858"/>
    <w:rsid w:val="00F16C81"/>
    <w:rsid w:val="00F23A94"/>
    <w:rsid w:val="00F24FED"/>
    <w:rsid w:val="00F27434"/>
    <w:rsid w:val="00F34C75"/>
    <w:rsid w:val="00F403AC"/>
    <w:rsid w:val="00F4604F"/>
    <w:rsid w:val="00F5045A"/>
    <w:rsid w:val="00F52B3E"/>
    <w:rsid w:val="00F53AFF"/>
    <w:rsid w:val="00F576A0"/>
    <w:rsid w:val="00F57AC3"/>
    <w:rsid w:val="00F57B0F"/>
    <w:rsid w:val="00F60718"/>
    <w:rsid w:val="00F6599A"/>
    <w:rsid w:val="00F659B6"/>
    <w:rsid w:val="00F65A7E"/>
    <w:rsid w:val="00F66348"/>
    <w:rsid w:val="00F75198"/>
    <w:rsid w:val="00F751B6"/>
    <w:rsid w:val="00F77992"/>
    <w:rsid w:val="00F77EA6"/>
    <w:rsid w:val="00F828F0"/>
    <w:rsid w:val="00F8387A"/>
    <w:rsid w:val="00F83E4C"/>
    <w:rsid w:val="00F84C25"/>
    <w:rsid w:val="00F91262"/>
    <w:rsid w:val="00F918BE"/>
    <w:rsid w:val="00F94303"/>
    <w:rsid w:val="00F956A7"/>
    <w:rsid w:val="00F95A98"/>
    <w:rsid w:val="00F9689F"/>
    <w:rsid w:val="00F974EC"/>
    <w:rsid w:val="00F974FC"/>
    <w:rsid w:val="00F97BBC"/>
    <w:rsid w:val="00FA3833"/>
    <w:rsid w:val="00FA7006"/>
    <w:rsid w:val="00FA7727"/>
    <w:rsid w:val="00FA7B96"/>
    <w:rsid w:val="00FB3A03"/>
    <w:rsid w:val="00FB48DE"/>
    <w:rsid w:val="00FC2761"/>
    <w:rsid w:val="00FC4C83"/>
    <w:rsid w:val="00FC6949"/>
    <w:rsid w:val="00FD0402"/>
    <w:rsid w:val="00FD17E7"/>
    <w:rsid w:val="00FD1B6F"/>
    <w:rsid w:val="00FD1D05"/>
    <w:rsid w:val="00FD45BE"/>
    <w:rsid w:val="00FE00CE"/>
    <w:rsid w:val="00FE0903"/>
    <w:rsid w:val="00FE0A79"/>
    <w:rsid w:val="00FE0F58"/>
    <w:rsid w:val="00FE3797"/>
    <w:rsid w:val="00FE5E3B"/>
    <w:rsid w:val="00FE7D57"/>
    <w:rsid w:val="00FF052C"/>
    <w:rsid w:val="00FF1DBA"/>
    <w:rsid w:val="00FF3253"/>
    <w:rsid w:val="00FF52DC"/>
    <w:rsid w:val="FF5D4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2"/>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widowControl w:val="0"/>
    </w:pPr>
    <w:rPr>
      <w:rFonts w:eastAsia="宋体"/>
      <w:kern w:val="2"/>
      <w:sz w:val="21"/>
      <w:szCs w:val="24"/>
    </w:r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pPr>
      <w:widowControl/>
    </w:pPr>
    <w:rPr>
      <w:rFonts w:eastAsiaTheme="minorEastAsia"/>
      <w:b/>
      <w:bCs/>
      <w:kern w:val="0"/>
      <w:sz w:val="22"/>
      <w:szCs w:val="22"/>
    </w:rPr>
  </w:style>
  <w:style w:type="character" w:styleId="9">
    <w:name w:val="annotation reference"/>
    <w:semiHidden/>
    <w:unhideWhenUsed/>
    <w:qFormat/>
    <w:uiPriority w:val="99"/>
    <w:rPr>
      <w:sz w:val="21"/>
      <w:szCs w:val="21"/>
    </w:rPr>
  </w:style>
  <w:style w:type="paragraph" w:styleId="10">
    <w:name w:val="List Paragraph"/>
    <w:basedOn w:val="1"/>
    <w:qFormat/>
    <w:uiPriority w:val="34"/>
    <w:pPr>
      <w:widowControl w:val="0"/>
      <w:ind w:firstLine="420" w:firstLineChars="200"/>
      <w:jc w:val="both"/>
    </w:pPr>
    <w:rPr>
      <w:rFonts w:asciiTheme="minorHAnsi" w:hAnsiTheme="minorHAnsi" w:cstheme="minorBidi"/>
      <w:kern w:val="2"/>
      <w:sz w:val="21"/>
    </w:r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character" w:customStyle="1" w:styleId="13">
    <w:name w:val="批注文字 Char"/>
    <w:basedOn w:val="8"/>
    <w:link w:val="2"/>
    <w:qFormat/>
    <w:uiPriority w:val="99"/>
    <w:rPr>
      <w:rFonts w:eastAsia="宋体"/>
      <w:kern w:val="2"/>
      <w:sz w:val="21"/>
      <w:szCs w:val="24"/>
    </w:rPr>
  </w:style>
  <w:style w:type="character" w:customStyle="1" w:styleId="14">
    <w:name w:val="批注框文本 Char"/>
    <w:basedOn w:val="8"/>
    <w:link w:val="3"/>
    <w:semiHidden/>
    <w:qFormat/>
    <w:uiPriority w:val="99"/>
    <w:rPr>
      <w:sz w:val="18"/>
      <w:szCs w:val="18"/>
    </w:rPr>
  </w:style>
  <w:style w:type="character" w:customStyle="1" w:styleId="15">
    <w:name w:val="批注主题 Char"/>
    <w:basedOn w:val="13"/>
    <w:link w:val="6"/>
    <w:semiHidden/>
    <w:qFormat/>
    <w:uiPriority w:val="99"/>
    <w:rPr>
      <w:rFonts w:eastAsia="宋体"/>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4380</Words>
  <Characters>4390</Characters>
  <Lines>31</Lines>
  <Paragraphs>8</Paragraphs>
  <TotalTime>2601</TotalTime>
  <ScaleCrop>false</ScaleCrop>
  <LinksUpToDate>false</LinksUpToDate>
  <CharactersWithSpaces>4423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2018-05-24T19:36:00Z</dcterms:created>
  <dc:creator>neeq</dc:creator>
  <cp:lastModifiedBy>shejx</cp:lastModifiedBy>
  <cp:lastPrinted>2018-08-29T15:30:00Z</cp:lastPrinted>
  <dcterms:modified xsi:type="dcterms:W3CDTF">2024-09-25T18:04:28Z</dcterms:modified>
  <cp:revision>1199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