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640"/>
        <w:rPr>
          <w:rFonts w:hint="eastAsia"/>
        </w:rPr>
      </w:pPr>
    </w:p>
    <w:p>
      <w:pPr>
        <w:spacing w:line="600" w:lineRule="exact"/>
        <w:contextualSpacing/>
        <w:jc w:val="center"/>
        <w:outlineLvl w:val="0"/>
        <w:rPr>
          <w:rFonts w:ascii="Times New Roman" w:hAnsi="Times New Roman" w:eastAsia="方正大标宋简体"/>
          <w:sz w:val="44"/>
          <w:szCs w:val="44"/>
        </w:rPr>
      </w:pPr>
      <w:r>
        <w:rPr>
          <w:rFonts w:ascii="Times New Roman" w:hAnsi="Times New Roman" w:eastAsia="方正大标宋简体"/>
          <w:sz w:val="44"/>
          <w:szCs w:val="44"/>
        </w:rPr>
        <w:t>全国中小企业股份转让系统</w:t>
      </w:r>
      <w:r>
        <w:rPr>
          <w:rFonts w:hint="eastAsia" w:ascii="Times New Roman" w:hAnsi="Times New Roman" w:eastAsia="方正大标宋简体"/>
          <w:sz w:val="44"/>
          <w:szCs w:val="44"/>
        </w:rPr>
        <w:t>股票</w:t>
      </w:r>
      <w:r>
        <w:rPr>
          <w:rFonts w:ascii="Times New Roman" w:hAnsi="Times New Roman" w:eastAsia="方正大标宋简体"/>
          <w:sz w:val="44"/>
          <w:szCs w:val="44"/>
        </w:rPr>
        <w:t>挂牌发行</w:t>
      </w:r>
    </w:p>
    <w:p>
      <w:pPr>
        <w:spacing w:line="600" w:lineRule="exact"/>
        <w:contextualSpacing/>
        <w:jc w:val="center"/>
        <w:outlineLvl w:val="0"/>
        <w:rPr>
          <w:rFonts w:ascii="Times New Roman" w:hAnsi="Times New Roman" w:eastAsia="仿宋" w:cs="Times New Roman"/>
          <w:color w:val="000000"/>
          <w:sz w:val="32"/>
        </w:rPr>
      </w:pPr>
      <w:r>
        <w:rPr>
          <w:rFonts w:ascii="Times New Roman" w:hAnsi="Times New Roman" w:eastAsia="方正大标宋简体"/>
          <w:sz w:val="44"/>
          <w:szCs w:val="44"/>
        </w:rPr>
        <w:t>业务咨询沟通指南</w:t>
      </w:r>
    </w:p>
    <w:p>
      <w:pPr>
        <w:pStyle w:val="3"/>
        <w:keepNext w:val="0"/>
        <w:keepLines w:val="0"/>
        <w:suppressAutoHyphens w:val="0"/>
        <w:spacing w:before="240" w:after="240" w:line="600" w:lineRule="exact"/>
        <w:ind w:left="0" w:firstLine="0"/>
        <w:jc w:val="center"/>
        <w:rPr>
          <w:rFonts w:ascii="Times New Roman" w:hAnsi="Times New Roman" w:eastAsia="黑体" w:cstheme="minorBidi"/>
          <w:b w:val="0"/>
          <w:bCs w:val="0"/>
          <w:kern w:val="2"/>
          <w:sz w:val="32"/>
          <w:szCs w:val="22"/>
        </w:rPr>
      </w:pPr>
      <w:bookmarkStart w:id="0" w:name="_Toc87032685"/>
      <w:bookmarkStart w:id="1" w:name="_Toc84451797"/>
      <w:r>
        <w:rPr>
          <w:rFonts w:hint="eastAsia" w:ascii="Times New Roman" w:hAnsi="Times New Roman" w:eastAsia="黑体" w:cstheme="minorBidi"/>
          <w:b w:val="0"/>
          <w:bCs w:val="0"/>
          <w:kern w:val="2"/>
          <w:sz w:val="32"/>
          <w:szCs w:val="22"/>
        </w:rPr>
        <w:t>总  则</w:t>
      </w:r>
      <w:bookmarkEnd w:id="0"/>
      <w:bookmarkEnd w:id="1"/>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第一条</w:t>
      </w:r>
      <w:r>
        <w:rPr>
          <w:rFonts w:hint="eastAsia" w:ascii="Times New Roman" w:hAnsi="Times New Roman" w:eastAsia="仿宋" w:cs="Times New Roman"/>
          <w:b/>
          <w:bCs/>
          <w:color w:val="000000"/>
          <w:sz w:val="32"/>
        </w:rPr>
        <w:t xml:space="preserve"> </w:t>
      </w:r>
      <w:r>
        <w:rPr>
          <w:rFonts w:ascii="Times New Roman" w:hAnsi="Times New Roman" w:eastAsia="仿宋" w:cs="Times New Roman"/>
          <w:color w:val="000000"/>
          <w:sz w:val="32"/>
        </w:rPr>
        <w:t>为了规范全国中小企业股份转让系统有限责任公司（以下简称全国股转公司）挂牌发行相关业务咨询沟通，</w:t>
      </w:r>
      <w:r>
        <w:rPr>
          <w:rFonts w:hint="eastAsia" w:ascii="Times New Roman" w:hAnsi="Times New Roman" w:eastAsia="仿宋" w:cs="Times New Roman"/>
          <w:color w:val="000000"/>
          <w:sz w:val="32"/>
        </w:rPr>
        <w:t>及时解决重大疑难问题，进一步</w:t>
      </w:r>
      <w:r>
        <w:rPr>
          <w:rFonts w:ascii="Times New Roman" w:hAnsi="Times New Roman" w:eastAsia="仿宋" w:cs="Times New Roman"/>
          <w:color w:val="000000"/>
          <w:sz w:val="32"/>
        </w:rPr>
        <w:t>提高申报与审核质效，根据《全国中小企业股份转让系统股票挂</w:t>
      </w:r>
      <w:bookmarkStart w:id="2" w:name="_GoBack"/>
      <w:bookmarkEnd w:id="2"/>
      <w:r>
        <w:rPr>
          <w:rFonts w:ascii="Times New Roman" w:hAnsi="Times New Roman" w:eastAsia="仿宋" w:cs="Times New Roman"/>
          <w:color w:val="000000"/>
          <w:sz w:val="32"/>
        </w:rPr>
        <w:t>牌规则》《全国中小企业股份转让系统股票定向发行规则》</w:t>
      </w:r>
      <w:r>
        <w:rPr>
          <w:rFonts w:hint="eastAsia" w:ascii="Times New Roman" w:hAnsi="Times New Roman" w:eastAsia="仿宋" w:cs="Times New Roman"/>
          <w:color w:val="000000"/>
          <w:sz w:val="32"/>
        </w:rPr>
        <w:t>《全国中小企业股份转让系统非上市公众公司重大资产重组业务细则》</w:t>
      </w:r>
      <w:r>
        <w:rPr>
          <w:rFonts w:ascii="Times New Roman" w:hAnsi="Times New Roman" w:eastAsia="仿宋" w:cs="Times New Roman"/>
          <w:color w:val="000000"/>
          <w:sz w:val="32"/>
        </w:rPr>
        <w:t>等有关规定，制定本指南。</w:t>
      </w:r>
    </w:p>
    <w:p>
      <w:pPr>
        <w:pStyle w:val="30"/>
        <w:adjustRightInd w:val="0"/>
        <w:spacing w:line="600" w:lineRule="exact"/>
        <w:ind w:firstLine="640"/>
        <w:contextualSpacing/>
        <w:outlineLvl w:val="1"/>
        <w:rPr>
          <w:rFonts w:ascii="Times New Roman" w:hAnsi="Times New Roman" w:eastAsia="仿宋" w:cs="Times New Roman"/>
          <w:b/>
          <w:bCs/>
          <w:color w:val="000000"/>
          <w:sz w:val="32"/>
        </w:rPr>
      </w:pPr>
      <w:r>
        <w:rPr>
          <w:rFonts w:hint="eastAsia" w:ascii="仿宋" w:hAnsi="仿宋" w:eastAsia="黑体" w:cs="Times New Roman"/>
          <w:sz w:val="32"/>
          <w:szCs w:val="32"/>
        </w:rPr>
        <w:t xml:space="preserve">第二条 </w:t>
      </w:r>
      <w:r>
        <w:rPr>
          <w:rFonts w:ascii="Times New Roman" w:hAnsi="Times New Roman" w:eastAsia="仿宋" w:cs="Times New Roman"/>
          <w:color w:val="000000"/>
          <w:sz w:val="32"/>
        </w:rPr>
        <w:t>本指南适用于申请挂牌公司、挂牌公司（以下</w:t>
      </w:r>
      <w:r>
        <w:rPr>
          <w:rFonts w:hint="eastAsia" w:ascii="Times New Roman" w:hAnsi="Times New Roman" w:eastAsia="仿宋" w:cs="Times New Roman"/>
          <w:color w:val="000000"/>
          <w:sz w:val="32"/>
        </w:rPr>
        <w:t>合</w:t>
      </w:r>
      <w:r>
        <w:rPr>
          <w:rFonts w:ascii="Times New Roman" w:hAnsi="Times New Roman" w:eastAsia="仿宋" w:cs="Times New Roman"/>
          <w:color w:val="000000"/>
          <w:sz w:val="32"/>
        </w:rPr>
        <w:t>称申请人），以及主办券商、独立财务顾问、证券服务机构（以下</w:t>
      </w:r>
      <w:r>
        <w:rPr>
          <w:rFonts w:hint="eastAsia" w:ascii="Times New Roman" w:hAnsi="Times New Roman" w:eastAsia="仿宋" w:cs="Times New Roman"/>
          <w:color w:val="000000"/>
          <w:sz w:val="32"/>
        </w:rPr>
        <w:t>合</w:t>
      </w:r>
      <w:r>
        <w:rPr>
          <w:rFonts w:ascii="Times New Roman" w:hAnsi="Times New Roman" w:eastAsia="仿宋" w:cs="Times New Roman"/>
          <w:color w:val="000000"/>
          <w:sz w:val="32"/>
        </w:rPr>
        <w:t>称中介机构）在项目申报前和审核过程中与全国股转公司进行的咨询沟通。</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第三条 </w:t>
      </w:r>
      <w:r>
        <w:rPr>
          <w:rFonts w:hint="eastAsia" w:ascii="Times New Roman" w:hAnsi="Times New Roman" w:eastAsia="仿宋" w:cs="Times New Roman"/>
          <w:color w:val="000000"/>
          <w:sz w:val="32"/>
        </w:rPr>
        <w:t>中介机构应当对咨询沟通问题深入分析，履行内部相关程序，做到事实清楚、逻辑清晰并审慎判断。</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第四条 </w:t>
      </w:r>
      <w:r>
        <w:rPr>
          <w:rFonts w:hint="eastAsia" w:ascii="Times New Roman" w:hAnsi="Times New Roman" w:eastAsia="仿宋" w:cs="Times New Roman"/>
          <w:color w:val="000000"/>
          <w:sz w:val="32"/>
        </w:rPr>
        <w:t>全国股转公司应当对咨询沟通问题及时进行分析研究，提出明确的意见和建议，提高咨询沟通质效。</w:t>
      </w:r>
    </w:p>
    <w:p>
      <w:pPr>
        <w:pStyle w:val="30"/>
        <w:adjustRightInd w:val="0"/>
        <w:spacing w:line="600" w:lineRule="exact"/>
        <w:ind w:firstLine="640"/>
        <w:contextualSpacing/>
        <w:outlineLvl w:val="1"/>
        <w:rPr>
          <w:rFonts w:ascii="Times New Roman" w:hAnsi="Times New Roman" w:eastAsia="仿宋" w:cs="Times New Roman"/>
          <w:b/>
          <w:bCs/>
          <w:color w:val="000000"/>
          <w:sz w:val="32"/>
        </w:rPr>
      </w:pPr>
      <w:r>
        <w:rPr>
          <w:rFonts w:hint="eastAsia" w:ascii="仿宋" w:hAnsi="仿宋" w:eastAsia="黑体" w:cs="Times New Roman"/>
          <w:sz w:val="32"/>
          <w:szCs w:val="32"/>
        </w:rPr>
        <w:t xml:space="preserve">第五条 </w:t>
      </w:r>
      <w:r>
        <w:rPr>
          <w:rFonts w:ascii="Times New Roman" w:hAnsi="Times New Roman" w:eastAsia="仿宋" w:cs="Times New Roman"/>
          <w:color w:val="000000"/>
          <w:sz w:val="32"/>
        </w:rPr>
        <w:t>全国股转公司咨询沟通</w:t>
      </w:r>
      <w:r>
        <w:rPr>
          <w:rFonts w:hint="eastAsia" w:ascii="Times New Roman" w:hAnsi="Times New Roman" w:eastAsia="仿宋" w:cs="Times New Roman"/>
          <w:color w:val="000000"/>
          <w:sz w:val="32"/>
        </w:rPr>
        <w:t>的相关内容</w:t>
      </w:r>
      <w:r>
        <w:rPr>
          <w:rFonts w:ascii="Times New Roman" w:hAnsi="Times New Roman" w:eastAsia="仿宋" w:cs="Times New Roman"/>
          <w:color w:val="000000"/>
          <w:sz w:val="32"/>
        </w:rPr>
        <w:t>不表明对申请人相关事项做出实质性判断或保证，申请人及中介机构不得将咨询沟通</w:t>
      </w:r>
      <w:r>
        <w:rPr>
          <w:rFonts w:hint="eastAsia" w:ascii="Times New Roman" w:hAnsi="Times New Roman" w:eastAsia="仿宋" w:cs="Times New Roman"/>
          <w:color w:val="000000"/>
          <w:sz w:val="32"/>
        </w:rPr>
        <w:t>内容</w:t>
      </w:r>
      <w:r>
        <w:rPr>
          <w:rFonts w:ascii="Times New Roman" w:hAnsi="Times New Roman" w:eastAsia="仿宋" w:cs="Times New Roman"/>
          <w:color w:val="000000"/>
          <w:sz w:val="32"/>
        </w:rPr>
        <w:t>作为判断能否通过审核的依据。</w:t>
      </w:r>
    </w:p>
    <w:p>
      <w:pPr>
        <w:pStyle w:val="3"/>
        <w:keepNext w:val="0"/>
        <w:keepLines w:val="0"/>
        <w:suppressAutoHyphens w:val="0"/>
        <w:spacing w:before="240" w:after="240" w:line="600" w:lineRule="exact"/>
        <w:ind w:left="720" w:hanging="720" w:hangingChars="225"/>
        <w:jc w:val="center"/>
        <w:rPr>
          <w:rFonts w:ascii="Times New Roman" w:hAnsi="Times New Roman" w:eastAsia="仿宋"/>
          <w:color w:val="000000"/>
          <w:sz w:val="32"/>
        </w:rPr>
      </w:pPr>
      <w:r>
        <w:rPr>
          <w:rFonts w:hint="eastAsia" w:ascii="Times New Roman" w:hAnsi="Times New Roman" w:eastAsia="黑体"/>
          <w:b w:val="0"/>
          <w:sz w:val="32"/>
          <w:szCs w:val="32"/>
        </w:rPr>
        <w:t>咨询沟通的申请和答复</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第六条 </w:t>
      </w:r>
      <w:r>
        <w:rPr>
          <w:rFonts w:hint="eastAsia" w:ascii="Times New Roman" w:hAnsi="Times New Roman" w:eastAsia="仿宋" w:cs="Times New Roman"/>
          <w:color w:val="000000"/>
          <w:sz w:val="32"/>
        </w:rPr>
        <w:t>申请人及中介机构在提交公开转让并挂牌、定向发行申请文件前，或申请人股票因筹划重大资产重组停牌后至提交申请文件前，对于重大疑难、无先例事项等涉及全国股转公司规则理解和适用问题，可以向全国股转公司咨询沟通。</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申请人及中介机构在公开转让并挂牌首轮审核问询发出后，或在定向发行、重大资产重组项目受理后，对项目审核事项存在疑问的，可以与全国股转公司进行咨询沟通。</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申请人公开转让并挂牌申请文件受理后至首轮审核问询发出前，以及申请人股票因筹划重大资产重组停牌前，全国股转公司不接受与该项目相关的咨询沟通。</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第七条 </w:t>
      </w:r>
      <w:r>
        <w:rPr>
          <w:rFonts w:hint="eastAsia" w:ascii="Times New Roman" w:hAnsi="Times New Roman" w:eastAsia="仿宋" w:cs="Times New Roman"/>
          <w:color w:val="000000"/>
          <w:sz w:val="32"/>
        </w:rPr>
        <w:t>项目申报前咨询沟通的问题主要包括：</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（一）涉及公开转让并挂牌、定向发行、重大资产重组相关要求，按照现有规则难以做出判断的重大问题；</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（二）项目审核中尚未有案例支持的重大无先例事项；</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（三）涉及行业产业政策、市场定位等审核标准适用的相关问题；</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（四）确需咨询沟通的其他问题。</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在审项目咨询沟通的问题主要包括：</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（一）对审核问询问题存在疑问，需要进一步明确的；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（二）在审期间发生新情况，可能导致申请人不符合挂牌条件、定向发行要求或重大资产重组要求的；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（三）其他需要沟通的重大疑难事项</w:t>
      </w:r>
      <w:r>
        <w:rPr>
          <w:rFonts w:ascii="Times New Roman" w:hAnsi="Times New Roman" w:eastAsia="仿宋" w:cs="Times New Roman"/>
          <w:color w:val="000000"/>
          <w:sz w:val="32"/>
        </w:rPr>
        <w:t>。</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需要咨询沟通多个问题的，原则上应当一次性提出。</w:t>
      </w:r>
    </w:p>
    <w:p>
      <w:pPr>
        <w:pStyle w:val="30"/>
        <w:adjustRightInd w:val="0"/>
        <w:spacing w:line="600" w:lineRule="exact"/>
        <w:ind w:firstLine="640"/>
        <w:contextualSpacing/>
        <w:outlineLvl w:val="1"/>
        <w:rPr>
          <w:rFonts w:ascii="Times New Roman" w:hAnsi="Times New Roman" w:eastAsia="仿宋" w:cs="Times New Roman"/>
          <w:b/>
          <w:bCs/>
          <w:color w:val="000000"/>
          <w:sz w:val="32"/>
        </w:rPr>
      </w:pPr>
      <w:r>
        <w:rPr>
          <w:rFonts w:hint="eastAsia" w:ascii="仿宋" w:hAnsi="仿宋" w:eastAsia="黑体" w:cs="Times New Roman"/>
          <w:sz w:val="32"/>
          <w:szCs w:val="32"/>
        </w:rPr>
        <w:t xml:space="preserve">第八条 </w:t>
      </w:r>
      <w:r>
        <w:rPr>
          <w:rFonts w:hint="eastAsia" w:ascii="Times New Roman" w:hAnsi="Times New Roman" w:eastAsia="仿宋" w:cs="Times New Roman"/>
          <w:color w:val="000000"/>
          <w:sz w:val="32"/>
        </w:rPr>
        <w:t>存在下列情形之一的，不属于咨询沟通事项范围，全国股转公司对咨询沟通申请予以退回：</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（一）无实质咨询沟通内容，属于礼节性拜访的；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（二）了解审核具体进度或安排、内部会议讨论内容以及能否通过等情况的；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（三）属于中介机构应当自行核查把关的问题；</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（四）未按照本指南要求提交咨询沟通材料的；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（五）多次沟通且相关事实情况较前次沟通无明显变化的；</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（六）不适合咨询沟通的其他情形。</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第九条 </w:t>
      </w:r>
      <w:r>
        <w:rPr>
          <w:rFonts w:hint="eastAsia" w:ascii="Times New Roman" w:hAnsi="Times New Roman" w:eastAsia="仿宋" w:cs="Times New Roman"/>
          <w:color w:val="000000"/>
          <w:sz w:val="32"/>
        </w:rPr>
        <w:t>咨询沟通方式包括电话沟通、书面沟通以及视频、现场等当面沟通方式。</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申请人及中介机构拟电话咨询沟通的，在项目申报前通过全国股转公司官网公布的咨询电话进行，在审项目通过审核系统预留的工作人员联系方式进行。申请人及中介机构拟书面咨询沟通的，通过全国股转公司挂牌审核咨询邮箱（gpshzx@neeq.com.cn）进行。问题复杂、确需当面咨询沟通的，申请人及中介机构可以通过咨询邮箱预约，当面咨询沟通在全国股转公司指定的平台或区域进行。</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第十条 </w:t>
      </w:r>
      <w:r>
        <w:rPr>
          <w:rFonts w:hint="eastAsia" w:ascii="Times New Roman" w:hAnsi="Times New Roman" w:eastAsia="仿宋" w:cs="Times New Roman"/>
          <w:color w:val="000000"/>
          <w:sz w:val="32"/>
        </w:rPr>
        <w:t>申请人及中介机构进行电话咨询沟通，问题清晰简单的，全国股转公司工作人员原则上应当通过电话及时答复。</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咨询问题重大复杂、不能直接答复的，全国股转公司工作人员可以履行内部程序后通过电话答复，或商定进行书面或当面咨询沟通。</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第十一条 </w:t>
      </w:r>
      <w:r>
        <w:rPr>
          <w:rFonts w:hint="eastAsia" w:ascii="Times New Roman" w:hAnsi="Times New Roman" w:eastAsia="仿宋" w:cs="Times New Roman"/>
          <w:color w:val="000000"/>
          <w:sz w:val="32"/>
        </w:rPr>
        <w:t>申请人及中介机构进行书面或当面咨询沟通，应当按照要求通过咨询邮箱提交咨询沟通材料（格式见附件）。</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除自办发行外，主办券商、独立财务顾问应当对咨询沟通适用范围、咨询沟通内容、咨询沟通材料质量予以把关，履行质控等内部控制程序，形成初步判断意见。咨询沟通材料应当由申请人或主办券商、独立财务顾问加盖公章。</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咨询沟通材料包含涉密信息的，应当按照相关要求进行脱密处理。</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第十二条 </w:t>
      </w:r>
      <w:r>
        <w:rPr>
          <w:rFonts w:hint="eastAsia" w:ascii="Times New Roman" w:hAnsi="Times New Roman" w:eastAsia="仿宋" w:cs="Times New Roman"/>
          <w:color w:val="000000"/>
          <w:sz w:val="32"/>
        </w:rPr>
        <w:t>全国股转公司应当安排至少两名工作人员参加当面沟通，申请人及中介机构应当安排熟悉项目情况、具有相关决策权限的人员参加当面沟通。</w:t>
      </w:r>
    </w:p>
    <w:p>
      <w:pPr>
        <w:pStyle w:val="30"/>
        <w:adjustRightInd w:val="0"/>
        <w:spacing w:line="600" w:lineRule="exact"/>
        <w:ind w:firstLine="640"/>
        <w:contextualSpacing/>
        <w:outlineLvl w:val="1"/>
        <w:rPr>
          <w:rFonts w:ascii="Times New Roman" w:hAnsi="Times New Roman" w:eastAsia="仿宋" w:cs="Times New Roman"/>
          <w:b/>
          <w:bCs/>
          <w:color w:val="000000"/>
          <w:sz w:val="32"/>
        </w:rPr>
      </w:pPr>
      <w:r>
        <w:rPr>
          <w:rFonts w:hint="eastAsia" w:ascii="仿宋" w:hAnsi="仿宋" w:eastAsia="黑体" w:cs="Times New Roman"/>
          <w:sz w:val="32"/>
          <w:szCs w:val="32"/>
        </w:rPr>
        <w:t xml:space="preserve">第十三条 </w:t>
      </w:r>
      <w:r>
        <w:rPr>
          <w:rFonts w:hint="eastAsia" w:ascii="Times New Roman" w:hAnsi="Times New Roman" w:eastAsia="仿宋" w:cs="Times New Roman"/>
          <w:color w:val="000000"/>
          <w:sz w:val="32"/>
        </w:rPr>
        <w:t>全国股转公司收到咨询沟通材料后，应当及时组织工作人员办理，需要补充材料的，原则上应当在五个工作日内提出补充材料的意见。</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全国股转公司在收到补充完善的材料后，原则上应当在十个工作日内通过电话或书面等方式予以答复，或在三个工作日内商定当面沟通的具体安排。</w:t>
      </w:r>
    </w:p>
    <w:p>
      <w:pPr>
        <w:pStyle w:val="3"/>
        <w:keepNext w:val="0"/>
        <w:keepLines w:val="0"/>
        <w:suppressAutoHyphens w:val="0"/>
        <w:spacing w:before="240" w:after="240" w:line="600" w:lineRule="exact"/>
        <w:ind w:left="720" w:hanging="720" w:hangingChars="225"/>
        <w:jc w:val="center"/>
        <w:rPr>
          <w:rFonts w:ascii="Times New Roman" w:hAnsi="Times New Roman" w:eastAsia="仿宋"/>
          <w:color w:val="000000"/>
          <w:sz w:val="32"/>
        </w:rPr>
      </w:pPr>
      <w:r>
        <w:rPr>
          <w:rFonts w:hint="eastAsia" w:ascii="Times New Roman" w:hAnsi="Times New Roman" w:eastAsia="黑体"/>
          <w:b w:val="0"/>
          <w:sz w:val="32"/>
          <w:szCs w:val="32"/>
        </w:rPr>
        <w:t>纪律和监督</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第十四条 </w:t>
      </w:r>
      <w:r>
        <w:rPr>
          <w:rFonts w:hint="eastAsia" w:ascii="Times New Roman" w:hAnsi="Times New Roman" w:eastAsia="仿宋" w:cs="Times New Roman"/>
          <w:color w:val="000000"/>
          <w:sz w:val="32"/>
        </w:rPr>
        <w:t>全国股转公司工作人员不得利用职权或职务上的影响以任何形式收受来自参加咨询沟通人员赠送或者承诺赠送的任何礼品、礼金、消费卡和各种有价证券、支付凭证、商业预付卡、电子红包等。</w:t>
      </w:r>
    </w:p>
    <w:p>
      <w:pPr>
        <w:spacing w:line="600" w:lineRule="exact"/>
        <w:ind w:firstLine="640" w:firstLineChars="200"/>
        <w:contextualSpacing/>
        <w:rPr>
          <w:rFonts w:ascii="Times New Roman" w:hAnsi="Times New Roman" w:eastAsia="仿宋" w:cs="Times New Roman"/>
          <w:color w:val="000000"/>
          <w:sz w:val="32"/>
        </w:rPr>
      </w:pPr>
      <w:r>
        <w:rPr>
          <w:rFonts w:hint="eastAsia" w:ascii="Times New Roman" w:hAnsi="Times New Roman" w:eastAsia="仿宋" w:cs="Times New Roman"/>
          <w:color w:val="000000"/>
          <w:sz w:val="32"/>
        </w:rPr>
        <w:t>参加咨询沟通的人员不得向全国股转公司工作人员赠送或者承诺赠送上述馈赠。</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第十五条 </w:t>
      </w:r>
      <w:r>
        <w:rPr>
          <w:rFonts w:hint="eastAsia" w:ascii="Times New Roman" w:hAnsi="Times New Roman" w:eastAsia="仿宋" w:cs="Times New Roman"/>
          <w:color w:val="000000"/>
          <w:sz w:val="32"/>
        </w:rPr>
        <w:t>全国股转公司工作人员除按本指南要求进行咨询沟通外，不得与申请人及中介机构有关各方相关人员就项目审核事项进行私下接触。</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第十六条 </w:t>
      </w:r>
      <w:r>
        <w:rPr>
          <w:rFonts w:ascii="Times New Roman" w:hAnsi="Times New Roman" w:eastAsia="仿宋" w:cs="Times New Roman"/>
          <w:color w:val="000000"/>
          <w:sz w:val="32"/>
        </w:rPr>
        <w:t>参与咨询沟通的人员应当对咨询沟通中需要保密的事项严格做好保密工作。</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第十七条 </w:t>
      </w:r>
      <w:r>
        <w:rPr>
          <w:rFonts w:ascii="Times New Roman" w:hAnsi="Times New Roman" w:eastAsia="仿宋" w:cs="Times New Roman"/>
          <w:color w:val="000000"/>
          <w:sz w:val="32"/>
        </w:rPr>
        <w:t>本指南规定的咨询沟通接受纪检监督。</w:t>
      </w:r>
    </w:p>
    <w:p>
      <w:pPr>
        <w:pStyle w:val="3"/>
        <w:keepNext w:val="0"/>
        <w:keepLines w:val="0"/>
        <w:suppressAutoHyphens w:val="0"/>
        <w:spacing w:before="240" w:after="240" w:line="600" w:lineRule="exact"/>
        <w:ind w:left="0" w:firstLine="0"/>
        <w:jc w:val="center"/>
        <w:rPr>
          <w:rFonts w:ascii="Times New Roman" w:hAnsi="Times New Roman" w:eastAsia="仿宋"/>
          <w:color w:val="000000"/>
          <w:sz w:val="32"/>
        </w:rPr>
      </w:pPr>
      <w:r>
        <w:rPr>
          <w:rFonts w:hint="eastAsia" w:ascii="Times New Roman" w:hAnsi="Times New Roman" w:eastAsia="黑体"/>
          <w:b w:val="0"/>
          <w:sz w:val="32"/>
          <w:szCs w:val="32"/>
        </w:rPr>
        <w:t>附  则</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第十八条 </w:t>
      </w:r>
      <w:r>
        <w:rPr>
          <w:rFonts w:hint="eastAsia" w:ascii="Times New Roman" w:hAnsi="Times New Roman" w:eastAsia="仿宋" w:cs="Times New Roman"/>
          <w:color w:val="000000"/>
          <w:sz w:val="32"/>
        </w:rPr>
        <w:t>定向发行可转换公司债券、现金类重大资产重组项目的咨询沟通参照本指南执行。</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第十九条 </w:t>
      </w:r>
      <w:r>
        <w:rPr>
          <w:rFonts w:hint="eastAsia" w:ascii="Times New Roman" w:hAnsi="Times New Roman" w:eastAsia="仿宋" w:cs="Times New Roman"/>
          <w:color w:val="000000"/>
          <w:sz w:val="32"/>
        </w:rPr>
        <w:t>全国股转公司对接区域性股权市场运营机构提供的咨询服务按照《全国中小企业股份转让系统股票公开转让并挂牌审核指引——区域性股权市场创新型企业申报与审核（试行）》进行。</w:t>
      </w:r>
    </w:p>
    <w:p>
      <w:pPr>
        <w:pStyle w:val="30"/>
        <w:adjustRightInd w:val="0"/>
        <w:spacing w:line="600" w:lineRule="exact"/>
        <w:ind w:firstLine="640"/>
        <w:contextualSpacing/>
        <w:outlineLvl w:val="1"/>
        <w:rPr>
          <w:rFonts w:ascii="Times New Roman" w:hAnsi="Times New Roman" w:eastAsia="仿宋" w:cs="Times New Roman"/>
          <w:b/>
          <w:bCs/>
          <w:color w:val="000000"/>
          <w:sz w:val="32"/>
        </w:rPr>
      </w:pPr>
      <w:r>
        <w:rPr>
          <w:rFonts w:hint="eastAsia" w:ascii="仿宋" w:hAnsi="仿宋" w:eastAsia="黑体" w:cs="Times New Roman"/>
          <w:sz w:val="32"/>
          <w:szCs w:val="32"/>
        </w:rPr>
        <w:t xml:space="preserve">第二十条 </w:t>
      </w:r>
      <w:r>
        <w:rPr>
          <w:rFonts w:ascii="Times New Roman" w:hAnsi="Times New Roman" w:eastAsia="仿宋" w:cs="Times New Roman"/>
          <w:color w:val="000000"/>
          <w:sz w:val="32"/>
        </w:rPr>
        <w:t>本指南由全国股转公司负责解释。</w:t>
      </w:r>
    </w:p>
    <w:p>
      <w:pPr>
        <w:pStyle w:val="30"/>
        <w:adjustRightInd w:val="0"/>
        <w:spacing w:line="600" w:lineRule="exact"/>
        <w:ind w:firstLine="640"/>
        <w:contextualSpacing/>
        <w:outlineLvl w:val="1"/>
        <w:rPr>
          <w:rFonts w:ascii="Times New Roman" w:hAnsi="Times New Roman" w:eastAsia="仿宋" w:cs="Times New Roman"/>
          <w:color w:val="000000"/>
          <w:sz w:val="32"/>
        </w:rPr>
      </w:pPr>
      <w:r>
        <w:rPr>
          <w:rFonts w:hint="eastAsia" w:ascii="仿宋" w:hAnsi="仿宋" w:eastAsia="黑体" w:cs="Times New Roman"/>
          <w:sz w:val="32"/>
          <w:szCs w:val="32"/>
        </w:rPr>
        <w:t xml:space="preserve">第二十一条 </w:t>
      </w:r>
      <w:r>
        <w:rPr>
          <w:rFonts w:ascii="Times New Roman" w:hAnsi="Times New Roman" w:eastAsia="仿宋" w:cs="Times New Roman"/>
          <w:color w:val="000000"/>
          <w:sz w:val="32"/>
        </w:rPr>
        <w:t>本指南自发布之日起施行。</w:t>
      </w:r>
    </w:p>
    <w:p>
      <w:pPr>
        <w:pStyle w:val="30"/>
        <w:adjustRightInd w:val="0"/>
        <w:snapToGrid w:val="0"/>
        <w:spacing w:line="600" w:lineRule="exact"/>
        <w:ind w:firstLine="640"/>
        <w:outlineLvl w:val="9"/>
        <w:rPr>
          <w:rFonts w:ascii="仿宋" w:hAnsi="仿宋" w:eastAsia="仿宋" w:cs="Times New Roman"/>
          <w:sz w:val="32"/>
          <w:szCs w:val="32"/>
        </w:rPr>
      </w:pPr>
    </w:p>
    <w:p>
      <w:pPr>
        <w:pStyle w:val="30"/>
        <w:adjustRightInd w:val="0"/>
        <w:snapToGrid w:val="0"/>
        <w:spacing w:line="600" w:lineRule="exact"/>
        <w:ind w:firstLine="640"/>
        <w:outlineLvl w:val="9"/>
        <w:rPr>
          <w:rFonts w:ascii="仿宋" w:hAnsi="仿宋" w:eastAsia="仿宋" w:cs="Times New Roman"/>
          <w:sz w:val="32"/>
          <w:szCs w:val="32"/>
        </w:rPr>
      </w:pPr>
      <w:r>
        <w:rPr>
          <w:rFonts w:hint="eastAsia" w:ascii="仿宋" w:hAnsi="仿宋" w:eastAsia="仿宋" w:cs="Times New Roman"/>
          <w:sz w:val="32"/>
          <w:szCs w:val="32"/>
        </w:rPr>
        <w:t>附件：</w:t>
      </w:r>
      <w:r>
        <w:rPr>
          <w:rFonts w:hint="eastAsia" w:ascii="Times New Roman" w:hAnsi="Times New Roman" w:eastAsia="仿宋" w:cs="Times New Roman"/>
          <w:kern w:val="2"/>
          <w:sz w:val="32"/>
          <w:szCs w:val="32"/>
          <w:lang w:val="en-US" w:eastAsia="zh-CN" w:bidi="ar-SA"/>
        </w:rPr>
        <w:t>1.</w:t>
      </w:r>
      <w:r>
        <w:rPr>
          <w:rFonts w:hint="eastAsia" w:ascii="仿宋" w:hAnsi="仿宋" w:eastAsia="仿宋" w:cs="Times New Roman"/>
          <w:sz w:val="32"/>
          <w:szCs w:val="32"/>
        </w:rPr>
        <w:t>关于</w:t>
      </w:r>
      <w:r>
        <w:rPr>
          <w:rFonts w:hint="default" w:ascii="Times New Roman" w:hAnsi="Times New Roman" w:eastAsia="仿宋" w:cs="Times New Roman"/>
          <w:sz w:val="32"/>
          <w:szCs w:val="32"/>
        </w:rPr>
        <w:t>XXX</w:t>
      </w:r>
      <w:r>
        <w:rPr>
          <w:rFonts w:hint="eastAsia" w:ascii="仿宋" w:hAnsi="仿宋" w:eastAsia="仿宋" w:cs="Times New Roman"/>
          <w:sz w:val="32"/>
          <w:szCs w:val="32"/>
        </w:rPr>
        <w:t>（申请人）申报前咨询沟通相关材料</w:t>
      </w:r>
    </w:p>
    <w:p>
      <w:pPr>
        <w:pStyle w:val="30"/>
        <w:adjustRightInd w:val="0"/>
        <w:snapToGrid w:val="0"/>
        <w:spacing w:line="600" w:lineRule="exact"/>
        <w:ind w:firstLine="1600" w:firstLineChars="500"/>
        <w:outlineLvl w:val="9"/>
        <w:rPr>
          <w:rFonts w:ascii="仿宋" w:hAnsi="仿宋" w:eastAsia="仿宋" w:cs="Times New Roman"/>
          <w:sz w:val="32"/>
          <w:szCs w:val="32"/>
        </w:rPr>
      </w:pPr>
      <w:r>
        <w:rPr>
          <w:rFonts w:hint="eastAsia" w:ascii="Times New Roman" w:hAnsi="Times New Roman" w:eastAsia="仿宋" w:cs="Times New Roman"/>
          <w:kern w:val="2"/>
          <w:sz w:val="32"/>
          <w:szCs w:val="32"/>
          <w:lang w:val="en-US" w:eastAsia="zh-CN" w:bidi="ar-SA"/>
        </w:rPr>
        <w:t>2.</w:t>
      </w:r>
      <w:r>
        <w:rPr>
          <w:rFonts w:hint="eastAsia" w:ascii="仿宋" w:hAnsi="仿宋" w:eastAsia="仿宋" w:cs="Times New Roman"/>
          <w:sz w:val="32"/>
          <w:szCs w:val="32"/>
        </w:rPr>
        <w:t>关于咨询沟通在审项目</w:t>
      </w:r>
      <w:r>
        <w:rPr>
          <w:rFonts w:hint="default" w:ascii="Times New Roman" w:hAnsi="Times New Roman" w:eastAsia="仿宋" w:cs="Times New Roman"/>
          <w:sz w:val="32"/>
          <w:szCs w:val="32"/>
        </w:rPr>
        <w:t>XXX</w:t>
      </w:r>
      <w:r>
        <w:rPr>
          <w:rFonts w:hint="eastAsia" w:ascii="仿宋" w:hAnsi="仿宋" w:eastAsia="仿宋" w:cs="Times New Roman"/>
          <w:sz w:val="32"/>
          <w:szCs w:val="32"/>
        </w:rPr>
        <w:t>（申请人）相关材料</w:t>
      </w:r>
    </w:p>
    <w:p>
      <w:pPr>
        <w:pStyle w:val="30"/>
        <w:adjustRightInd w:val="0"/>
        <w:spacing w:line="600" w:lineRule="exact"/>
        <w:ind w:firstLine="640"/>
        <w:contextualSpacing/>
        <w:outlineLvl w:val="9"/>
        <w:rPr>
          <w:rFonts w:ascii="Times New Roman" w:hAnsi="Times New Roman" w:eastAsia="仿宋" w:cs="Times New Roman"/>
          <w:color w:val="000000"/>
          <w:sz w:val="32"/>
        </w:rPr>
      </w:pPr>
    </w:p>
    <w:p>
      <w:pPr>
        <w:adjustRightInd w:val="0"/>
        <w:snapToGrid w:val="0"/>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br w:type="page"/>
      </w:r>
    </w:p>
    <w:p>
      <w:pPr>
        <w:spacing w:line="600" w:lineRule="exact"/>
        <w:contextualSpacing/>
        <w:jc w:val="left"/>
        <w:outlineLvl w:val="0"/>
        <w:rPr>
          <w:rFonts w:ascii="Times New Roman" w:hAnsi="Times New Roman" w:eastAsia="仿宋_GB2312" w:cs="Times New Roman"/>
          <w:b/>
          <w:sz w:val="30"/>
          <w:szCs w:val="30"/>
        </w:rPr>
      </w:pPr>
      <w:r>
        <w:rPr>
          <w:rFonts w:hint="eastAsia" w:ascii="黑体" w:hAnsi="黑体" w:eastAsia="黑体" w:cs="黑体"/>
          <w:sz w:val="32"/>
          <w:szCs w:val="32"/>
        </w:rPr>
        <w:t>附件</w:t>
      </w:r>
      <w:r>
        <w:rPr>
          <w:rFonts w:ascii="Times New Roman" w:hAnsi="Times New Roman" w:eastAsia="黑体" w:cs="Times New Roman"/>
          <w:sz w:val="32"/>
          <w:szCs w:val="32"/>
        </w:rPr>
        <w:t>1</w:t>
      </w:r>
    </w:p>
    <w:p>
      <w:pPr>
        <w:adjustRightInd w:val="0"/>
        <w:snapToGrid w:val="0"/>
        <w:spacing w:line="600" w:lineRule="exact"/>
        <w:jc w:val="center"/>
        <w:rPr>
          <w:rFonts w:ascii="仿宋_GB2312" w:eastAsia="仿宋_GB2312"/>
          <w:b/>
          <w:sz w:val="30"/>
          <w:szCs w:val="30"/>
        </w:rPr>
      </w:pPr>
    </w:p>
    <w:p>
      <w:pPr>
        <w:adjustRightInd w:val="0"/>
        <w:snapToGrid w:val="0"/>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关于XXX（申请人）申报前咨询沟通</w:t>
      </w:r>
    </w:p>
    <w:p>
      <w:pPr>
        <w:adjustRightInd w:val="0"/>
        <w:snapToGrid w:val="0"/>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相关材料</w:t>
      </w:r>
    </w:p>
    <w:p>
      <w:pPr>
        <w:spacing w:line="600" w:lineRule="exact"/>
        <w:contextualSpacing/>
        <w:jc w:val="center"/>
        <w:rPr>
          <w:rFonts w:ascii="Times New Roman" w:hAnsi="Times New Roman" w:eastAsia="仿宋" w:cs="Times New Roman"/>
          <w:sz w:val="32"/>
          <w:szCs w:val="32"/>
        </w:rPr>
      </w:pPr>
      <w:r>
        <w:rPr>
          <w:rFonts w:ascii="Times New Roman" w:hAnsi="Times New Roman" w:eastAsia="仿宋" w:cs="Times New Roman"/>
          <w:sz w:val="32"/>
          <w:szCs w:val="32"/>
        </w:rPr>
        <w:t>（参考示范格式）</w:t>
      </w:r>
    </w:p>
    <w:p>
      <w:pPr>
        <w:spacing w:line="600" w:lineRule="exact"/>
        <w:contextualSpacing/>
        <w:rPr>
          <w:rFonts w:ascii="Times New Roman" w:hAnsi="Times New Roman" w:eastAsia="仿宋" w:cs="Times New Roman"/>
          <w:sz w:val="32"/>
          <w:szCs w:val="32"/>
        </w:rPr>
      </w:pPr>
      <w:r>
        <w:rPr>
          <w:rFonts w:ascii="Times New Roman" w:hAnsi="Times New Roman" w:eastAsia="仿宋" w:cs="Times New Roman"/>
          <w:sz w:val="32"/>
          <w:szCs w:val="32"/>
        </w:rPr>
        <w:t>全国股转公司：</w:t>
      </w:r>
    </w:p>
    <w:p>
      <w:pPr>
        <w:spacing w:line="600" w:lineRule="exact"/>
        <w:ind w:firstLine="600"/>
        <w:contextualSpacing/>
        <w:rPr>
          <w:rFonts w:ascii="Times New Roman" w:hAnsi="Times New Roman" w:eastAsia="仿宋" w:cs="Times New Roman"/>
          <w:sz w:val="32"/>
          <w:szCs w:val="32"/>
        </w:rPr>
      </w:pPr>
      <w:r>
        <w:rPr>
          <w:rFonts w:ascii="仿宋" w:hAnsi="仿宋" w:eastAsia="仿宋" w:cs="Times New Roman"/>
          <w:sz w:val="32"/>
          <w:szCs w:val="32"/>
        </w:rPr>
        <w:t>×××</w:t>
      </w:r>
      <w:r>
        <w:rPr>
          <w:rFonts w:ascii="Times New Roman" w:hAnsi="Times New Roman" w:eastAsia="仿宋" w:cs="Times New Roman"/>
          <w:sz w:val="32"/>
          <w:szCs w:val="32"/>
        </w:rPr>
        <w:t>（</w:t>
      </w:r>
      <w:r>
        <w:rPr>
          <w:rFonts w:hint="eastAsia" w:ascii="Times New Roman" w:hAnsi="Times New Roman" w:eastAsia="仿宋" w:cs="Times New Roman"/>
          <w:sz w:val="32"/>
          <w:szCs w:val="32"/>
        </w:rPr>
        <w:t>申请</w:t>
      </w:r>
      <w:r>
        <w:rPr>
          <w:rFonts w:ascii="Times New Roman" w:hAnsi="Times New Roman" w:eastAsia="仿宋" w:cs="Times New Roman"/>
          <w:sz w:val="32"/>
          <w:szCs w:val="32"/>
        </w:rPr>
        <w:t>人）</w:t>
      </w:r>
      <w:r>
        <w:rPr>
          <w:rFonts w:hint="eastAsia" w:ascii="Times New Roman" w:hAnsi="Times New Roman" w:eastAsia="仿宋" w:cs="Times New Roman"/>
          <w:sz w:val="32"/>
          <w:szCs w:val="32"/>
        </w:rPr>
        <w:t>拟申报公开转让并挂牌/定向发行/重大资产重组项目，</w:t>
      </w:r>
      <w:r>
        <w:rPr>
          <w:rFonts w:ascii="Times New Roman" w:hAnsi="Times New Roman" w:eastAsia="仿宋" w:cs="Times New Roman"/>
          <w:sz w:val="32"/>
          <w:szCs w:val="32"/>
        </w:rPr>
        <w:t>根据《全国中小企业股份转让系统</w:t>
      </w:r>
      <w:r>
        <w:rPr>
          <w:rFonts w:hint="eastAsia" w:ascii="Times New Roman" w:hAnsi="Times New Roman" w:eastAsia="仿宋" w:cs="Times New Roman"/>
          <w:sz w:val="32"/>
          <w:szCs w:val="32"/>
        </w:rPr>
        <w:t>股票</w:t>
      </w:r>
      <w:r>
        <w:rPr>
          <w:rFonts w:ascii="Times New Roman" w:hAnsi="Times New Roman" w:eastAsia="仿宋" w:cs="Times New Roman"/>
          <w:sz w:val="32"/>
          <w:szCs w:val="32"/>
        </w:rPr>
        <w:t>挂牌发行业务咨询沟通指南》等有关规定，现就</w:t>
      </w:r>
      <w:r>
        <w:rPr>
          <w:rFonts w:ascii="仿宋" w:hAnsi="仿宋" w:eastAsia="仿宋" w:cs="Times New Roman"/>
          <w:sz w:val="32"/>
          <w:szCs w:val="32"/>
        </w:rPr>
        <w:t>×××</w:t>
      </w:r>
      <w:r>
        <w:rPr>
          <w:rFonts w:ascii="Times New Roman" w:hAnsi="Times New Roman" w:eastAsia="仿宋" w:cs="Times New Roman"/>
          <w:sz w:val="32"/>
          <w:szCs w:val="32"/>
        </w:rPr>
        <w:t>事项提请申报前的书面/现场/视频咨询沟通。本咨询沟通材料</w:t>
      </w:r>
      <w:r>
        <w:rPr>
          <w:rFonts w:hint="eastAsia" w:ascii="Times New Roman" w:hAnsi="Times New Roman" w:eastAsia="仿宋" w:cs="Times New Roman"/>
          <w:sz w:val="32"/>
          <w:szCs w:val="32"/>
        </w:rPr>
        <w:t>主办券商/独立财务顾问</w:t>
      </w:r>
      <w:r>
        <w:rPr>
          <w:rFonts w:ascii="仿宋" w:hAnsi="仿宋" w:eastAsia="仿宋" w:cs="Times New Roman"/>
          <w:sz w:val="32"/>
          <w:szCs w:val="32"/>
        </w:rPr>
        <w:t>×××</w:t>
      </w:r>
      <w:r>
        <w:rPr>
          <w:rFonts w:hint="eastAsia" w:ascii="Times New Roman" w:hAnsi="Times New Roman" w:eastAsia="仿宋" w:cs="Times New Roman"/>
          <w:sz w:val="32"/>
          <w:szCs w:val="32"/>
        </w:rPr>
        <w:t>已履行</w:t>
      </w:r>
      <w:r>
        <w:rPr>
          <w:rFonts w:ascii="Times New Roman" w:hAnsi="Times New Roman" w:eastAsia="仿宋" w:cs="Times New Roman"/>
          <w:sz w:val="32"/>
          <w:szCs w:val="32"/>
        </w:rPr>
        <w:t>质控等内部控制程序，保证内容真实、准确、完整。</w:t>
      </w:r>
    </w:p>
    <w:p>
      <w:pPr>
        <w:spacing w:line="600" w:lineRule="exact"/>
        <w:ind w:firstLine="600"/>
        <w:contextualSpacing/>
        <w:rPr>
          <w:rFonts w:ascii="黑体" w:hAnsi="黑体" w:eastAsia="黑体" w:cs="Times New Roman"/>
          <w:bCs/>
          <w:sz w:val="32"/>
          <w:szCs w:val="32"/>
        </w:rPr>
      </w:pPr>
      <w:r>
        <w:rPr>
          <w:rFonts w:ascii="黑体" w:hAnsi="黑体" w:eastAsia="黑体" w:cs="Times New Roman"/>
          <w:bCs/>
          <w:sz w:val="32"/>
          <w:szCs w:val="32"/>
        </w:rPr>
        <w:t>一、</w:t>
      </w:r>
      <w:r>
        <w:rPr>
          <w:rFonts w:hint="eastAsia" w:ascii="黑体" w:hAnsi="黑体" w:eastAsia="黑体" w:cs="Times New Roman"/>
          <w:bCs/>
          <w:sz w:val="32"/>
          <w:szCs w:val="32"/>
        </w:rPr>
        <w:t>申请</w:t>
      </w:r>
      <w:r>
        <w:rPr>
          <w:rFonts w:ascii="黑体" w:hAnsi="黑体" w:eastAsia="黑体" w:cs="Times New Roman"/>
          <w:bCs/>
          <w:sz w:val="32"/>
          <w:szCs w:val="32"/>
        </w:rPr>
        <w:t>人基本情况</w:t>
      </w:r>
    </w:p>
    <w:p>
      <w:pPr>
        <w:spacing w:line="600" w:lineRule="exact"/>
        <w:ind w:firstLine="600"/>
        <w:contextualSpacing/>
        <w:rPr>
          <w:rFonts w:ascii="Times New Roman" w:hAnsi="Times New Roman" w:eastAsia="仿宋" w:cs="Times New Roman"/>
          <w:sz w:val="32"/>
          <w:szCs w:val="32"/>
        </w:rPr>
      </w:pPr>
      <w:r>
        <w:rPr>
          <w:rFonts w:ascii="Times New Roman" w:hAnsi="Times New Roman" w:eastAsia="仿宋" w:cs="Times New Roman"/>
          <w:sz w:val="32"/>
          <w:szCs w:val="32"/>
        </w:rPr>
        <w:t>（一）</w:t>
      </w:r>
      <w:r>
        <w:rPr>
          <w:rFonts w:hint="eastAsia" w:ascii="Times New Roman" w:hAnsi="Times New Roman" w:eastAsia="仿宋" w:cs="Times New Roman"/>
          <w:sz w:val="32"/>
          <w:szCs w:val="32"/>
        </w:rPr>
        <w:t>申请人的基本信息：包括但不限于成立时间、股改时间（如有）、注册资本、法定代表人、住所地等。</w:t>
      </w: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（二）申请人的股权结构：包括但不限于股东人数、股权结构、</w:t>
      </w:r>
      <w:r>
        <w:rPr>
          <w:rFonts w:ascii="Times New Roman" w:hAnsi="Times New Roman" w:eastAsia="仿宋" w:cs="Times New Roman"/>
          <w:sz w:val="32"/>
          <w:szCs w:val="32"/>
        </w:rPr>
        <w:t>控股股东及实际控制人</w:t>
      </w:r>
      <w:r>
        <w:rPr>
          <w:rFonts w:hint="eastAsia" w:ascii="Times New Roman" w:hAnsi="Times New Roman" w:eastAsia="仿宋" w:cs="Times New Roman"/>
          <w:sz w:val="32"/>
          <w:szCs w:val="32"/>
        </w:rPr>
        <w:t>等。</w:t>
      </w:r>
    </w:p>
    <w:p>
      <w:pPr>
        <w:spacing w:line="600" w:lineRule="exact"/>
        <w:ind w:firstLine="600"/>
        <w:contextualSpacing/>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三</w:t>
      </w:r>
      <w:r>
        <w:rPr>
          <w:rFonts w:ascii="Times New Roman" w:hAnsi="Times New Roman" w:eastAsia="仿宋" w:cs="Times New Roman"/>
          <w:sz w:val="32"/>
          <w:szCs w:val="32"/>
        </w:rPr>
        <w:t>）</w:t>
      </w:r>
      <w:r>
        <w:rPr>
          <w:rFonts w:hint="eastAsia" w:ascii="Times New Roman" w:hAnsi="Times New Roman" w:eastAsia="仿宋" w:cs="Times New Roman"/>
          <w:sz w:val="32"/>
          <w:szCs w:val="32"/>
        </w:rPr>
        <w:t>申请人的</w:t>
      </w:r>
      <w:r>
        <w:rPr>
          <w:rFonts w:ascii="Times New Roman" w:hAnsi="Times New Roman" w:eastAsia="仿宋" w:cs="Times New Roman"/>
          <w:sz w:val="32"/>
          <w:szCs w:val="32"/>
        </w:rPr>
        <w:t>主营业务</w:t>
      </w:r>
      <w:r>
        <w:rPr>
          <w:rFonts w:hint="eastAsia" w:ascii="Times New Roman" w:hAnsi="Times New Roman" w:eastAsia="仿宋" w:cs="Times New Roman"/>
          <w:sz w:val="32"/>
          <w:szCs w:val="32"/>
        </w:rPr>
        <w:t>：包括但不限于所属行业、主要产品和服务、</w:t>
      </w:r>
      <w:r>
        <w:rPr>
          <w:rFonts w:ascii="Times New Roman" w:hAnsi="Times New Roman" w:eastAsia="仿宋" w:cs="Times New Roman"/>
          <w:sz w:val="32"/>
          <w:szCs w:val="32"/>
        </w:rPr>
        <w:t>主要客户和供应商</w:t>
      </w:r>
      <w:r>
        <w:rPr>
          <w:rFonts w:hint="eastAsia" w:ascii="Times New Roman" w:hAnsi="Times New Roman" w:eastAsia="仿宋" w:cs="Times New Roman"/>
          <w:sz w:val="32"/>
          <w:szCs w:val="32"/>
        </w:rPr>
        <w:t>、商业模式、创新属性等。</w:t>
      </w:r>
    </w:p>
    <w:p>
      <w:pPr>
        <w:spacing w:line="600" w:lineRule="exact"/>
        <w:ind w:firstLine="600"/>
        <w:contextualSpacing/>
        <w:rPr>
          <w:rFonts w:ascii="Times New Roman" w:hAnsi="Times New Roman" w:eastAsia="仿宋" w:cs="Times New Roman"/>
          <w:sz w:val="32"/>
          <w:szCs w:val="32"/>
        </w:rPr>
      </w:pPr>
      <w:r>
        <w:rPr>
          <w:rFonts w:ascii="Times New Roman" w:hAnsi="Times New Roman" w:eastAsia="仿宋" w:cs="Times New Roman"/>
          <w:sz w:val="32"/>
          <w:szCs w:val="32"/>
        </w:rPr>
        <w:t>（四）</w:t>
      </w:r>
      <w:r>
        <w:rPr>
          <w:rFonts w:hint="eastAsia" w:ascii="Times New Roman" w:hAnsi="Times New Roman" w:eastAsia="仿宋" w:cs="Times New Roman"/>
          <w:spacing w:val="-6"/>
          <w:sz w:val="32"/>
          <w:szCs w:val="32"/>
        </w:rPr>
        <w:t>申请人的</w:t>
      </w:r>
      <w:r>
        <w:rPr>
          <w:rFonts w:ascii="Times New Roman" w:hAnsi="Times New Roman" w:eastAsia="仿宋" w:cs="Times New Roman"/>
          <w:spacing w:val="-6"/>
          <w:sz w:val="32"/>
          <w:szCs w:val="32"/>
        </w:rPr>
        <w:t>主要财务数据</w:t>
      </w:r>
      <w:r>
        <w:rPr>
          <w:rFonts w:hint="eastAsia" w:ascii="Times New Roman" w:hAnsi="Times New Roman" w:eastAsia="仿宋" w:cs="Times New Roman"/>
          <w:spacing w:val="-6"/>
          <w:sz w:val="32"/>
          <w:szCs w:val="32"/>
        </w:rPr>
        <w:t>和</w:t>
      </w:r>
      <w:r>
        <w:rPr>
          <w:rFonts w:ascii="Times New Roman" w:hAnsi="Times New Roman" w:eastAsia="仿宋" w:cs="Times New Roman"/>
          <w:spacing w:val="-6"/>
          <w:sz w:val="32"/>
          <w:szCs w:val="32"/>
        </w:rPr>
        <w:t>财务指标</w:t>
      </w:r>
      <w:r>
        <w:rPr>
          <w:rFonts w:hint="eastAsia" w:ascii="Times New Roman" w:hAnsi="Times New Roman" w:eastAsia="仿宋" w:cs="Times New Roman"/>
          <w:spacing w:val="-6"/>
          <w:sz w:val="32"/>
          <w:szCs w:val="32"/>
        </w:rPr>
        <w:t>（注明是否经审计）。</w:t>
      </w:r>
    </w:p>
    <w:p>
      <w:pPr>
        <w:spacing w:line="600" w:lineRule="exact"/>
        <w:ind w:firstLine="600"/>
        <w:contextualSpacing/>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五</w:t>
      </w:r>
      <w:r>
        <w:rPr>
          <w:rFonts w:ascii="Times New Roman" w:hAnsi="Times New Roman" w:eastAsia="仿宋" w:cs="Times New Roman"/>
          <w:sz w:val="32"/>
          <w:szCs w:val="32"/>
        </w:rPr>
        <w:t>）</w:t>
      </w:r>
      <w:r>
        <w:rPr>
          <w:rFonts w:hint="eastAsia" w:ascii="Times New Roman" w:hAnsi="Times New Roman" w:eastAsia="仿宋" w:cs="Times New Roman"/>
          <w:sz w:val="32"/>
          <w:szCs w:val="32"/>
        </w:rPr>
        <w:t>申请人是否符合国家产业政策、全国股转系统定位，是否存在</w:t>
      </w:r>
      <w:r>
        <w:rPr>
          <w:rFonts w:ascii="仿宋" w:hAnsi="仿宋" w:eastAsia="仿宋" w:cs="Times New Roman"/>
          <w:sz w:val="32"/>
          <w:szCs w:val="32"/>
        </w:rPr>
        <w:t>已经关注到的重大敏感事项、重大无先例情况、重大舆情、重大违法线索。</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二</w:t>
      </w:r>
      <w:r>
        <w:rPr>
          <w:rFonts w:ascii="黑体" w:hAnsi="黑体" w:eastAsia="黑体" w:cs="Times New Roman"/>
          <w:bCs/>
          <w:sz w:val="32"/>
          <w:szCs w:val="32"/>
        </w:rPr>
        <w:t>、</w:t>
      </w:r>
      <w:r>
        <w:rPr>
          <w:rFonts w:hint="eastAsia" w:ascii="黑体" w:hAnsi="黑体" w:eastAsia="黑体" w:cs="Times New Roman"/>
          <w:bCs/>
          <w:sz w:val="32"/>
          <w:szCs w:val="32"/>
        </w:rPr>
        <w:t>项目进展情况</w:t>
      </w:r>
    </w:p>
    <w:p>
      <w:pPr>
        <w:spacing w:line="600" w:lineRule="exact"/>
        <w:ind w:firstLine="600"/>
        <w:contextualSpacing/>
        <w:rPr>
          <w:rFonts w:ascii="仿宋" w:hAnsi="仿宋" w:eastAsia="仿宋" w:cs="Times New Roman"/>
          <w:sz w:val="32"/>
          <w:szCs w:val="32"/>
        </w:rPr>
      </w:pPr>
      <w:r>
        <w:rPr>
          <w:rFonts w:hint="eastAsia" w:ascii="仿宋" w:hAnsi="仿宋" w:eastAsia="仿宋" w:cs="Times New Roman"/>
          <w:sz w:val="32"/>
          <w:szCs w:val="32"/>
        </w:rPr>
        <w:t>包括但不限于申请人和中介机构当前主要工作、下一步工作安排、预计申报时间等。</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三</w:t>
      </w:r>
      <w:r>
        <w:rPr>
          <w:rFonts w:ascii="黑体" w:hAnsi="黑体" w:eastAsia="黑体" w:cs="Times New Roman"/>
          <w:bCs/>
          <w:sz w:val="32"/>
          <w:szCs w:val="32"/>
        </w:rPr>
        <w:t>、咨询沟通问题</w:t>
      </w:r>
    </w:p>
    <w:p>
      <w:pPr>
        <w:spacing w:line="600" w:lineRule="exact"/>
        <w:ind w:firstLine="600"/>
        <w:contextualSpacing/>
        <w:rPr>
          <w:rFonts w:ascii="仿宋" w:hAnsi="仿宋" w:eastAsia="仿宋" w:cs="Times New Roman"/>
          <w:sz w:val="32"/>
          <w:szCs w:val="32"/>
        </w:rPr>
      </w:pPr>
      <w:r>
        <w:rPr>
          <w:rFonts w:hint="eastAsia" w:ascii="仿宋" w:hAnsi="仿宋" w:eastAsia="仿宋" w:cs="Times New Roman"/>
          <w:sz w:val="32"/>
          <w:szCs w:val="32"/>
        </w:rPr>
        <w:t>包括但不限于事实情况、主要问题、拟采取和已采取的规范措施等。</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四、中介机构初步判断意见（自办发行不适用）</w:t>
      </w:r>
    </w:p>
    <w:p>
      <w:pPr>
        <w:spacing w:line="600" w:lineRule="exact"/>
        <w:ind w:firstLine="600"/>
        <w:contextualSpacing/>
        <w:rPr>
          <w:rFonts w:ascii="Times New Roman" w:hAnsi="Times New Roman" w:eastAsia="仿宋" w:cs="Times New Roman"/>
          <w:sz w:val="32"/>
          <w:szCs w:val="32"/>
          <w:lang w:val="en"/>
        </w:rPr>
      </w:pPr>
      <w:r>
        <w:rPr>
          <w:rFonts w:hint="eastAsia" w:ascii="Times New Roman" w:hAnsi="Times New Roman" w:eastAsia="仿宋" w:cs="Times New Roman"/>
          <w:sz w:val="32"/>
          <w:szCs w:val="32"/>
        </w:rPr>
        <w:t>包括但不限于中介机构的核查方式、核查过程及核查结论，质控（内核）的具体意见等。核查结论原则上应当判断申请人符合公开转让并挂牌</w:t>
      </w:r>
      <w:r>
        <w:rPr>
          <w:rFonts w:ascii="Times New Roman" w:hAnsi="Times New Roman" w:eastAsia="仿宋" w:cs="Times New Roman"/>
          <w:sz w:val="32"/>
          <w:szCs w:val="32"/>
          <w:lang w:val="en"/>
        </w:rPr>
        <w:t>/</w:t>
      </w:r>
      <w:r>
        <w:rPr>
          <w:rFonts w:hint="eastAsia" w:ascii="Times New Roman" w:hAnsi="Times New Roman" w:eastAsia="仿宋" w:cs="Times New Roman"/>
          <w:sz w:val="32"/>
          <w:szCs w:val="32"/>
          <w:lang w:val="en"/>
        </w:rPr>
        <w:t>定向发行要求</w:t>
      </w:r>
      <w:r>
        <w:rPr>
          <w:rFonts w:ascii="Times New Roman" w:hAnsi="Times New Roman" w:eastAsia="仿宋" w:cs="Times New Roman"/>
          <w:sz w:val="32"/>
          <w:szCs w:val="32"/>
          <w:lang w:val="en"/>
        </w:rPr>
        <w:t>/</w:t>
      </w:r>
      <w:r>
        <w:rPr>
          <w:rFonts w:hint="eastAsia" w:ascii="Times New Roman" w:hAnsi="Times New Roman" w:eastAsia="仿宋" w:cs="Times New Roman"/>
          <w:sz w:val="32"/>
          <w:szCs w:val="32"/>
          <w:lang w:val="en"/>
        </w:rPr>
        <w:t>重大资产重组相关要求</w:t>
      </w:r>
      <w:r>
        <w:rPr>
          <w:rFonts w:hint="eastAsia" w:ascii="Times New Roman" w:hAnsi="Times New Roman" w:eastAsia="仿宋" w:cs="Times New Roman"/>
          <w:sz w:val="32"/>
          <w:szCs w:val="32"/>
        </w:rPr>
        <w:t>。</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五、咨询沟通安排（当面沟通适用）</w:t>
      </w: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包括但不限于当面沟通的联系人及联系方式、具体参与人员、期望沟通时间等</w:t>
      </w:r>
      <w:r>
        <w:rPr>
          <w:rFonts w:ascii="Times New Roman" w:hAnsi="Times New Roman" w:eastAsia="仿宋" w:cs="Times New Roman"/>
          <w:sz w:val="32"/>
          <w:szCs w:val="32"/>
        </w:rPr>
        <w:t>。</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六</w:t>
      </w:r>
      <w:r>
        <w:rPr>
          <w:rFonts w:ascii="黑体" w:hAnsi="黑体" w:eastAsia="黑体" w:cs="Times New Roman"/>
          <w:bCs/>
          <w:sz w:val="32"/>
          <w:szCs w:val="32"/>
        </w:rPr>
        <w:t>、</w:t>
      </w:r>
      <w:r>
        <w:rPr>
          <w:rFonts w:hint="eastAsia" w:ascii="黑体" w:hAnsi="黑体" w:eastAsia="黑体" w:cs="Times New Roman"/>
          <w:bCs/>
          <w:sz w:val="32"/>
          <w:szCs w:val="32"/>
        </w:rPr>
        <w:t>其他需要说明的事项（如有）</w:t>
      </w:r>
    </w:p>
    <w:p>
      <w:pPr>
        <w:spacing w:line="600" w:lineRule="exact"/>
        <w:ind w:firstLine="600"/>
        <w:contextualSpacing/>
        <w:rPr>
          <w:rFonts w:ascii="Times New Roman" w:hAnsi="Times New Roman" w:eastAsia="仿宋" w:cs="Times New Roman"/>
          <w:sz w:val="32"/>
          <w:szCs w:val="32"/>
        </w:rPr>
      </w:pP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附件（如有）</w:t>
      </w:r>
    </w:p>
    <w:p>
      <w:pPr>
        <w:spacing w:line="600" w:lineRule="exact"/>
        <w:contextualSpacing/>
        <w:rPr>
          <w:rFonts w:ascii="Times New Roman" w:hAnsi="Times New Roman" w:eastAsia="仿宋" w:cs="Times New Roman"/>
          <w:sz w:val="32"/>
          <w:szCs w:val="32"/>
        </w:rPr>
      </w:pPr>
      <w:r>
        <w:rPr>
          <w:rFonts w:ascii="Times New Roman" w:hAnsi="Times New Roman" w:eastAsia="仿宋" w:cs="Times New Roman"/>
          <w:sz w:val="32"/>
          <w:szCs w:val="32"/>
        </w:rPr>
        <w:t xml:space="preserve">                             </w:t>
      </w:r>
    </w:p>
    <w:p>
      <w:pPr>
        <w:spacing w:line="600" w:lineRule="exact"/>
        <w:ind w:firstLine="320" w:firstLineChars="100"/>
        <w:contextualSpacing/>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（盖章）</w:t>
      </w:r>
    </w:p>
    <w:p>
      <w:pPr>
        <w:spacing w:line="600" w:lineRule="exact"/>
        <w:contextualSpacing/>
        <w:rPr>
          <w:rFonts w:ascii="黑体" w:hAnsi="黑体" w:eastAsia="黑体" w:cs="黑体"/>
          <w:sz w:val="32"/>
          <w:szCs w:val="32"/>
        </w:rPr>
      </w:pP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 xml:space="preserve"> 年  月  日</w:t>
      </w:r>
      <w:r>
        <w:rPr>
          <w:rFonts w:hint="eastAsia" w:ascii="黑体" w:hAnsi="黑体" w:eastAsia="黑体" w:cs="黑体"/>
          <w:sz w:val="32"/>
          <w:szCs w:val="32"/>
        </w:rPr>
        <w:br w:type="page"/>
      </w:r>
    </w:p>
    <w:p>
      <w:pPr>
        <w:spacing w:line="600" w:lineRule="exact"/>
        <w:outlineLvl w:val="0"/>
        <w:rPr>
          <w:rFonts w:ascii="Times New Roman" w:hAnsi="Times New Roman" w:eastAsia="黑体"/>
          <w:sz w:val="32"/>
        </w:rPr>
      </w:pPr>
      <w:r>
        <w:rPr>
          <w:rFonts w:hint="eastAsia" w:ascii="Times New Roman" w:hAnsi="Times New Roman" w:eastAsia="黑体"/>
          <w:sz w:val="32"/>
        </w:rPr>
        <w:t>附件</w:t>
      </w:r>
      <w:r>
        <w:rPr>
          <w:rFonts w:ascii="Times New Roman" w:hAnsi="Times New Roman" w:eastAsia="黑体"/>
          <w:sz w:val="32"/>
        </w:rPr>
        <w:t>2</w:t>
      </w:r>
    </w:p>
    <w:p>
      <w:pPr>
        <w:widowControl/>
        <w:spacing w:line="600" w:lineRule="exact"/>
        <w:contextualSpacing/>
        <w:jc w:val="left"/>
        <w:rPr>
          <w:rFonts w:ascii="Times New Roman" w:hAnsi="Times New Roman" w:eastAsia="方正大标宋简体"/>
          <w:sz w:val="44"/>
          <w:szCs w:val="44"/>
        </w:rPr>
      </w:pPr>
    </w:p>
    <w:p>
      <w:pPr>
        <w:adjustRightInd w:val="0"/>
        <w:snapToGrid w:val="0"/>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关于咨询沟通在审项目XXX（申请人）</w:t>
      </w:r>
    </w:p>
    <w:p>
      <w:pPr>
        <w:adjustRightInd w:val="0"/>
        <w:snapToGrid w:val="0"/>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相关材料</w:t>
      </w:r>
    </w:p>
    <w:p>
      <w:pPr>
        <w:spacing w:line="600" w:lineRule="exact"/>
        <w:contextualSpacing/>
        <w:jc w:val="center"/>
        <w:rPr>
          <w:rFonts w:ascii="Times New Roman" w:hAnsi="Times New Roman" w:eastAsia="仿宋" w:cs="Times New Roman"/>
          <w:sz w:val="32"/>
          <w:szCs w:val="32"/>
        </w:rPr>
      </w:pPr>
      <w:r>
        <w:rPr>
          <w:rFonts w:ascii="Times New Roman" w:hAnsi="Times New Roman" w:eastAsia="仿宋" w:cs="Times New Roman"/>
          <w:sz w:val="32"/>
          <w:szCs w:val="32"/>
        </w:rPr>
        <w:t>（参考示范格式）</w:t>
      </w:r>
    </w:p>
    <w:p>
      <w:pPr>
        <w:spacing w:line="600" w:lineRule="exact"/>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全国股转公司：</w:t>
      </w: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根据《全国中小企业股份转让系统股票挂牌发行业务咨询沟通指南》等有关规定，现就×××事项提请书面/现场/视频咨询沟通。本咨询沟通材料主办券商/独立财务顾问×××已履行质控等内部控制程序，保证内容真实、准确、完整</w:t>
      </w:r>
      <w:r>
        <w:rPr>
          <w:rFonts w:ascii="Times New Roman" w:hAnsi="Times New Roman" w:eastAsia="仿宋" w:cs="Times New Roman"/>
          <w:sz w:val="32"/>
          <w:szCs w:val="32"/>
        </w:rPr>
        <w:t>。</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一</w:t>
      </w:r>
      <w:r>
        <w:rPr>
          <w:rFonts w:ascii="黑体" w:hAnsi="黑体" w:eastAsia="黑体" w:cs="Times New Roman"/>
          <w:bCs/>
          <w:sz w:val="32"/>
          <w:szCs w:val="32"/>
        </w:rPr>
        <w:t>、咨询沟通问题</w:t>
      </w:r>
    </w:p>
    <w:p>
      <w:pPr>
        <w:spacing w:line="600" w:lineRule="exact"/>
        <w:ind w:firstLine="600"/>
        <w:contextualSpacing/>
        <w:rPr>
          <w:rFonts w:ascii="仿宋" w:hAnsi="仿宋" w:eastAsia="仿宋" w:cs="Times New Roman"/>
          <w:sz w:val="32"/>
          <w:szCs w:val="32"/>
        </w:rPr>
      </w:pPr>
      <w:r>
        <w:rPr>
          <w:rFonts w:hint="eastAsia" w:ascii="仿宋" w:hAnsi="仿宋" w:eastAsia="仿宋" w:cs="Times New Roman"/>
          <w:sz w:val="32"/>
          <w:szCs w:val="32"/>
        </w:rPr>
        <w:t>包括但不限于事实情况、主要问题、拟采取和已采取的规范措施等。</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二、中介机构初步判断意见（自办发行不适用）</w:t>
      </w: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包括但不限于中介机构的核查方式、核查过程及核查结论，质控（内核）的具体意见等</w:t>
      </w:r>
      <w:r>
        <w:rPr>
          <w:rFonts w:ascii="Times New Roman" w:hAnsi="Times New Roman" w:eastAsia="仿宋" w:cs="Times New Roman"/>
          <w:sz w:val="32"/>
          <w:szCs w:val="32"/>
        </w:rPr>
        <w:t>。</w:t>
      </w:r>
      <w:r>
        <w:rPr>
          <w:rFonts w:hint="eastAsia" w:ascii="Times New Roman" w:hAnsi="Times New Roman" w:eastAsia="仿宋" w:cs="Times New Roman"/>
          <w:sz w:val="32"/>
          <w:szCs w:val="32"/>
        </w:rPr>
        <w:t>核查结论原则上应当判断申请人符合公开转让并挂牌</w:t>
      </w:r>
      <w:r>
        <w:rPr>
          <w:rFonts w:ascii="Times New Roman" w:hAnsi="Times New Roman" w:eastAsia="仿宋" w:cs="Times New Roman"/>
          <w:sz w:val="32"/>
          <w:szCs w:val="32"/>
          <w:lang w:val="en"/>
        </w:rPr>
        <w:t>/</w:t>
      </w:r>
      <w:r>
        <w:rPr>
          <w:rFonts w:hint="eastAsia" w:ascii="Times New Roman" w:hAnsi="Times New Roman" w:eastAsia="仿宋" w:cs="Times New Roman"/>
          <w:sz w:val="32"/>
          <w:szCs w:val="32"/>
          <w:lang w:val="en"/>
        </w:rPr>
        <w:t>定向发行要求</w:t>
      </w:r>
      <w:r>
        <w:rPr>
          <w:rFonts w:ascii="Times New Roman" w:hAnsi="Times New Roman" w:eastAsia="仿宋" w:cs="Times New Roman"/>
          <w:sz w:val="32"/>
          <w:szCs w:val="32"/>
          <w:lang w:val="en"/>
        </w:rPr>
        <w:t>/</w:t>
      </w:r>
      <w:r>
        <w:rPr>
          <w:rFonts w:hint="eastAsia" w:ascii="Times New Roman" w:hAnsi="Times New Roman" w:eastAsia="仿宋" w:cs="Times New Roman"/>
          <w:sz w:val="32"/>
          <w:szCs w:val="32"/>
          <w:lang w:val="en"/>
        </w:rPr>
        <w:t>重大资产重组相关要求</w:t>
      </w:r>
      <w:r>
        <w:rPr>
          <w:rFonts w:hint="eastAsia" w:ascii="Times New Roman" w:hAnsi="Times New Roman" w:eastAsia="仿宋" w:cs="Times New Roman"/>
          <w:sz w:val="32"/>
          <w:szCs w:val="32"/>
        </w:rPr>
        <w:t>。</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三、咨询沟通安排（当面沟通适用）</w:t>
      </w:r>
    </w:p>
    <w:p>
      <w:pPr>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包括但不限于当面沟通的联系人及联系方式、具体参与人员、期望沟通时间等</w:t>
      </w:r>
      <w:r>
        <w:rPr>
          <w:rFonts w:ascii="Times New Roman" w:hAnsi="Times New Roman" w:eastAsia="仿宋" w:cs="Times New Roman"/>
          <w:sz w:val="32"/>
          <w:szCs w:val="32"/>
        </w:rPr>
        <w:t>。</w:t>
      </w:r>
    </w:p>
    <w:p>
      <w:pPr>
        <w:spacing w:line="600" w:lineRule="exact"/>
        <w:ind w:firstLine="600"/>
        <w:contextualSpacing/>
        <w:rPr>
          <w:rFonts w:ascii="黑体" w:hAnsi="黑体" w:eastAsia="黑体" w:cs="Times New Roman"/>
          <w:bCs/>
          <w:sz w:val="32"/>
          <w:szCs w:val="32"/>
        </w:rPr>
      </w:pPr>
      <w:r>
        <w:rPr>
          <w:rFonts w:hint="eastAsia" w:ascii="黑体" w:hAnsi="黑体" w:eastAsia="黑体" w:cs="Times New Roman"/>
          <w:bCs/>
          <w:sz w:val="32"/>
          <w:szCs w:val="32"/>
        </w:rPr>
        <w:t>四</w:t>
      </w:r>
      <w:r>
        <w:rPr>
          <w:rFonts w:ascii="黑体" w:hAnsi="黑体" w:eastAsia="黑体" w:cs="Times New Roman"/>
          <w:bCs/>
          <w:sz w:val="32"/>
          <w:szCs w:val="32"/>
        </w:rPr>
        <w:t>、</w:t>
      </w:r>
      <w:r>
        <w:rPr>
          <w:rFonts w:hint="eastAsia" w:ascii="黑体" w:hAnsi="黑体" w:eastAsia="黑体" w:cs="Times New Roman"/>
          <w:bCs/>
          <w:sz w:val="32"/>
          <w:szCs w:val="32"/>
        </w:rPr>
        <w:t>其他需要说明的事项（如有）</w:t>
      </w:r>
    </w:p>
    <w:p>
      <w:pPr>
        <w:spacing w:line="600" w:lineRule="exact"/>
        <w:ind w:firstLine="600"/>
        <w:contextualSpacing/>
        <w:rPr>
          <w:rFonts w:ascii="Times New Roman" w:hAnsi="Times New Roman" w:eastAsia="仿宋" w:cs="Times New Roman"/>
          <w:b/>
          <w:sz w:val="32"/>
          <w:szCs w:val="32"/>
        </w:rPr>
      </w:pPr>
    </w:p>
    <w:p>
      <w:pPr>
        <w:tabs>
          <w:tab w:val="center" w:pos="4453"/>
        </w:tabs>
        <w:spacing w:line="600" w:lineRule="exact"/>
        <w:ind w:firstLine="600"/>
        <w:contextualSpacing/>
        <w:rPr>
          <w:rFonts w:ascii="Times New Roman" w:hAnsi="Times New Roman" w:eastAsia="仿宋" w:cs="Times New Roman"/>
          <w:sz w:val="32"/>
          <w:szCs w:val="32"/>
        </w:rPr>
      </w:pPr>
      <w:r>
        <w:rPr>
          <w:rFonts w:hint="eastAsia" w:ascii="Times New Roman" w:hAnsi="Times New Roman" w:eastAsia="仿宋" w:cs="Times New Roman"/>
          <w:sz w:val="32"/>
          <w:szCs w:val="32"/>
        </w:rPr>
        <w:t>附件（如有）</w:t>
      </w:r>
      <w:r>
        <w:rPr>
          <w:rFonts w:ascii="Times New Roman" w:hAnsi="Times New Roman" w:eastAsia="仿宋" w:cs="Times New Roman"/>
          <w:sz w:val="32"/>
          <w:szCs w:val="32"/>
        </w:rPr>
        <w:tab/>
      </w:r>
    </w:p>
    <w:p>
      <w:pPr>
        <w:spacing w:line="600" w:lineRule="exact"/>
        <w:contextualSpacing/>
        <w:rPr>
          <w:rFonts w:ascii="Times New Roman" w:hAnsi="Times New Roman" w:eastAsia="仿宋" w:cs="Times New Roman"/>
          <w:sz w:val="32"/>
          <w:szCs w:val="32"/>
        </w:rPr>
      </w:pPr>
      <w:r>
        <w:rPr>
          <w:rFonts w:ascii="Times New Roman" w:hAnsi="Times New Roman" w:eastAsia="仿宋" w:cs="Times New Roman"/>
          <w:sz w:val="32"/>
          <w:szCs w:val="32"/>
        </w:rPr>
        <w:t xml:space="preserve">                             </w:t>
      </w:r>
    </w:p>
    <w:p>
      <w:pPr>
        <w:spacing w:line="600" w:lineRule="exact"/>
        <w:ind w:firstLine="320" w:firstLineChars="100"/>
        <w:contextualSpacing/>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（盖章）</w:t>
      </w:r>
    </w:p>
    <w:p>
      <w:pPr>
        <w:spacing w:line="600" w:lineRule="exact"/>
        <w:contextualSpacing/>
        <w:rPr>
          <w:rFonts w:ascii="Times New Roman" w:hAnsi="Times New Roman" w:eastAsia="仿宋" w:cs="Times New Roman"/>
          <w:sz w:val="32"/>
          <w:szCs w:val="32"/>
        </w:rPr>
      </w:pP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 xml:space="preserve">   年  月  日</w:t>
      </w:r>
    </w:p>
    <w:p>
      <w:pPr>
        <w:spacing w:line="560" w:lineRule="exact"/>
        <w:ind w:firstLine="3719" w:firstLineChars="1771"/>
        <w:rPr>
          <w:rFonts w:ascii="Times New Roman" w:hAnsi="Times New Roman" w:eastAsia="仿宋" w:cs="Times New Roman"/>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roman"/>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MingLiU">
    <w:altName w:val="方正书宋_GBK"/>
    <w:panose1 w:val="02020509000000000000"/>
    <w:charset w:val="88"/>
    <w:family w:val="modern"/>
    <w:pitch w:val="default"/>
    <w:sig w:usb0="00000000" w:usb1="00000000" w:usb2="00000016" w:usb3="00000000" w:csb0="00100001" w:csb1="00000000"/>
  </w:font>
  <w:font w:name="方正大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3566955"/>
    </w:sdtPr>
    <w:sdtEndPr>
      <w:rPr>
        <w:rFonts w:asciiTheme="minorEastAsia" w:hAnsiTheme="minorEastAsia"/>
        <w:sz w:val="28"/>
        <w:szCs w:val="28"/>
      </w:rPr>
    </w:sdtEndPr>
    <w:sdtContent>
      <w:p>
        <w:pPr>
          <w:pStyle w:val="9"/>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2269141"/>
    </w:sdtPr>
    <w:sdtEndPr>
      <w:rPr>
        <w:rFonts w:asciiTheme="minorEastAsia" w:hAnsiTheme="minorEastAsia"/>
        <w:sz w:val="28"/>
        <w:szCs w:val="28"/>
      </w:rPr>
    </w:sdtEndPr>
    <w:sdtContent>
      <w:p>
        <w:pPr>
          <w:pStyle w:val="9"/>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1B63E5"/>
    <w:multiLevelType w:val="multilevel"/>
    <w:tmpl w:val="151B63E5"/>
    <w:lvl w:ilvl="0" w:tentative="0">
      <w:start w:val="1"/>
      <w:numFmt w:val="chineseCountingThousand"/>
      <w:pStyle w:val="3"/>
      <w:lvlText w:val="第%1章"/>
      <w:lvlJc w:val="left"/>
      <w:pPr>
        <w:ind w:left="4956" w:hanging="420"/>
      </w:pPr>
      <w:rPr>
        <w:rFonts w:hint="eastAsia" w:ascii="黑体" w:hAnsi="黑体" w:eastAsia="黑体"/>
        <w:b w:val="0"/>
        <w:i w:val="0"/>
        <w:sz w:val="32"/>
        <w:lang w:val="en-U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B5B"/>
    <w:rsid w:val="00002215"/>
    <w:rsid w:val="000023B9"/>
    <w:rsid w:val="00006F82"/>
    <w:rsid w:val="00011AD6"/>
    <w:rsid w:val="00013366"/>
    <w:rsid w:val="00014D40"/>
    <w:rsid w:val="000162B2"/>
    <w:rsid w:val="00016B39"/>
    <w:rsid w:val="00023E59"/>
    <w:rsid w:val="000256C2"/>
    <w:rsid w:val="00027792"/>
    <w:rsid w:val="00031AE9"/>
    <w:rsid w:val="00033BA0"/>
    <w:rsid w:val="00042DC6"/>
    <w:rsid w:val="0004378B"/>
    <w:rsid w:val="00044E48"/>
    <w:rsid w:val="00046C1C"/>
    <w:rsid w:val="000516B7"/>
    <w:rsid w:val="00051E21"/>
    <w:rsid w:val="00054171"/>
    <w:rsid w:val="00055997"/>
    <w:rsid w:val="000658CF"/>
    <w:rsid w:val="00066C76"/>
    <w:rsid w:val="00066C9A"/>
    <w:rsid w:val="00066DF9"/>
    <w:rsid w:val="00067616"/>
    <w:rsid w:val="000703C4"/>
    <w:rsid w:val="00070507"/>
    <w:rsid w:val="0007152C"/>
    <w:rsid w:val="00071F27"/>
    <w:rsid w:val="00072731"/>
    <w:rsid w:val="00075208"/>
    <w:rsid w:val="00075CDE"/>
    <w:rsid w:val="0007687C"/>
    <w:rsid w:val="00080193"/>
    <w:rsid w:val="0008118E"/>
    <w:rsid w:val="00081E76"/>
    <w:rsid w:val="00083E7D"/>
    <w:rsid w:val="00085860"/>
    <w:rsid w:val="00092ED0"/>
    <w:rsid w:val="00093E4B"/>
    <w:rsid w:val="0009462E"/>
    <w:rsid w:val="0009536D"/>
    <w:rsid w:val="000975F2"/>
    <w:rsid w:val="000A0B29"/>
    <w:rsid w:val="000A1D92"/>
    <w:rsid w:val="000A226D"/>
    <w:rsid w:val="000A2BAA"/>
    <w:rsid w:val="000A3AF7"/>
    <w:rsid w:val="000A7D1B"/>
    <w:rsid w:val="000C0111"/>
    <w:rsid w:val="000C2656"/>
    <w:rsid w:val="000C5345"/>
    <w:rsid w:val="000C6155"/>
    <w:rsid w:val="000D22F5"/>
    <w:rsid w:val="000D2FBB"/>
    <w:rsid w:val="000D5EBF"/>
    <w:rsid w:val="000D7F0F"/>
    <w:rsid w:val="000E2109"/>
    <w:rsid w:val="000E3216"/>
    <w:rsid w:val="000E3274"/>
    <w:rsid w:val="000E38F5"/>
    <w:rsid w:val="000E4675"/>
    <w:rsid w:val="000E649C"/>
    <w:rsid w:val="000F08B1"/>
    <w:rsid w:val="000F0A81"/>
    <w:rsid w:val="000F0E04"/>
    <w:rsid w:val="000F25C6"/>
    <w:rsid w:val="000F2D00"/>
    <w:rsid w:val="000F577A"/>
    <w:rsid w:val="000F5945"/>
    <w:rsid w:val="000F7CE1"/>
    <w:rsid w:val="00102DFB"/>
    <w:rsid w:val="00107BD4"/>
    <w:rsid w:val="001101BD"/>
    <w:rsid w:val="001105C3"/>
    <w:rsid w:val="00111F26"/>
    <w:rsid w:val="00114B08"/>
    <w:rsid w:val="00115931"/>
    <w:rsid w:val="00115AE0"/>
    <w:rsid w:val="001222EA"/>
    <w:rsid w:val="0012638D"/>
    <w:rsid w:val="00126DF5"/>
    <w:rsid w:val="0012792F"/>
    <w:rsid w:val="00127AB2"/>
    <w:rsid w:val="001303E2"/>
    <w:rsid w:val="001312B1"/>
    <w:rsid w:val="001326F3"/>
    <w:rsid w:val="00132751"/>
    <w:rsid w:val="001332DE"/>
    <w:rsid w:val="0013445D"/>
    <w:rsid w:val="00135BB4"/>
    <w:rsid w:val="00136A2F"/>
    <w:rsid w:val="00136CCF"/>
    <w:rsid w:val="0014141B"/>
    <w:rsid w:val="0014350C"/>
    <w:rsid w:val="001459CE"/>
    <w:rsid w:val="00146877"/>
    <w:rsid w:val="001468FA"/>
    <w:rsid w:val="001476B2"/>
    <w:rsid w:val="001478BA"/>
    <w:rsid w:val="001512C5"/>
    <w:rsid w:val="00151395"/>
    <w:rsid w:val="00157003"/>
    <w:rsid w:val="00160C9E"/>
    <w:rsid w:val="00161EFC"/>
    <w:rsid w:val="001636D1"/>
    <w:rsid w:val="00167020"/>
    <w:rsid w:val="00171673"/>
    <w:rsid w:val="00171F80"/>
    <w:rsid w:val="0017468F"/>
    <w:rsid w:val="001829F3"/>
    <w:rsid w:val="001830FB"/>
    <w:rsid w:val="00183A30"/>
    <w:rsid w:val="001846B6"/>
    <w:rsid w:val="00187B13"/>
    <w:rsid w:val="00187D17"/>
    <w:rsid w:val="00190651"/>
    <w:rsid w:val="00191F76"/>
    <w:rsid w:val="001926FF"/>
    <w:rsid w:val="001935DD"/>
    <w:rsid w:val="00193D32"/>
    <w:rsid w:val="0019591B"/>
    <w:rsid w:val="001975BC"/>
    <w:rsid w:val="001A301B"/>
    <w:rsid w:val="001A383A"/>
    <w:rsid w:val="001A5386"/>
    <w:rsid w:val="001A5F77"/>
    <w:rsid w:val="001B0F0F"/>
    <w:rsid w:val="001B22A0"/>
    <w:rsid w:val="001B65CE"/>
    <w:rsid w:val="001B6FAC"/>
    <w:rsid w:val="001B73EC"/>
    <w:rsid w:val="001C0D3A"/>
    <w:rsid w:val="001C258B"/>
    <w:rsid w:val="001C2902"/>
    <w:rsid w:val="001C3B46"/>
    <w:rsid w:val="001C482A"/>
    <w:rsid w:val="001C589A"/>
    <w:rsid w:val="001C641A"/>
    <w:rsid w:val="001C748D"/>
    <w:rsid w:val="001C79B7"/>
    <w:rsid w:val="001D598D"/>
    <w:rsid w:val="001D701B"/>
    <w:rsid w:val="001E0D42"/>
    <w:rsid w:val="001E19C5"/>
    <w:rsid w:val="001E448D"/>
    <w:rsid w:val="001E4540"/>
    <w:rsid w:val="001E506B"/>
    <w:rsid w:val="001E6DFB"/>
    <w:rsid w:val="001E6F52"/>
    <w:rsid w:val="001E7051"/>
    <w:rsid w:val="001F1A25"/>
    <w:rsid w:val="001F1A76"/>
    <w:rsid w:val="001F234C"/>
    <w:rsid w:val="001F2635"/>
    <w:rsid w:val="001F2D14"/>
    <w:rsid w:val="001F3C1F"/>
    <w:rsid w:val="001F3C6F"/>
    <w:rsid w:val="001F42A9"/>
    <w:rsid w:val="001F7A52"/>
    <w:rsid w:val="00200358"/>
    <w:rsid w:val="0020167C"/>
    <w:rsid w:val="00202F4A"/>
    <w:rsid w:val="00204D51"/>
    <w:rsid w:val="00206F11"/>
    <w:rsid w:val="00212481"/>
    <w:rsid w:val="00213507"/>
    <w:rsid w:val="002137F9"/>
    <w:rsid w:val="00215594"/>
    <w:rsid w:val="00216215"/>
    <w:rsid w:val="00217B09"/>
    <w:rsid w:val="00221473"/>
    <w:rsid w:val="00221C1B"/>
    <w:rsid w:val="0022420C"/>
    <w:rsid w:val="00224248"/>
    <w:rsid w:val="0022479C"/>
    <w:rsid w:val="00224EB3"/>
    <w:rsid w:val="00224FF2"/>
    <w:rsid w:val="002252FD"/>
    <w:rsid w:val="00225EBB"/>
    <w:rsid w:val="00230B1E"/>
    <w:rsid w:val="00233F16"/>
    <w:rsid w:val="002341C2"/>
    <w:rsid w:val="00234EEE"/>
    <w:rsid w:val="00235935"/>
    <w:rsid w:val="002360F7"/>
    <w:rsid w:val="00237275"/>
    <w:rsid w:val="00237869"/>
    <w:rsid w:val="0024025B"/>
    <w:rsid w:val="00244AE4"/>
    <w:rsid w:val="00251797"/>
    <w:rsid w:val="00252122"/>
    <w:rsid w:val="002526AA"/>
    <w:rsid w:val="00253CB2"/>
    <w:rsid w:val="00255F97"/>
    <w:rsid w:val="00257356"/>
    <w:rsid w:val="0026013A"/>
    <w:rsid w:val="00261713"/>
    <w:rsid w:val="00264414"/>
    <w:rsid w:val="002672C5"/>
    <w:rsid w:val="002673DC"/>
    <w:rsid w:val="002700CE"/>
    <w:rsid w:val="00270AD1"/>
    <w:rsid w:val="00270FE7"/>
    <w:rsid w:val="0027182F"/>
    <w:rsid w:val="002726C0"/>
    <w:rsid w:val="00273C31"/>
    <w:rsid w:val="00274C4D"/>
    <w:rsid w:val="00275FD7"/>
    <w:rsid w:val="0027778B"/>
    <w:rsid w:val="00281B55"/>
    <w:rsid w:val="00283082"/>
    <w:rsid w:val="00286DD1"/>
    <w:rsid w:val="00287D6E"/>
    <w:rsid w:val="00291F06"/>
    <w:rsid w:val="002941FF"/>
    <w:rsid w:val="002952E9"/>
    <w:rsid w:val="00295E57"/>
    <w:rsid w:val="002A0960"/>
    <w:rsid w:val="002A0D2D"/>
    <w:rsid w:val="002A5C0B"/>
    <w:rsid w:val="002B10DB"/>
    <w:rsid w:val="002B2593"/>
    <w:rsid w:val="002B3847"/>
    <w:rsid w:val="002B447B"/>
    <w:rsid w:val="002B49F4"/>
    <w:rsid w:val="002C3079"/>
    <w:rsid w:val="002C4D8E"/>
    <w:rsid w:val="002C50F1"/>
    <w:rsid w:val="002C542A"/>
    <w:rsid w:val="002C596A"/>
    <w:rsid w:val="002C5AD7"/>
    <w:rsid w:val="002C6A08"/>
    <w:rsid w:val="002D0001"/>
    <w:rsid w:val="002D1A3C"/>
    <w:rsid w:val="002D2229"/>
    <w:rsid w:val="002D3A2C"/>
    <w:rsid w:val="002D427F"/>
    <w:rsid w:val="002D4DD9"/>
    <w:rsid w:val="002D4F4A"/>
    <w:rsid w:val="002D59F4"/>
    <w:rsid w:val="002D5DF6"/>
    <w:rsid w:val="002D7639"/>
    <w:rsid w:val="002E2627"/>
    <w:rsid w:val="002E38DC"/>
    <w:rsid w:val="002E4672"/>
    <w:rsid w:val="002E5DB2"/>
    <w:rsid w:val="002E6988"/>
    <w:rsid w:val="002F2401"/>
    <w:rsid w:val="002F2965"/>
    <w:rsid w:val="002F3556"/>
    <w:rsid w:val="002F4410"/>
    <w:rsid w:val="002F5415"/>
    <w:rsid w:val="002F61A7"/>
    <w:rsid w:val="002F6461"/>
    <w:rsid w:val="00301B54"/>
    <w:rsid w:val="00301DD4"/>
    <w:rsid w:val="00302D53"/>
    <w:rsid w:val="00302F3C"/>
    <w:rsid w:val="0030324D"/>
    <w:rsid w:val="00304635"/>
    <w:rsid w:val="0030563A"/>
    <w:rsid w:val="003068F2"/>
    <w:rsid w:val="00306AFF"/>
    <w:rsid w:val="00307368"/>
    <w:rsid w:val="00312AA5"/>
    <w:rsid w:val="00315119"/>
    <w:rsid w:val="00315370"/>
    <w:rsid w:val="00315DEF"/>
    <w:rsid w:val="00317281"/>
    <w:rsid w:val="0031751A"/>
    <w:rsid w:val="003228D7"/>
    <w:rsid w:val="00327175"/>
    <w:rsid w:val="00327730"/>
    <w:rsid w:val="00331768"/>
    <w:rsid w:val="00331DA4"/>
    <w:rsid w:val="0033296C"/>
    <w:rsid w:val="00335C24"/>
    <w:rsid w:val="00336214"/>
    <w:rsid w:val="0033637F"/>
    <w:rsid w:val="0034137D"/>
    <w:rsid w:val="00342026"/>
    <w:rsid w:val="00343FDD"/>
    <w:rsid w:val="0034473E"/>
    <w:rsid w:val="00344AB7"/>
    <w:rsid w:val="00345F4E"/>
    <w:rsid w:val="00347235"/>
    <w:rsid w:val="00347681"/>
    <w:rsid w:val="00350674"/>
    <w:rsid w:val="0035393D"/>
    <w:rsid w:val="00356059"/>
    <w:rsid w:val="003606F7"/>
    <w:rsid w:val="003634AB"/>
    <w:rsid w:val="00363E7C"/>
    <w:rsid w:val="00364414"/>
    <w:rsid w:val="00366F99"/>
    <w:rsid w:val="00370C83"/>
    <w:rsid w:val="003721BC"/>
    <w:rsid w:val="00372D0E"/>
    <w:rsid w:val="0037466F"/>
    <w:rsid w:val="0037665A"/>
    <w:rsid w:val="0037686B"/>
    <w:rsid w:val="003779A4"/>
    <w:rsid w:val="00380F87"/>
    <w:rsid w:val="0039169A"/>
    <w:rsid w:val="003918E4"/>
    <w:rsid w:val="00395B14"/>
    <w:rsid w:val="003964A3"/>
    <w:rsid w:val="00396ED6"/>
    <w:rsid w:val="003A31ED"/>
    <w:rsid w:val="003A34CB"/>
    <w:rsid w:val="003A7539"/>
    <w:rsid w:val="003B0E06"/>
    <w:rsid w:val="003B1770"/>
    <w:rsid w:val="003B2FC1"/>
    <w:rsid w:val="003B467C"/>
    <w:rsid w:val="003B60F6"/>
    <w:rsid w:val="003C0689"/>
    <w:rsid w:val="003C0E08"/>
    <w:rsid w:val="003C1B70"/>
    <w:rsid w:val="003C3217"/>
    <w:rsid w:val="003D1F33"/>
    <w:rsid w:val="003D2B55"/>
    <w:rsid w:val="003D2C2E"/>
    <w:rsid w:val="003D6721"/>
    <w:rsid w:val="003E24D3"/>
    <w:rsid w:val="003E2827"/>
    <w:rsid w:val="003E73B7"/>
    <w:rsid w:val="003E7DE6"/>
    <w:rsid w:val="003F2829"/>
    <w:rsid w:val="003F3AD6"/>
    <w:rsid w:val="003F6FD4"/>
    <w:rsid w:val="004011B9"/>
    <w:rsid w:val="004032AB"/>
    <w:rsid w:val="00403F7A"/>
    <w:rsid w:val="0040556B"/>
    <w:rsid w:val="00406C40"/>
    <w:rsid w:val="004126DF"/>
    <w:rsid w:val="004139F2"/>
    <w:rsid w:val="004161CD"/>
    <w:rsid w:val="0041737F"/>
    <w:rsid w:val="004218AE"/>
    <w:rsid w:val="00421E23"/>
    <w:rsid w:val="004226C7"/>
    <w:rsid w:val="0042272A"/>
    <w:rsid w:val="00423E57"/>
    <w:rsid w:val="004256FE"/>
    <w:rsid w:val="0042648A"/>
    <w:rsid w:val="00431DFD"/>
    <w:rsid w:val="00432CB3"/>
    <w:rsid w:val="004337EF"/>
    <w:rsid w:val="00436EF4"/>
    <w:rsid w:val="00436FFC"/>
    <w:rsid w:val="004409B4"/>
    <w:rsid w:val="004434D0"/>
    <w:rsid w:val="00443B73"/>
    <w:rsid w:val="00446256"/>
    <w:rsid w:val="0044643E"/>
    <w:rsid w:val="004505FE"/>
    <w:rsid w:val="004515C8"/>
    <w:rsid w:val="00451F88"/>
    <w:rsid w:val="00454E74"/>
    <w:rsid w:val="00455F35"/>
    <w:rsid w:val="004622EB"/>
    <w:rsid w:val="0046291F"/>
    <w:rsid w:val="00464326"/>
    <w:rsid w:val="00464C1C"/>
    <w:rsid w:val="00466710"/>
    <w:rsid w:val="00466BC8"/>
    <w:rsid w:val="00475159"/>
    <w:rsid w:val="004768FA"/>
    <w:rsid w:val="004814C9"/>
    <w:rsid w:val="00482BAC"/>
    <w:rsid w:val="00486B2F"/>
    <w:rsid w:val="00487A41"/>
    <w:rsid w:val="00487D14"/>
    <w:rsid w:val="00487F51"/>
    <w:rsid w:val="00495CF8"/>
    <w:rsid w:val="00496F6B"/>
    <w:rsid w:val="004A187A"/>
    <w:rsid w:val="004A223B"/>
    <w:rsid w:val="004A2967"/>
    <w:rsid w:val="004A3093"/>
    <w:rsid w:val="004A4030"/>
    <w:rsid w:val="004A413B"/>
    <w:rsid w:val="004A6386"/>
    <w:rsid w:val="004A69A3"/>
    <w:rsid w:val="004B03E0"/>
    <w:rsid w:val="004B08A9"/>
    <w:rsid w:val="004B18AC"/>
    <w:rsid w:val="004B2104"/>
    <w:rsid w:val="004B2B83"/>
    <w:rsid w:val="004B382E"/>
    <w:rsid w:val="004B3854"/>
    <w:rsid w:val="004B3DAD"/>
    <w:rsid w:val="004B5B66"/>
    <w:rsid w:val="004C0731"/>
    <w:rsid w:val="004C1ED0"/>
    <w:rsid w:val="004C2A5B"/>
    <w:rsid w:val="004C389F"/>
    <w:rsid w:val="004C59D8"/>
    <w:rsid w:val="004D1FE4"/>
    <w:rsid w:val="004D372A"/>
    <w:rsid w:val="004D49D6"/>
    <w:rsid w:val="004E1437"/>
    <w:rsid w:val="004E27D2"/>
    <w:rsid w:val="004E3E16"/>
    <w:rsid w:val="004E51DF"/>
    <w:rsid w:val="004F2AD4"/>
    <w:rsid w:val="004F2C91"/>
    <w:rsid w:val="004F5095"/>
    <w:rsid w:val="004F68A5"/>
    <w:rsid w:val="004F7655"/>
    <w:rsid w:val="004F7E57"/>
    <w:rsid w:val="00500441"/>
    <w:rsid w:val="00501766"/>
    <w:rsid w:val="005019CC"/>
    <w:rsid w:val="005023DA"/>
    <w:rsid w:val="00502F58"/>
    <w:rsid w:val="00510FD3"/>
    <w:rsid w:val="0051220A"/>
    <w:rsid w:val="00513BB0"/>
    <w:rsid w:val="005163C1"/>
    <w:rsid w:val="00516BA6"/>
    <w:rsid w:val="00516E30"/>
    <w:rsid w:val="00520F51"/>
    <w:rsid w:val="0052195E"/>
    <w:rsid w:val="005230F0"/>
    <w:rsid w:val="00523E82"/>
    <w:rsid w:val="005251D8"/>
    <w:rsid w:val="00526198"/>
    <w:rsid w:val="005302F1"/>
    <w:rsid w:val="00530FF4"/>
    <w:rsid w:val="00532618"/>
    <w:rsid w:val="00533DF3"/>
    <w:rsid w:val="00535290"/>
    <w:rsid w:val="005360B9"/>
    <w:rsid w:val="005417E0"/>
    <w:rsid w:val="00545DA4"/>
    <w:rsid w:val="00546C95"/>
    <w:rsid w:val="00546EC1"/>
    <w:rsid w:val="00547471"/>
    <w:rsid w:val="00547F75"/>
    <w:rsid w:val="00551FED"/>
    <w:rsid w:val="00552D22"/>
    <w:rsid w:val="00553094"/>
    <w:rsid w:val="00553282"/>
    <w:rsid w:val="005539DD"/>
    <w:rsid w:val="00553AC0"/>
    <w:rsid w:val="005548C8"/>
    <w:rsid w:val="005550DE"/>
    <w:rsid w:val="00555F9A"/>
    <w:rsid w:val="00556219"/>
    <w:rsid w:val="00556891"/>
    <w:rsid w:val="00556933"/>
    <w:rsid w:val="00557F16"/>
    <w:rsid w:val="005619B7"/>
    <w:rsid w:val="00562288"/>
    <w:rsid w:val="005625A2"/>
    <w:rsid w:val="00564221"/>
    <w:rsid w:val="00564FBA"/>
    <w:rsid w:val="00565756"/>
    <w:rsid w:val="0056742E"/>
    <w:rsid w:val="00567526"/>
    <w:rsid w:val="00567A60"/>
    <w:rsid w:val="00567FEC"/>
    <w:rsid w:val="00570649"/>
    <w:rsid w:val="00570768"/>
    <w:rsid w:val="00570A56"/>
    <w:rsid w:val="00571972"/>
    <w:rsid w:val="0057198D"/>
    <w:rsid w:val="00572D55"/>
    <w:rsid w:val="005742FD"/>
    <w:rsid w:val="005745BC"/>
    <w:rsid w:val="0057643C"/>
    <w:rsid w:val="00576BC3"/>
    <w:rsid w:val="005777EB"/>
    <w:rsid w:val="00581453"/>
    <w:rsid w:val="005857AC"/>
    <w:rsid w:val="00586912"/>
    <w:rsid w:val="0058714D"/>
    <w:rsid w:val="00590311"/>
    <w:rsid w:val="0059137A"/>
    <w:rsid w:val="0059272F"/>
    <w:rsid w:val="00594AF9"/>
    <w:rsid w:val="0059526F"/>
    <w:rsid w:val="005A02A5"/>
    <w:rsid w:val="005A13BD"/>
    <w:rsid w:val="005A3123"/>
    <w:rsid w:val="005B2789"/>
    <w:rsid w:val="005C0F87"/>
    <w:rsid w:val="005C12F0"/>
    <w:rsid w:val="005C2CC3"/>
    <w:rsid w:val="005C373C"/>
    <w:rsid w:val="005C5E3D"/>
    <w:rsid w:val="005D1768"/>
    <w:rsid w:val="005D235E"/>
    <w:rsid w:val="005D2E2B"/>
    <w:rsid w:val="005D35B4"/>
    <w:rsid w:val="005D3750"/>
    <w:rsid w:val="005D3F1A"/>
    <w:rsid w:val="005D5DBF"/>
    <w:rsid w:val="005D7ADD"/>
    <w:rsid w:val="005E24B4"/>
    <w:rsid w:val="005F098A"/>
    <w:rsid w:val="005F1C83"/>
    <w:rsid w:val="005F364F"/>
    <w:rsid w:val="005F52D7"/>
    <w:rsid w:val="005F7752"/>
    <w:rsid w:val="006000D2"/>
    <w:rsid w:val="0060029A"/>
    <w:rsid w:val="006003E5"/>
    <w:rsid w:val="00602022"/>
    <w:rsid w:val="00604D22"/>
    <w:rsid w:val="00607D9F"/>
    <w:rsid w:val="00607EE7"/>
    <w:rsid w:val="00610F07"/>
    <w:rsid w:val="00611B7F"/>
    <w:rsid w:val="00614C96"/>
    <w:rsid w:val="0061503B"/>
    <w:rsid w:val="006201F6"/>
    <w:rsid w:val="00620381"/>
    <w:rsid w:val="006216C9"/>
    <w:rsid w:val="00624DC9"/>
    <w:rsid w:val="00625E79"/>
    <w:rsid w:val="00626D76"/>
    <w:rsid w:val="00626DC7"/>
    <w:rsid w:val="00626F8B"/>
    <w:rsid w:val="00631749"/>
    <w:rsid w:val="006339D7"/>
    <w:rsid w:val="00634520"/>
    <w:rsid w:val="00636BC3"/>
    <w:rsid w:val="006453B0"/>
    <w:rsid w:val="006466A8"/>
    <w:rsid w:val="00650643"/>
    <w:rsid w:val="0065064B"/>
    <w:rsid w:val="00653785"/>
    <w:rsid w:val="00655DC0"/>
    <w:rsid w:val="0065724D"/>
    <w:rsid w:val="00660122"/>
    <w:rsid w:val="00660B85"/>
    <w:rsid w:val="0066494A"/>
    <w:rsid w:val="00666016"/>
    <w:rsid w:val="00667875"/>
    <w:rsid w:val="00667F3E"/>
    <w:rsid w:val="00670098"/>
    <w:rsid w:val="00670CC7"/>
    <w:rsid w:val="00670F97"/>
    <w:rsid w:val="0067124D"/>
    <w:rsid w:val="00671EA6"/>
    <w:rsid w:val="006755DA"/>
    <w:rsid w:val="00676440"/>
    <w:rsid w:val="00676666"/>
    <w:rsid w:val="006813AB"/>
    <w:rsid w:val="00683DE6"/>
    <w:rsid w:val="00684AEF"/>
    <w:rsid w:val="00685228"/>
    <w:rsid w:val="00690CCB"/>
    <w:rsid w:val="0069318F"/>
    <w:rsid w:val="00693F8F"/>
    <w:rsid w:val="00695C5A"/>
    <w:rsid w:val="00696460"/>
    <w:rsid w:val="00696EBC"/>
    <w:rsid w:val="0069770B"/>
    <w:rsid w:val="006A15C2"/>
    <w:rsid w:val="006A213F"/>
    <w:rsid w:val="006A2ED3"/>
    <w:rsid w:val="006A364B"/>
    <w:rsid w:val="006A71D2"/>
    <w:rsid w:val="006A7384"/>
    <w:rsid w:val="006A75DD"/>
    <w:rsid w:val="006A78AC"/>
    <w:rsid w:val="006A7E6F"/>
    <w:rsid w:val="006B158C"/>
    <w:rsid w:val="006B1648"/>
    <w:rsid w:val="006B2BB0"/>
    <w:rsid w:val="006B5688"/>
    <w:rsid w:val="006B57FE"/>
    <w:rsid w:val="006C007F"/>
    <w:rsid w:val="006C129D"/>
    <w:rsid w:val="006C14BA"/>
    <w:rsid w:val="006C283D"/>
    <w:rsid w:val="006C36E2"/>
    <w:rsid w:val="006C5CEC"/>
    <w:rsid w:val="006C5CEF"/>
    <w:rsid w:val="006C6060"/>
    <w:rsid w:val="006C64F0"/>
    <w:rsid w:val="006C76CB"/>
    <w:rsid w:val="006D262E"/>
    <w:rsid w:val="006D4B8D"/>
    <w:rsid w:val="006D5500"/>
    <w:rsid w:val="006D56D5"/>
    <w:rsid w:val="006D64DA"/>
    <w:rsid w:val="006D6D30"/>
    <w:rsid w:val="006D7548"/>
    <w:rsid w:val="006D7669"/>
    <w:rsid w:val="006D7F94"/>
    <w:rsid w:val="006E0522"/>
    <w:rsid w:val="006E3272"/>
    <w:rsid w:val="006E33F9"/>
    <w:rsid w:val="006E56BB"/>
    <w:rsid w:val="006F037D"/>
    <w:rsid w:val="006F2674"/>
    <w:rsid w:val="006F3658"/>
    <w:rsid w:val="006F3B99"/>
    <w:rsid w:val="006F3CB2"/>
    <w:rsid w:val="006F3FFF"/>
    <w:rsid w:val="006F506B"/>
    <w:rsid w:val="00700D21"/>
    <w:rsid w:val="00700E2A"/>
    <w:rsid w:val="0070114C"/>
    <w:rsid w:val="00704655"/>
    <w:rsid w:val="00704909"/>
    <w:rsid w:val="007057A1"/>
    <w:rsid w:val="0071156D"/>
    <w:rsid w:val="007123B1"/>
    <w:rsid w:val="00712DAA"/>
    <w:rsid w:val="00712F2A"/>
    <w:rsid w:val="007130F8"/>
    <w:rsid w:val="00713E9D"/>
    <w:rsid w:val="00717CDC"/>
    <w:rsid w:val="00724928"/>
    <w:rsid w:val="00730584"/>
    <w:rsid w:val="00730D9C"/>
    <w:rsid w:val="00740538"/>
    <w:rsid w:val="00744215"/>
    <w:rsid w:val="00745342"/>
    <w:rsid w:val="007469AC"/>
    <w:rsid w:val="00746D2C"/>
    <w:rsid w:val="00750C11"/>
    <w:rsid w:val="00750E7C"/>
    <w:rsid w:val="00750F7E"/>
    <w:rsid w:val="00753A14"/>
    <w:rsid w:val="00754ADD"/>
    <w:rsid w:val="00754B07"/>
    <w:rsid w:val="00756DEC"/>
    <w:rsid w:val="00757507"/>
    <w:rsid w:val="00757868"/>
    <w:rsid w:val="00757F36"/>
    <w:rsid w:val="00760CEB"/>
    <w:rsid w:val="0076372A"/>
    <w:rsid w:val="007640F6"/>
    <w:rsid w:val="0076627C"/>
    <w:rsid w:val="00766373"/>
    <w:rsid w:val="0077008B"/>
    <w:rsid w:val="00772BE3"/>
    <w:rsid w:val="00776603"/>
    <w:rsid w:val="00780E76"/>
    <w:rsid w:val="0078145F"/>
    <w:rsid w:val="0078167F"/>
    <w:rsid w:val="0078343D"/>
    <w:rsid w:val="00783C55"/>
    <w:rsid w:val="00787502"/>
    <w:rsid w:val="0079216A"/>
    <w:rsid w:val="007946E1"/>
    <w:rsid w:val="007955F1"/>
    <w:rsid w:val="00795E2F"/>
    <w:rsid w:val="00796393"/>
    <w:rsid w:val="007971B0"/>
    <w:rsid w:val="007A0EB8"/>
    <w:rsid w:val="007A22C4"/>
    <w:rsid w:val="007A259C"/>
    <w:rsid w:val="007A25E1"/>
    <w:rsid w:val="007A558F"/>
    <w:rsid w:val="007A5CF2"/>
    <w:rsid w:val="007A7885"/>
    <w:rsid w:val="007B1416"/>
    <w:rsid w:val="007B30E8"/>
    <w:rsid w:val="007B442C"/>
    <w:rsid w:val="007B5E4C"/>
    <w:rsid w:val="007B5F05"/>
    <w:rsid w:val="007B5FF7"/>
    <w:rsid w:val="007B7CDB"/>
    <w:rsid w:val="007B7DEB"/>
    <w:rsid w:val="007C063A"/>
    <w:rsid w:val="007C07B7"/>
    <w:rsid w:val="007C4044"/>
    <w:rsid w:val="007C6B4D"/>
    <w:rsid w:val="007D0222"/>
    <w:rsid w:val="007D0C8C"/>
    <w:rsid w:val="007D2816"/>
    <w:rsid w:val="007D5E17"/>
    <w:rsid w:val="007D7CD3"/>
    <w:rsid w:val="007E1161"/>
    <w:rsid w:val="007E1885"/>
    <w:rsid w:val="007E499C"/>
    <w:rsid w:val="007E5130"/>
    <w:rsid w:val="007E5E02"/>
    <w:rsid w:val="007E7780"/>
    <w:rsid w:val="007F635E"/>
    <w:rsid w:val="007F7193"/>
    <w:rsid w:val="007F7363"/>
    <w:rsid w:val="00804938"/>
    <w:rsid w:val="00806B5B"/>
    <w:rsid w:val="00807AC7"/>
    <w:rsid w:val="0081041F"/>
    <w:rsid w:val="0081161D"/>
    <w:rsid w:val="00811D94"/>
    <w:rsid w:val="0081454A"/>
    <w:rsid w:val="00814DD4"/>
    <w:rsid w:val="008151B6"/>
    <w:rsid w:val="008175FD"/>
    <w:rsid w:val="008211CA"/>
    <w:rsid w:val="0082297D"/>
    <w:rsid w:val="008248BB"/>
    <w:rsid w:val="00826598"/>
    <w:rsid w:val="00827B34"/>
    <w:rsid w:val="00827F59"/>
    <w:rsid w:val="00832F4A"/>
    <w:rsid w:val="008334DA"/>
    <w:rsid w:val="0083449E"/>
    <w:rsid w:val="008418FD"/>
    <w:rsid w:val="008428B6"/>
    <w:rsid w:val="00843298"/>
    <w:rsid w:val="0084558D"/>
    <w:rsid w:val="008479AE"/>
    <w:rsid w:val="00851361"/>
    <w:rsid w:val="00852EDC"/>
    <w:rsid w:val="00853799"/>
    <w:rsid w:val="008560DB"/>
    <w:rsid w:val="00857BE3"/>
    <w:rsid w:val="0086120F"/>
    <w:rsid w:val="00861FAB"/>
    <w:rsid w:val="0086513E"/>
    <w:rsid w:val="008709FD"/>
    <w:rsid w:val="00871CE7"/>
    <w:rsid w:val="008734A2"/>
    <w:rsid w:val="00873565"/>
    <w:rsid w:val="00873DD8"/>
    <w:rsid w:val="008851E5"/>
    <w:rsid w:val="00885311"/>
    <w:rsid w:val="00885FAB"/>
    <w:rsid w:val="008879DB"/>
    <w:rsid w:val="00892571"/>
    <w:rsid w:val="0089642F"/>
    <w:rsid w:val="008964D6"/>
    <w:rsid w:val="008A1386"/>
    <w:rsid w:val="008A2234"/>
    <w:rsid w:val="008A6F6A"/>
    <w:rsid w:val="008A7704"/>
    <w:rsid w:val="008B0496"/>
    <w:rsid w:val="008B2B10"/>
    <w:rsid w:val="008B3BAD"/>
    <w:rsid w:val="008B4ECF"/>
    <w:rsid w:val="008B6082"/>
    <w:rsid w:val="008C1FCD"/>
    <w:rsid w:val="008C23D0"/>
    <w:rsid w:val="008C2F03"/>
    <w:rsid w:val="008C3D11"/>
    <w:rsid w:val="008C73F0"/>
    <w:rsid w:val="008C777A"/>
    <w:rsid w:val="008D0A3D"/>
    <w:rsid w:val="008D2799"/>
    <w:rsid w:val="008D5BA6"/>
    <w:rsid w:val="008D7175"/>
    <w:rsid w:val="008D789B"/>
    <w:rsid w:val="008E0350"/>
    <w:rsid w:val="008E0C74"/>
    <w:rsid w:val="008E1BD0"/>
    <w:rsid w:val="008E23FF"/>
    <w:rsid w:val="008E37DE"/>
    <w:rsid w:val="008E482E"/>
    <w:rsid w:val="008E4E72"/>
    <w:rsid w:val="008E65DE"/>
    <w:rsid w:val="008F12E3"/>
    <w:rsid w:val="008F5A24"/>
    <w:rsid w:val="008F668E"/>
    <w:rsid w:val="0090033D"/>
    <w:rsid w:val="00905874"/>
    <w:rsid w:val="009062C4"/>
    <w:rsid w:val="00910276"/>
    <w:rsid w:val="00911261"/>
    <w:rsid w:val="00911D0C"/>
    <w:rsid w:val="009141AC"/>
    <w:rsid w:val="00917F90"/>
    <w:rsid w:val="0092340B"/>
    <w:rsid w:val="00927BFE"/>
    <w:rsid w:val="0093077A"/>
    <w:rsid w:val="00930A7F"/>
    <w:rsid w:val="00931340"/>
    <w:rsid w:val="009317EA"/>
    <w:rsid w:val="00932C47"/>
    <w:rsid w:val="00933994"/>
    <w:rsid w:val="00936822"/>
    <w:rsid w:val="009402BD"/>
    <w:rsid w:val="00940C66"/>
    <w:rsid w:val="00943B2A"/>
    <w:rsid w:val="009442DE"/>
    <w:rsid w:val="00952D63"/>
    <w:rsid w:val="00953152"/>
    <w:rsid w:val="00954024"/>
    <w:rsid w:val="00954650"/>
    <w:rsid w:val="00957059"/>
    <w:rsid w:val="00960B05"/>
    <w:rsid w:val="0096396D"/>
    <w:rsid w:val="00964411"/>
    <w:rsid w:val="00966A51"/>
    <w:rsid w:val="00966C18"/>
    <w:rsid w:val="009746C3"/>
    <w:rsid w:val="00975384"/>
    <w:rsid w:val="0097564F"/>
    <w:rsid w:val="00977AAD"/>
    <w:rsid w:val="0098092E"/>
    <w:rsid w:val="00981CB7"/>
    <w:rsid w:val="00983B2B"/>
    <w:rsid w:val="0098502A"/>
    <w:rsid w:val="00985AD1"/>
    <w:rsid w:val="0098614C"/>
    <w:rsid w:val="009869DD"/>
    <w:rsid w:val="0098762B"/>
    <w:rsid w:val="00990B37"/>
    <w:rsid w:val="00993405"/>
    <w:rsid w:val="00995108"/>
    <w:rsid w:val="00996D6B"/>
    <w:rsid w:val="009A2BBF"/>
    <w:rsid w:val="009A3273"/>
    <w:rsid w:val="009A3F38"/>
    <w:rsid w:val="009A3F81"/>
    <w:rsid w:val="009A538A"/>
    <w:rsid w:val="009A576A"/>
    <w:rsid w:val="009B1A48"/>
    <w:rsid w:val="009B2E4A"/>
    <w:rsid w:val="009B4849"/>
    <w:rsid w:val="009B69D9"/>
    <w:rsid w:val="009B6B6E"/>
    <w:rsid w:val="009B7408"/>
    <w:rsid w:val="009B748B"/>
    <w:rsid w:val="009B7F1F"/>
    <w:rsid w:val="009C1367"/>
    <w:rsid w:val="009C15A4"/>
    <w:rsid w:val="009C34CF"/>
    <w:rsid w:val="009C350F"/>
    <w:rsid w:val="009C6E7E"/>
    <w:rsid w:val="009D121B"/>
    <w:rsid w:val="009D1DF7"/>
    <w:rsid w:val="009D55B4"/>
    <w:rsid w:val="009D5FE8"/>
    <w:rsid w:val="009E281E"/>
    <w:rsid w:val="009E6966"/>
    <w:rsid w:val="009E6EE0"/>
    <w:rsid w:val="009E7360"/>
    <w:rsid w:val="009F0B53"/>
    <w:rsid w:val="009F1560"/>
    <w:rsid w:val="009F195E"/>
    <w:rsid w:val="009F351C"/>
    <w:rsid w:val="009F4050"/>
    <w:rsid w:val="009F7B6A"/>
    <w:rsid w:val="00A00C7F"/>
    <w:rsid w:val="00A04E32"/>
    <w:rsid w:val="00A07096"/>
    <w:rsid w:val="00A11AB1"/>
    <w:rsid w:val="00A11C6E"/>
    <w:rsid w:val="00A128B7"/>
    <w:rsid w:val="00A1316A"/>
    <w:rsid w:val="00A14DB8"/>
    <w:rsid w:val="00A169E8"/>
    <w:rsid w:val="00A20287"/>
    <w:rsid w:val="00A22280"/>
    <w:rsid w:val="00A23448"/>
    <w:rsid w:val="00A24439"/>
    <w:rsid w:val="00A25352"/>
    <w:rsid w:val="00A25B9F"/>
    <w:rsid w:val="00A26884"/>
    <w:rsid w:val="00A3061D"/>
    <w:rsid w:val="00A323D5"/>
    <w:rsid w:val="00A32825"/>
    <w:rsid w:val="00A32996"/>
    <w:rsid w:val="00A42B1E"/>
    <w:rsid w:val="00A43CD4"/>
    <w:rsid w:val="00A43F16"/>
    <w:rsid w:val="00A440E5"/>
    <w:rsid w:val="00A44DE2"/>
    <w:rsid w:val="00A46077"/>
    <w:rsid w:val="00A46D29"/>
    <w:rsid w:val="00A474E4"/>
    <w:rsid w:val="00A50306"/>
    <w:rsid w:val="00A5062A"/>
    <w:rsid w:val="00A506AE"/>
    <w:rsid w:val="00A50F2A"/>
    <w:rsid w:val="00A519EC"/>
    <w:rsid w:val="00A52B65"/>
    <w:rsid w:val="00A53564"/>
    <w:rsid w:val="00A537EE"/>
    <w:rsid w:val="00A550D5"/>
    <w:rsid w:val="00A57AFC"/>
    <w:rsid w:val="00A61D03"/>
    <w:rsid w:val="00A63AEF"/>
    <w:rsid w:val="00A665A7"/>
    <w:rsid w:val="00A66C55"/>
    <w:rsid w:val="00A6702E"/>
    <w:rsid w:val="00A67393"/>
    <w:rsid w:val="00A74C65"/>
    <w:rsid w:val="00A76E44"/>
    <w:rsid w:val="00A8010C"/>
    <w:rsid w:val="00A81237"/>
    <w:rsid w:val="00A81398"/>
    <w:rsid w:val="00A81629"/>
    <w:rsid w:val="00A81FE8"/>
    <w:rsid w:val="00A821BE"/>
    <w:rsid w:val="00A82E52"/>
    <w:rsid w:val="00A8456F"/>
    <w:rsid w:val="00A859BE"/>
    <w:rsid w:val="00A92038"/>
    <w:rsid w:val="00A93223"/>
    <w:rsid w:val="00A93E5F"/>
    <w:rsid w:val="00A9593C"/>
    <w:rsid w:val="00A96878"/>
    <w:rsid w:val="00A978FE"/>
    <w:rsid w:val="00A979A0"/>
    <w:rsid w:val="00AA0060"/>
    <w:rsid w:val="00AA080F"/>
    <w:rsid w:val="00AA1892"/>
    <w:rsid w:val="00AA2282"/>
    <w:rsid w:val="00AA2B56"/>
    <w:rsid w:val="00AA67FA"/>
    <w:rsid w:val="00AA7672"/>
    <w:rsid w:val="00AB11EF"/>
    <w:rsid w:val="00AB484A"/>
    <w:rsid w:val="00AB4BB0"/>
    <w:rsid w:val="00AB7275"/>
    <w:rsid w:val="00AC5BB3"/>
    <w:rsid w:val="00AD15B4"/>
    <w:rsid w:val="00AD6C8B"/>
    <w:rsid w:val="00AE4BD9"/>
    <w:rsid w:val="00AE568E"/>
    <w:rsid w:val="00AE71B5"/>
    <w:rsid w:val="00AF1D01"/>
    <w:rsid w:val="00AF2D97"/>
    <w:rsid w:val="00AF3581"/>
    <w:rsid w:val="00AF4980"/>
    <w:rsid w:val="00AF4DEC"/>
    <w:rsid w:val="00AF5AA4"/>
    <w:rsid w:val="00AF5DD8"/>
    <w:rsid w:val="00AF6DF3"/>
    <w:rsid w:val="00B02007"/>
    <w:rsid w:val="00B054AE"/>
    <w:rsid w:val="00B0574E"/>
    <w:rsid w:val="00B11316"/>
    <w:rsid w:val="00B13258"/>
    <w:rsid w:val="00B15B9C"/>
    <w:rsid w:val="00B200D0"/>
    <w:rsid w:val="00B206B3"/>
    <w:rsid w:val="00B22993"/>
    <w:rsid w:val="00B25930"/>
    <w:rsid w:val="00B25FFF"/>
    <w:rsid w:val="00B26CC5"/>
    <w:rsid w:val="00B2736A"/>
    <w:rsid w:val="00B27E9E"/>
    <w:rsid w:val="00B302A1"/>
    <w:rsid w:val="00B31CC6"/>
    <w:rsid w:val="00B31E1E"/>
    <w:rsid w:val="00B3263A"/>
    <w:rsid w:val="00B32AF4"/>
    <w:rsid w:val="00B34994"/>
    <w:rsid w:val="00B369D6"/>
    <w:rsid w:val="00B40868"/>
    <w:rsid w:val="00B41420"/>
    <w:rsid w:val="00B41AF4"/>
    <w:rsid w:val="00B41BD5"/>
    <w:rsid w:val="00B4265C"/>
    <w:rsid w:val="00B4511C"/>
    <w:rsid w:val="00B460CC"/>
    <w:rsid w:val="00B463C6"/>
    <w:rsid w:val="00B47FE0"/>
    <w:rsid w:val="00B50577"/>
    <w:rsid w:val="00B5087F"/>
    <w:rsid w:val="00B53822"/>
    <w:rsid w:val="00B55958"/>
    <w:rsid w:val="00B62302"/>
    <w:rsid w:val="00B63979"/>
    <w:rsid w:val="00B65A8E"/>
    <w:rsid w:val="00B65FE5"/>
    <w:rsid w:val="00B677F2"/>
    <w:rsid w:val="00B67C22"/>
    <w:rsid w:val="00B72358"/>
    <w:rsid w:val="00B7783E"/>
    <w:rsid w:val="00B77DED"/>
    <w:rsid w:val="00B82BC2"/>
    <w:rsid w:val="00B847EC"/>
    <w:rsid w:val="00B86652"/>
    <w:rsid w:val="00B8680D"/>
    <w:rsid w:val="00B869C9"/>
    <w:rsid w:val="00B876AD"/>
    <w:rsid w:val="00B87C0F"/>
    <w:rsid w:val="00B90F97"/>
    <w:rsid w:val="00B930FF"/>
    <w:rsid w:val="00B95033"/>
    <w:rsid w:val="00B9513F"/>
    <w:rsid w:val="00B95AB5"/>
    <w:rsid w:val="00B95B7D"/>
    <w:rsid w:val="00B961C5"/>
    <w:rsid w:val="00BA0433"/>
    <w:rsid w:val="00BA163D"/>
    <w:rsid w:val="00BA4C0A"/>
    <w:rsid w:val="00BB188F"/>
    <w:rsid w:val="00BB26EA"/>
    <w:rsid w:val="00BB4A30"/>
    <w:rsid w:val="00BC07BA"/>
    <w:rsid w:val="00BC1DEA"/>
    <w:rsid w:val="00BC2229"/>
    <w:rsid w:val="00BC24C8"/>
    <w:rsid w:val="00BC2BE6"/>
    <w:rsid w:val="00BC4A4D"/>
    <w:rsid w:val="00BD0A81"/>
    <w:rsid w:val="00BD3EFE"/>
    <w:rsid w:val="00BD4DAE"/>
    <w:rsid w:val="00BD5A5F"/>
    <w:rsid w:val="00BD7E8A"/>
    <w:rsid w:val="00BE02E9"/>
    <w:rsid w:val="00BE0806"/>
    <w:rsid w:val="00BE540D"/>
    <w:rsid w:val="00BE55F2"/>
    <w:rsid w:val="00BF5315"/>
    <w:rsid w:val="00BF5E22"/>
    <w:rsid w:val="00BF5F46"/>
    <w:rsid w:val="00BF61B7"/>
    <w:rsid w:val="00C0014F"/>
    <w:rsid w:val="00C01752"/>
    <w:rsid w:val="00C0234A"/>
    <w:rsid w:val="00C02520"/>
    <w:rsid w:val="00C0330B"/>
    <w:rsid w:val="00C03645"/>
    <w:rsid w:val="00C03D03"/>
    <w:rsid w:val="00C047F3"/>
    <w:rsid w:val="00C050BB"/>
    <w:rsid w:val="00C0767A"/>
    <w:rsid w:val="00C07A2E"/>
    <w:rsid w:val="00C07D39"/>
    <w:rsid w:val="00C117D4"/>
    <w:rsid w:val="00C128C3"/>
    <w:rsid w:val="00C13403"/>
    <w:rsid w:val="00C13CB3"/>
    <w:rsid w:val="00C20291"/>
    <w:rsid w:val="00C219DD"/>
    <w:rsid w:val="00C22EE5"/>
    <w:rsid w:val="00C23606"/>
    <w:rsid w:val="00C2650B"/>
    <w:rsid w:val="00C27311"/>
    <w:rsid w:val="00C300DF"/>
    <w:rsid w:val="00C31DF1"/>
    <w:rsid w:val="00C335DE"/>
    <w:rsid w:val="00C33C06"/>
    <w:rsid w:val="00C36B16"/>
    <w:rsid w:val="00C36CF8"/>
    <w:rsid w:val="00C37586"/>
    <w:rsid w:val="00C37E27"/>
    <w:rsid w:val="00C4299E"/>
    <w:rsid w:val="00C432BD"/>
    <w:rsid w:val="00C44031"/>
    <w:rsid w:val="00C50712"/>
    <w:rsid w:val="00C50A00"/>
    <w:rsid w:val="00C5237B"/>
    <w:rsid w:val="00C52727"/>
    <w:rsid w:val="00C52758"/>
    <w:rsid w:val="00C52C31"/>
    <w:rsid w:val="00C5320F"/>
    <w:rsid w:val="00C54E9E"/>
    <w:rsid w:val="00C563F5"/>
    <w:rsid w:val="00C568AB"/>
    <w:rsid w:val="00C57D84"/>
    <w:rsid w:val="00C607D8"/>
    <w:rsid w:val="00C61326"/>
    <w:rsid w:val="00C650B1"/>
    <w:rsid w:val="00C6516C"/>
    <w:rsid w:val="00C65DB3"/>
    <w:rsid w:val="00C666D5"/>
    <w:rsid w:val="00C67FAA"/>
    <w:rsid w:val="00C7037D"/>
    <w:rsid w:val="00C72289"/>
    <w:rsid w:val="00C748F3"/>
    <w:rsid w:val="00C7503E"/>
    <w:rsid w:val="00C762C5"/>
    <w:rsid w:val="00C768A5"/>
    <w:rsid w:val="00C7695C"/>
    <w:rsid w:val="00C80B27"/>
    <w:rsid w:val="00C81449"/>
    <w:rsid w:val="00C818EB"/>
    <w:rsid w:val="00C846E9"/>
    <w:rsid w:val="00C851D3"/>
    <w:rsid w:val="00C862E0"/>
    <w:rsid w:val="00C86713"/>
    <w:rsid w:val="00C92A53"/>
    <w:rsid w:val="00C94BBF"/>
    <w:rsid w:val="00C956C9"/>
    <w:rsid w:val="00C95AE9"/>
    <w:rsid w:val="00C964F4"/>
    <w:rsid w:val="00CA50EC"/>
    <w:rsid w:val="00CA5C61"/>
    <w:rsid w:val="00CB02BF"/>
    <w:rsid w:val="00CB1815"/>
    <w:rsid w:val="00CB336E"/>
    <w:rsid w:val="00CB3E9A"/>
    <w:rsid w:val="00CB7C27"/>
    <w:rsid w:val="00CC311C"/>
    <w:rsid w:val="00CC7B01"/>
    <w:rsid w:val="00CD24E3"/>
    <w:rsid w:val="00CD66C6"/>
    <w:rsid w:val="00CE1B6B"/>
    <w:rsid w:val="00CE24AB"/>
    <w:rsid w:val="00CE2588"/>
    <w:rsid w:val="00CE3FD4"/>
    <w:rsid w:val="00CE58B0"/>
    <w:rsid w:val="00CE6718"/>
    <w:rsid w:val="00CE754A"/>
    <w:rsid w:val="00CF0276"/>
    <w:rsid w:val="00CF2FD9"/>
    <w:rsid w:val="00CF3B9C"/>
    <w:rsid w:val="00CF6DE4"/>
    <w:rsid w:val="00D0081B"/>
    <w:rsid w:val="00D014E0"/>
    <w:rsid w:val="00D01EEF"/>
    <w:rsid w:val="00D065E4"/>
    <w:rsid w:val="00D11F7D"/>
    <w:rsid w:val="00D12955"/>
    <w:rsid w:val="00D13653"/>
    <w:rsid w:val="00D13D4A"/>
    <w:rsid w:val="00D14318"/>
    <w:rsid w:val="00D169CC"/>
    <w:rsid w:val="00D23F63"/>
    <w:rsid w:val="00D27891"/>
    <w:rsid w:val="00D27CBC"/>
    <w:rsid w:val="00D32AFF"/>
    <w:rsid w:val="00D33C02"/>
    <w:rsid w:val="00D3410A"/>
    <w:rsid w:val="00D353B1"/>
    <w:rsid w:val="00D35D6C"/>
    <w:rsid w:val="00D4244A"/>
    <w:rsid w:val="00D45010"/>
    <w:rsid w:val="00D450FA"/>
    <w:rsid w:val="00D5460E"/>
    <w:rsid w:val="00D54EC8"/>
    <w:rsid w:val="00D5549C"/>
    <w:rsid w:val="00D56AFE"/>
    <w:rsid w:val="00D60381"/>
    <w:rsid w:val="00D630B9"/>
    <w:rsid w:val="00D63513"/>
    <w:rsid w:val="00D63D50"/>
    <w:rsid w:val="00D653D0"/>
    <w:rsid w:val="00D6557F"/>
    <w:rsid w:val="00D6637B"/>
    <w:rsid w:val="00D67B11"/>
    <w:rsid w:val="00D67E15"/>
    <w:rsid w:val="00D71235"/>
    <w:rsid w:val="00D71A8F"/>
    <w:rsid w:val="00D72C44"/>
    <w:rsid w:val="00D73484"/>
    <w:rsid w:val="00D740B3"/>
    <w:rsid w:val="00D747AE"/>
    <w:rsid w:val="00D75C54"/>
    <w:rsid w:val="00D80DF4"/>
    <w:rsid w:val="00D836FD"/>
    <w:rsid w:val="00D83D90"/>
    <w:rsid w:val="00D86255"/>
    <w:rsid w:val="00D903B7"/>
    <w:rsid w:val="00D918B0"/>
    <w:rsid w:val="00D91D0B"/>
    <w:rsid w:val="00D91F08"/>
    <w:rsid w:val="00D91F4C"/>
    <w:rsid w:val="00D95FA0"/>
    <w:rsid w:val="00D978D3"/>
    <w:rsid w:val="00DA03E6"/>
    <w:rsid w:val="00DA1D49"/>
    <w:rsid w:val="00DA2E3B"/>
    <w:rsid w:val="00DA3F2F"/>
    <w:rsid w:val="00DA3F98"/>
    <w:rsid w:val="00DB0748"/>
    <w:rsid w:val="00DB167A"/>
    <w:rsid w:val="00DB222C"/>
    <w:rsid w:val="00DB2274"/>
    <w:rsid w:val="00DB2742"/>
    <w:rsid w:val="00DB570F"/>
    <w:rsid w:val="00DB76AA"/>
    <w:rsid w:val="00DC2FAD"/>
    <w:rsid w:val="00DC47B8"/>
    <w:rsid w:val="00DC6597"/>
    <w:rsid w:val="00DC764C"/>
    <w:rsid w:val="00DD0C51"/>
    <w:rsid w:val="00DD2752"/>
    <w:rsid w:val="00DD3BC2"/>
    <w:rsid w:val="00DD4C77"/>
    <w:rsid w:val="00DD7732"/>
    <w:rsid w:val="00DD7927"/>
    <w:rsid w:val="00DE0BF5"/>
    <w:rsid w:val="00DE3C12"/>
    <w:rsid w:val="00DE559C"/>
    <w:rsid w:val="00DE595E"/>
    <w:rsid w:val="00DE6A8A"/>
    <w:rsid w:val="00DE6C7F"/>
    <w:rsid w:val="00DE6E71"/>
    <w:rsid w:val="00DE746A"/>
    <w:rsid w:val="00DE7D3E"/>
    <w:rsid w:val="00DF0C71"/>
    <w:rsid w:val="00DF3B4D"/>
    <w:rsid w:val="00DF542F"/>
    <w:rsid w:val="00DF733A"/>
    <w:rsid w:val="00DF745D"/>
    <w:rsid w:val="00E00029"/>
    <w:rsid w:val="00E042A1"/>
    <w:rsid w:val="00E04F69"/>
    <w:rsid w:val="00E05828"/>
    <w:rsid w:val="00E06EDC"/>
    <w:rsid w:val="00E12623"/>
    <w:rsid w:val="00E14A1A"/>
    <w:rsid w:val="00E17F62"/>
    <w:rsid w:val="00E20D3C"/>
    <w:rsid w:val="00E22396"/>
    <w:rsid w:val="00E238D2"/>
    <w:rsid w:val="00E2552D"/>
    <w:rsid w:val="00E26E7C"/>
    <w:rsid w:val="00E277D6"/>
    <w:rsid w:val="00E30B10"/>
    <w:rsid w:val="00E32CBA"/>
    <w:rsid w:val="00E34EED"/>
    <w:rsid w:val="00E3535B"/>
    <w:rsid w:val="00E4040A"/>
    <w:rsid w:val="00E4078E"/>
    <w:rsid w:val="00E41FCF"/>
    <w:rsid w:val="00E45564"/>
    <w:rsid w:val="00E46E98"/>
    <w:rsid w:val="00E50796"/>
    <w:rsid w:val="00E50C78"/>
    <w:rsid w:val="00E52CB1"/>
    <w:rsid w:val="00E54E80"/>
    <w:rsid w:val="00E55412"/>
    <w:rsid w:val="00E567D5"/>
    <w:rsid w:val="00E60CDE"/>
    <w:rsid w:val="00E616CB"/>
    <w:rsid w:val="00E6297F"/>
    <w:rsid w:val="00E62AC7"/>
    <w:rsid w:val="00E62F45"/>
    <w:rsid w:val="00E6340C"/>
    <w:rsid w:val="00E712D5"/>
    <w:rsid w:val="00E72F1C"/>
    <w:rsid w:val="00E73120"/>
    <w:rsid w:val="00E73B8C"/>
    <w:rsid w:val="00E7451F"/>
    <w:rsid w:val="00E75968"/>
    <w:rsid w:val="00E76A08"/>
    <w:rsid w:val="00E77183"/>
    <w:rsid w:val="00E80925"/>
    <w:rsid w:val="00E80A1D"/>
    <w:rsid w:val="00E81737"/>
    <w:rsid w:val="00E81C87"/>
    <w:rsid w:val="00E84F2A"/>
    <w:rsid w:val="00E868CB"/>
    <w:rsid w:val="00E90E2A"/>
    <w:rsid w:val="00E92D60"/>
    <w:rsid w:val="00E952E6"/>
    <w:rsid w:val="00EA0057"/>
    <w:rsid w:val="00EA65ED"/>
    <w:rsid w:val="00EB1496"/>
    <w:rsid w:val="00EB5D83"/>
    <w:rsid w:val="00EB6BD3"/>
    <w:rsid w:val="00EC0B1D"/>
    <w:rsid w:val="00EC222A"/>
    <w:rsid w:val="00EC5235"/>
    <w:rsid w:val="00EC5DD4"/>
    <w:rsid w:val="00EC65AC"/>
    <w:rsid w:val="00ED27BB"/>
    <w:rsid w:val="00ED30F5"/>
    <w:rsid w:val="00ED3D64"/>
    <w:rsid w:val="00ED4AEE"/>
    <w:rsid w:val="00ED4DE5"/>
    <w:rsid w:val="00ED52A5"/>
    <w:rsid w:val="00EE0D45"/>
    <w:rsid w:val="00EE2519"/>
    <w:rsid w:val="00EE286C"/>
    <w:rsid w:val="00EE2CC4"/>
    <w:rsid w:val="00EE7ACB"/>
    <w:rsid w:val="00EF0582"/>
    <w:rsid w:val="00EF07AA"/>
    <w:rsid w:val="00EF0803"/>
    <w:rsid w:val="00EF2BCE"/>
    <w:rsid w:val="00EF6D6C"/>
    <w:rsid w:val="00EF6DC1"/>
    <w:rsid w:val="00EF74BB"/>
    <w:rsid w:val="00F0151A"/>
    <w:rsid w:val="00F03470"/>
    <w:rsid w:val="00F06B61"/>
    <w:rsid w:val="00F12ABE"/>
    <w:rsid w:val="00F13889"/>
    <w:rsid w:val="00F230D1"/>
    <w:rsid w:val="00F24B84"/>
    <w:rsid w:val="00F25289"/>
    <w:rsid w:val="00F25938"/>
    <w:rsid w:val="00F26173"/>
    <w:rsid w:val="00F32007"/>
    <w:rsid w:val="00F327F6"/>
    <w:rsid w:val="00F33DA1"/>
    <w:rsid w:val="00F3430C"/>
    <w:rsid w:val="00F34B51"/>
    <w:rsid w:val="00F401B1"/>
    <w:rsid w:val="00F4093C"/>
    <w:rsid w:val="00F41CB2"/>
    <w:rsid w:val="00F420B2"/>
    <w:rsid w:val="00F42798"/>
    <w:rsid w:val="00F43D9B"/>
    <w:rsid w:val="00F4472C"/>
    <w:rsid w:val="00F46943"/>
    <w:rsid w:val="00F50A67"/>
    <w:rsid w:val="00F536E6"/>
    <w:rsid w:val="00F55542"/>
    <w:rsid w:val="00F57DFE"/>
    <w:rsid w:val="00F611E1"/>
    <w:rsid w:val="00F6208E"/>
    <w:rsid w:val="00F621A7"/>
    <w:rsid w:val="00F63C3E"/>
    <w:rsid w:val="00F63D30"/>
    <w:rsid w:val="00F70B08"/>
    <w:rsid w:val="00F71B2F"/>
    <w:rsid w:val="00F72CF9"/>
    <w:rsid w:val="00F7420F"/>
    <w:rsid w:val="00F74DE3"/>
    <w:rsid w:val="00F77209"/>
    <w:rsid w:val="00F817B6"/>
    <w:rsid w:val="00F8338A"/>
    <w:rsid w:val="00F836EA"/>
    <w:rsid w:val="00F84190"/>
    <w:rsid w:val="00F86E8F"/>
    <w:rsid w:val="00F91EC0"/>
    <w:rsid w:val="00F92821"/>
    <w:rsid w:val="00F936EF"/>
    <w:rsid w:val="00F94FDD"/>
    <w:rsid w:val="00F95C9C"/>
    <w:rsid w:val="00F9674E"/>
    <w:rsid w:val="00FA056F"/>
    <w:rsid w:val="00FA247C"/>
    <w:rsid w:val="00FA3350"/>
    <w:rsid w:val="00FA382D"/>
    <w:rsid w:val="00FA572D"/>
    <w:rsid w:val="00FA5943"/>
    <w:rsid w:val="00FB17BF"/>
    <w:rsid w:val="00FB33CD"/>
    <w:rsid w:val="00FB6742"/>
    <w:rsid w:val="00FC0D2F"/>
    <w:rsid w:val="00FC1A2B"/>
    <w:rsid w:val="00FC4005"/>
    <w:rsid w:val="00FC4157"/>
    <w:rsid w:val="00FC50DA"/>
    <w:rsid w:val="00FC52B2"/>
    <w:rsid w:val="00FC5306"/>
    <w:rsid w:val="00FC57A7"/>
    <w:rsid w:val="00FC6386"/>
    <w:rsid w:val="00FC7C4C"/>
    <w:rsid w:val="00FD1E35"/>
    <w:rsid w:val="00FD45FF"/>
    <w:rsid w:val="00FD4769"/>
    <w:rsid w:val="00FD4DBF"/>
    <w:rsid w:val="00FD5ADF"/>
    <w:rsid w:val="00FD699B"/>
    <w:rsid w:val="00FD713E"/>
    <w:rsid w:val="00FE020C"/>
    <w:rsid w:val="00FE1203"/>
    <w:rsid w:val="00FE13E0"/>
    <w:rsid w:val="00FE2C29"/>
    <w:rsid w:val="00FE2CDF"/>
    <w:rsid w:val="00FE3A61"/>
    <w:rsid w:val="00FE4C68"/>
    <w:rsid w:val="00FE54D7"/>
    <w:rsid w:val="00FE7D72"/>
    <w:rsid w:val="00FF0965"/>
    <w:rsid w:val="00FF0E64"/>
    <w:rsid w:val="00FF1B0C"/>
    <w:rsid w:val="00FF1EF8"/>
    <w:rsid w:val="00FF31CB"/>
    <w:rsid w:val="00FF40FD"/>
    <w:rsid w:val="00FF6757"/>
    <w:rsid w:val="07FF8D7E"/>
    <w:rsid w:val="08FE3174"/>
    <w:rsid w:val="0DBF7244"/>
    <w:rsid w:val="17AD1CC5"/>
    <w:rsid w:val="1AFF5C8C"/>
    <w:rsid w:val="1B9AFDD9"/>
    <w:rsid w:val="1BEF07D2"/>
    <w:rsid w:val="1BFF1A11"/>
    <w:rsid w:val="1F9F31BC"/>
    <w:rsid w:val="1FFF54C7"/>
    <w:rsid w:val="2F6D8FEF"/>
    <w:rsid w:val="2F7EE3F7"/>
    <w:rsid w:val="359A4403"/>
    <w:rsid w:val="372FBBF8"/>
    <w:rsid w:val="3A9FB1C7"/>
    <w:rsid w:val="3BEFD10D"/>
    <w:rsid w:val="3EDF98F4"/>
    <w:rsid w:val="3EFFAEE0"/>
    <w:rsid w:val="3F53F385"/>
    <w:rsid w:val="3F6F0610"/>
    <w:rsid w:val="3F7FD180"/>
    <w:rsid w:val="3FBA5ED2"/>
    <w:rsid w:val="3FCE791C"/>
    <w:rsid w:val="3FF3EA55"/>
    <w:rsid w:val="3FFC675A"/>
    <w:rsid w:val="3FFF52AA"/>
    <w:rsid w:val="45F74E89"/>
    <w:rsid w:val="47EF1FAA"/>
    <w:rsid w:val="4A7EFF3C"/>
    <w:rsid w:val="4B3F36B6"/>
    <w:rsid w:val="4BA3777E"/>
    <w:rsid w:val="4DAFCE0D"/>
    <w:rsid w:val="4E7F2D6D"/>
    <w:rsid w:val="4EBF1598"/>
    <w:rsid w:val="4F5E5BF2"/>
    <w:rsid w:val="52DF6899"/>
    <w:rsid w:val="57EE4018"/>
    <w:rsid w:val="5DFFCFB6"/>
    <w:rsid w:val="5E8E67F6"/>
    <w:rsid w:val="5EB6B2D1"/>
    <w:rsid w:val="5EFF38D7"/>
    <w:rsid w:val="5EFFA575"/>
    <w:rsid w:val="5F3D6B6A"/>
    <w:rsid w:val="5F77262C"/>
    <w:rsid w:val="5FB7AC4D"/>
    <w:rsid w:val="5FCF5438"/>
    <w:rsid w:val="5FF56A33"/>
    <w:rsid w:val="5FFD9483"/>
    <w:rsid w:val="5FFDFF8C"/>
    <w:rsid w:val="63CF46C7"/>
    <w:rsid w:val="66EB6FA2"/>
    <w:rsid w:val="67FDE55C"/>
    <w:rsid w:val="69B61FA3"/>
    <w:rsid w:val="6A7ECD13"/>
    <w:rsid w:val="6B6504C3"/>
    <w:rsid w:val="6B9F6EC5"/>
    <w:rsid w:val="6BF7F9DF"/>
    <w:rsid w:val="6EBFF61F"/>
    <w:rsid w:val="6ECDE9F0"/>
    <w:rsid w:val="6F77E7A8"/>
    <w:rsid w:val="6F7E0166"/>
    <w:rsid w:val="6FB4016B"/>
    <w:rsid w:val="6FFB7C52"/>
    <w:rsid w:val="72FFD191"/>
    <w:rsid w:val="73B7C26A"/>
    <w:rsid w:val="74EF0200"/>
    <w:rsid w:val="757C21C3"/>
    <w:rsid w:val="75FDB995"/>
    <w:rsid w:val="7777944D"/>
    <w:rsid w:val="77E9D32B"/>
    <w:rsid w:val="77ECAC6E"/>
    <w:rsid w:val="79FB18AF"/>
    <w:rsid w:val="7BE4FB82"/>
    <w:rsid w:val="7BEF4132"/>
    <w:rsid w:val="7BFF642A"/>
    <w:rsid w:val="7C6FBDCC"/>
    <w:rsid w:val="7DEF4384"/>
    <w:rsid w:val="7E3D8BFF"/>
    <w:rsid w:val="7E5F9F97"/>
    <w:rsid w:val="7E7F2BF7"/>
    <w:rsid w:val="7E9EB20A"/>
    <w:rsid w:val="7EBBA39F"/>
    <w:rsid w:val="7EBF42D0"/>
    <w:rsid w:val="7EF7783C"/>
    <w:rsid w:val="7EFB83F9"/>
    <w:rsid w:val="7EFBC84E"/>
    <w:rsid w:val="7EFF3A1F"/>
    <w:rsid w:val="7EFF90D2"/>
    <w:rsid w:val="7F5FEBEE"/>
    <w:rsid w:val="7F6F4F58"/>
    <w:rsid w:val="7F73118C"/>
    <w:rsid w:val="7F7F16FC"/>
    <w:rsid w:val="7F7F57CD"/>
    <w:rsid w:val="7F7FCD23"/>
    <w:rsid w:val="7FABEB93"/>
    <w:rsid w:val="7FAF66FD"/>
    <w:rsid w:val="7FBC105D"/>
    <w:rsid w:val="7FBEF9F0"/>
    <w:rsid w:val="7FCDE493"/>
    <w:rsid w:val="7FD02D15"/>
    <w:rsid w:val="7FDDCFEE"/>
    <w:rsid w:val="7FF7BEC0"/>
    <w:rsid w:val="7FFB9452"/>
    <w:rsid w:val="7FFBA67C"/>
    <w:rsid w:val="7FFD9516"/>
    <w:rsid w:val="7FFEAECE"/>
    <w:rsid w:val="7FFF3A06"/>
    <w:rsid w:val="7FFFAED2"/>
    <w:rsid w:val="7FFFEB6D"/>
    <w:rsid w:val="8F3F28BB"/>
    <w:rsid w:val="8F8DA209"/>
    <w:rsid w:val="8FAFAA58"/>
    <w:rsid w:val="8FBBC258"/>
    <w:rsid w:val="997F2568"/>
    <w:rsid w:val="AB1F234D"/>
    <w:rsid w:val="AEFE85A8"/>
    <w:rsid w:val="AF792C53"/>
    <w:rsid w:val="AFF2C8A6"/>
    <w:rsid w:val="AFFFD635"/>
    <w:rsid w:val="B3AE499F"/>
    <w:rsid w:val="B3F4F479"/>
    <w:rsid w:val="B4BEE0D0"/>
    <w:rsid w:val="B7776435"/>
    <w:rsid w:val="B9DFDACD"/>
    <w:rsid w:val="BBEFD9C7"/>
    <w:rsid w:val="BBFF7698"/>
    <w:rsid w:val="BD751CFE"/>
    <w:rsid w:val="BEFB95BE"/>
    <w:rsid w:val="BF4F66FC"/>
    <w:rsid w:val="BFBF2012"/>
    <w:rsid w:val="BFEF15CC"/>
    <w:rsid w:val="BFFF8FBE"/>
    <w:rsid w:val="C7B756AC"/>
    <w:rsid w:val="C7DA15E6"/>
    <w:rsid w:val="CB7F6D3F"/>
    <w:rsid w:val="CEBF54BA"/>
    <w:rsid w:val="CEDB0E6A"/>
    <w:rsid w:val="CF57899F"/>
    <w:rsid w:val="CF5F3535"/>
    <w:rsid w:val="D28F3887"/>
    <w:rsid w:val="D4FFF536"/>
    <w:rsid w:val="D7B7E6A8"/>
    <w:rsid w:val="D7DF22C1"/>
    <w:rsid w:val="D99BBC6C"/>
    <w:rsid w:val="DB4F8A6F"/>
    <w:rsid w:val="DB7F047B"/>
    <w:rsid w:val="DBAF7FD0"/>
    <w:rsid w:val="DC316FFC"/>
    <w:rsid w:val="DCBF284A"/>
    <w:rsid w:val="DDBA3992"/>
    <w:rsid w:val="DDBF2F74"/>
    <w:rsid w:val="DDDF44DD"/>
    <w:rsid w:val="DF6B81C8"/>
    <w:rsid w:val="DFE74B51"/>
    <w:rsid w:val="DFFD93B1"/>
    <w:rsid w:val="DFFFE6FD"/>
    <w:rsid w:val="E15BD666"/>
    <w:rsid w:val="E3EF412F"/>
    <w:rsid w:val="E5DFBE32"/>
    <w:rsid w:val="E76F8EC0"/>
    <w:rsid w:val="E7FF8A0B"/>
    <w:rsid w:val="E97777C9"/>
    <w:rsid w:val="EB5F62AA"/>
    <w:rsid w:val="ED7FA339"/>
    <w:rsid w:val="EDF7A97B"/>
    <w:rsid w:val="EDFF43E5"/>
    <w:rsid w:val="EF7C878B"/>
    <w:rsid w:val="EF7CADF8"/>
    <w:rsid w:val="EFAEA0F5"/>
    <w:rsid w:val="EFDFA5DC"/>
    <w:rsid w:val="EFEFD48C"/>
    <w:rsid w:val="EFF71643"/>
    <w:rsid w:val="EFFF0956"/>
    <w:rsid w:val="F2FF4E18"/>
    <w:rsid w:val="F37EA398"/>
    <w:rsid w:val="F6F30A1D"/>
    <w:rsid w:val="F6F581AD"/>
    <w:rsid w:val="F6FE8551"/>
    <w:rsid w:val="F6FEACF2"/>
    <w:rsid w:val="F6FF6B65"/>
    <w:rsid w:val="F74F8FA1"/>
    <w:rsid w:val="F77F38EC"/>
    <w:rsid w:val="F7F78922"/>
    <w:rsid w:val="F7FFCD54"/>
    <w:rsid w:val="F8FDF5FD"/>
    <w:rsid w:val="F9CFB81B"/>
    <w:rsid w:val="FB7FCE00"/>
    <w:rsid w:val="FBB56774"/>
    <w:rsid w:val="FBFDEC69"/>
    <w:rsid w:val="FC3D38A7"/>
    <w:rsid w:val="FCCF65B1"/>
    <w:rsid w:val="FCF6D28B"/>
    <w:rsid w:val="FDEF1532"/>
    <w:rsid w:val="FDEF91AE"/>
    <w:rsid w:val="FDF7EF0D"/>
    <w:rsid w:val="FE370433"/>
    <w:rsid w:val="FE5D9AE4"/>
    <w:rsid w:val="FEDF6E3C"/>
    <w:rsid w:val="FEFF3C24"/>
    <w:rsid w:val="FEFF5870"/>
    <w:rsid w:val="FEFFC8AC"/>
    <w:rsid w:val="FF1EB128"/>
    <w:rsid w:val="FF47A6EF"/>
    <w:rsid w:val="FF5323D7"/>
    <w:rsid w:val="FFB7EAD2"/>
    <w:rsid w:val="FFBFADB5"/>
    <w:rsid w:val="FFDA506A"/>
    <w:rsid w:val="FFDBB183"/>
    <w:rsid w:val="FFDDEB0C"/>
    <w:rsid w:val="FFDE5DC1"/>
    <w:rsid w:val="FFE5249F"/>
    <w:rsid w:val="FFE70D64"/>
    <w:rsid w:val="FFFF7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qFormat="1"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keepNext/>
      <w:keepLines/>
      <w:numPr>
        <w:ilvl w:val="0"/>
        <w:numId w:val="1"/>
      </w:numPr>
      <w:suppressAutoHyphens/>
      <w:spacing w:before="340" w:after="330" w:line="578" w:lineRule="auto"/>
      <w:outlineLvl w:val="0"/>
    </w:pPr>
    <w:rPr>
      <w:rFonts w:ascii="Calibri" w:hAnsi="Calibri" w:eastAsia="宋体" w:cs="Times New Roman"/>
      <w:b/>
      <w:bCs/>
      <w:kern w:val="44"/>
      <w:sz w:val="44"/>
      <w:szCs w:val="44"/>
    </w:rPr>
  </w:style>
  <w:style w:type="paragraph" w:styleId="4">
    <w:name w:val="heading 2"/>
    <w:basedOn w:val="1"/>
    <w:next w:val="1"/>
    <w:link w:val="28"/>
    <w:qFormat/>
    <w:uiPriority w:val="9"/>
    <w:pPr>
      <w:keepNext/>
      <w:keepLines/>
      <w:spacing w:before="260" w:after="260" w:line="416" w:lineRule="auto"/>
      <w:outlineLvl w:val="1"/>
    </w:pPr>
    <w:rPr>
      <w:rFonts w:ascii="Cambria" w:hAnsi="Cambria" w:eastAsia="宋体" w:cs="Times New Roman"/>
      <w:b/>
      <w:bCs/>
      <w:kern w:val="0"/>
      <w:sz w:val="32"/>
      <w:szCs w:val="32"/>
      <w:lang w:val="zh-CN"/>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2">
    <w:name w:val="签报正文"/>
    <w:link w:val="26"/>
    <w:qFormat/>
    <w:uiPriority w:val="0"/>
    <w:pPr>
      <w:snapToGrid w:val="0"/>
      <w:spacing w:line="560" w:lineRule="exact"/>
      <w:ind w:firstLine="200" w:firstLineChars="200"/>
      <w:jc w:val="both"/>
    </w:pPr>
    <w:rPr>
      <w:rFonts w:ascii="Times New Roman" w:hAnsi="Times New Roman" w:eastAsia="仿宋" w:cstheme="minorBidi"/>
      <w:kern w:val="2"/>
      <w:sz w:val="32"/>
      <w:szCs w:val="22"/>
      <w:lang w:val="en-US" w:eastAsia="zh-CN" w:bidi="ar-SA"/>
    </w:rPr>
  </w:style>
  <w:style w:type="paragraph" w:styleId="5">
    <w:name w:val="Note Heading"/>
    <w:basedOn w:val="1"/>
    <w:next w:val="1"/>
    <w:link w:val="29"/>
    <w:unhideWhenUsed/>
    <w:qFormat/>
    <w:uiPriority w:val="99"/>
    <w:pPr>
      <w:jc w:val="center"/>
    </w:pPr>
    <w:rPr>
      <w:rFonts w:ascii="Calibri" w:hAnsi="Calibri" w:eastAsia="宋体" w:cs="Times New Roman"/>
    </w:rPr>
  </w:style>
  <w:style w:type="paragraph" w:styleId="6">
    <w:name w:val="annotation text"/>
    <w:basedOn w:val="1"/>
    <w:link w:val="20"/>
    <w:unhideWhenUsed/>
    <w:qFormat/>
    <w:uiPriority w:val="99"/>
    <w:pPr>
      <w:jc w:val="left"/>
    </w:pPr>
    <w:rPr>
      <w:rFonts w:ascii="Calibri" w:hAnsi="Calibri" w:eastAsia="宋体" w:cs="Times New Roman"/>
    </w:rPr>
  </w:style>
  <w:style w:type="paragraph" w:styleId="7">
    <w:name w:val="Body Text"/>
    <w:basedOn w:val="1"/>
    <w:link w:val="27"/>
    <w:unhideWhenUsed/>
    <w:qFormat/>
    <w:uiPriority w:val="99"/>
    <w:pPr>
      <w:shd w:val="clear" w:color="auto" w:fill="FFFFFF"/>
      <w:spacing w:line="557" w:lineRule="exact"/>
      <w:jc w:val="distribute"/>
    </w:pPr>
    <w:rPr>
      <w:rFonts w:ascii="MingLiU" w:hAnsi="Courier New" w:eastAsia="MingLiU"/>
      <w:spacing w:val="20"/>
      <w:kern w:val="0"/>
      <w:sz w:val="26"/>
      <w:szCs w:val="26"/>
    </w:rPr>
  </w:style>
  <w:style w:type="paragraph" w:styleId="8">
    <w:name w:val="Balloon Text"/>
    <w:basedOn w:val="1"/>
    <w:link w:val="21"/>
    <w:semiHidden/>
    <w:unhideWhenUsed/>
    <w:qFormat/>
    <w:uiPriority w:val="99"/>
    <w:rPr>
      <w:sz w:val="18"/>
      <w:szCs w:val="18"/>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25"/>
    <w:unhideWhenUsed/>
    <w:qFormat/>
    <w:uiPriority w:val="99"/>
    <w:pPr>
      <w:snapToGrid w:val="0"/>
      <w:jc w:val="left"/>
    </w:pPr>
    <w:rPr>
      <w:rFonts w:ascii="Times New Roman" w:hAnsi="Times New Roman" w:eastAsia="宋体" w:cs="Times New Roman"/>
      <w:kern w:val="0"/>
      <w:sz w:val="18"/>
      <w:szCs w:val="18"/>
    </w:rPr>
  </w:style>
  <w:style w:type="paragraph" w:styleId="12">
    <w:name w:val="Normal (Web)"/>
    <w:basedOn w:val="1"/>
    <w:semiHidden/>
    <w:unhideWhenUsed/>
    <w:qFormat/>
    <w:uiPriority w:val="99"/>
    <w:pPr>
      <w:spacing w:beforeAutospacing="1" w:afterAutospacing="1"/>
      <w:jc w:val="left"/>
    </w:pPr>
    <w:rPr>
      <w:rFonts w:cs="Times New Roman"/>
      <w:kern w:val="0"/>
      <w:sz w:val="24"/>
    </w:rPr>
  </w:style>
  <w:style w:type="paragraph" w:styleId="13">
    <w:name w:val="annotation subject"/>
    <w:basedOn w:val="6"/>
    <w:next w:val="6"/>
    <w:link w:val="23"/>
    <w:semiHidden/>
    <w:unhideWhenUsed/>
    <w:qFormat/>
    <w:uiPriority w:val="99"/>
    <w:rPr>
      <w:rFonts w:asciiTheme="minorHAnsi" w:hAnsiTheme="minorHAnsi" w:eastAsiaTheme="minorEastAsia" w:cstheme="minorBidi"/>
      <w:b/>
      <w:bCs/>
    </w:rPr>
  </w:style>
  <w:style w:type="character" w:styleId="16">
    <w:name w:val="annotation reference"/>
    <w:unhideWhenUsed/>
    <w:qFormat/>
    <w:uiPriority w:val="99"/>
    <w:rPr>
      <w:sz w:val="21"/>
      <w:szCs w:val="21"/>
    </w:rPr>
  </w:style>
  <w:style w:type="character" w:styleId="17">
    <w:name w:val="footnote reference"/>
    <w:unhideWhenUsed/>
    <w:qFormat/>
    <w:uiPriority w:val="99"/>
    <w:rPr>
      <w:vertAlign w:val="superscript"/>
    </w:rPr>
  </w:style>
  <w:style w:type="character" w:customStyle="1" w:styleId="18">
    <w:name w:val="页眉 Char"/>
    <w:basedOn w:val="15"/>
    <w:link w:val="10"/>
    <w:qFormat/>
    <w:uiPriority w:val="99"/>
    <w:rPr>
      <w:sz w:val="18"/>
      <w:szCs w:val="18"/>
    </w:rPr>
  </w:style>
  <w:style w:type="character" w:customStyle="1" w:styleId="19">
    <w:name w:val="页脚 Char"/>
    <w:basedOn w:val="15"/>
    <w:link w:val="9"/>
    <w:qFormat/>
    <w:uiPriority w:val="99"/>
    <w:rPr>
      <w:sz w:val="18"/>
      <w:szCs w:val="18"/>
    </w:rPr>
  </w:style>
  <w:style w:type="character" w:customStyle="1" w:styleId="20">
    <w:name w:val="批注文字 Char"/>
    <w:basedOn w:val="15"/>
    <w:link w:val="6"/>
    <w:qFormat/>
    <w:uiPriority w:val="99"/>
    <w:rPr>
      <w:rFonts w:ascii="Calibri" w:hAnsi="Calibri" w:eastAsia="宋体" w:cs="Times New Roman"/>
    </w:rPr>
  </w:style>
  <w:style w:type="character" w:customStyle="1" w:styleId="21">
    <w:name w:val="批注框文本 Char"/>
    <w:basedOn w:val="15"/>
    <w:link w:val="8"/>
    <w:semiHidden/>
    <w:qFormat/>
    <w:uiPriority w:val="99"/>
    <w:rPr>
      <w:sz w:val="18"/>
      <w:szCs w:val="18"/>
    </w:rPr>
  </w:style>
  <w:style w:type="character" w:customStyle="1" w:styleId="22">
    <w:name w:val="明显强调1"/>
    <w:basedOn w:val="15"/>
    <w:qFormat/>
    <w:uiPriority w:val="21"/>
    <w:rPr>
      <w:i/>
      <w:iCs/>
      <w:color w:val="5B9BD5" w:themeColor="accent1"/>
      <w14:textFill>
        <w14:solidFill>
          <w14:schemeClr w14:val="accent1"/>
        </w14:solidFill>
      </w14:textFill>
    </w:rPr>
  </w:style>
  <w:style w:type="character" w:customStyle="1" w:styleId="23">
    <w:name w:val="批注主题 Char"/>
    <w:basedOn w:val="20"/>
    <w:link w:val="13"/>
    <w:semiHidden/>
    <w:qFormat/>
    <w:uiPriority w:val="99"/>
    <w:rPr>
      <w:rFonts w:ascii="Calibri" w:hAnsi="Calibri" w:eastAsia="宋体" w:cs="Times New Roman"/>
      <w:b/>
      <w:bCs/>
    </w:rPr>
  </w:style>
  <w:style w:type="table" w:customStyle="1" w:styleId="24">
    <w:name w:val="格式二2"/>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5">
    <w:name w:val="脚注文本 Char"/>
    <w:basedOn w:val="15"/>
    <w:link w:val="11"/>
    <w:qFormat/>
    <w:uiPriority w:val="99"/>
    <w:rPr>
      <w:sz w:val="18"/>
      <w:szCs w:val="18"/>
    </w:rPr>
  </w:style>
  <w:style w:type="character" w:customStyle="1" w:styleId="26">
    <w:name w:val="签报正文 Char"/>
    <w:basedOn w:val="15"/>
    <w:link w:val="2"/>
    <w:qFormat/>
    <w:uiPriority w:val="0"/>
    <w:rPr>
      <w:rFonts w:eastAsia="仿宋" w:cstheme="minorBidi"/>
      <w:kern w:val="2"/>
      <w:sz w:val="32"/>
      <w:szCs w:val="22"/>
    </w:rPr>
  </w:style>
  <w:style w:type="character" w:customStyle="1" w:styleId="27">
    <w:name w:val="正文文本 Char"/>
    <w:basedOn w:val="15"/>
    <w:link w:val="7"/>
    <w:qFormat/>
    <w:uiPriority w:val="99"/>
    <w:rPr>
      <w:rFonts w:ascii="MingLiU" w:hAnsi="Courier New" w:eastAsia="MingLiU" w:cstheme="minorBidi"/>
      <w:spacing w:val="20"/>
      <w:sz w:val="26"/>
      <w:szCs w:val="26"/>
      <w:shd w:val="clear" w:color="auto" w:fill="FFFFFF"/>
    </w:rPr>
  </w:style>
  <w:style w:type="character" w:customStyle="1" w:styleId="28">
    <w:name w:val="标题 2 Char"/>
    <w:basedOn w:val="15"/>
    <w:link w:val="4"/>
    <w:qFormat/>
    <w:uiPriority w:val="9"/>
    <w:rPr>
      <w:rFonts w:ascii="Cambria" w:hAnsi="Cambria"/>
      <w:b/>
      <w:bCs/>
      <w:sz w:val="32"/>
      <w:szCs w:val="32"/>
      <w:lang w:val="zh-CN"/>
    </w:rPr>
  </w:style>
  <w:style w:type="character" w:customStyle="1" w:styleId="29">
    <w:name w:val="注释标题 Char"/>
    <w:basedOn w:val="15"/>
    <w:link w:val="5"/>
    <w:qFormat/>
    <w:uiPriority w:val="99"/>
    <w:rPr>
      <w:rFonts w:ascii="Calibri" w:hAnsi="Calibri"/>
      <w:kern w:val="2"/>
      <w:sz w:val="21"/>
      <w:szCs w:val="22"/>
    </w:rPr>
  </w:style>
  <w:style w:type="paragraph" w:styleId="30">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3325</Words>
  <Characters>3352</Characters>
  <Lines>25</Lines>
  <Paragraphs>7</Paragraphs>
  <TotalTime>5</TotalTime>
  <ScaleCrop>false</ScaleCrop>
  <LinksUpToDate>false</LinksUpToDate>
  <CharactersWithSpaces>3566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2024-12-13T23:20:00Z</dcterms:created>
  <dc:creator>neeq</dc:creator>
  <cp:lastModifiedBy>shejx</cp:lastModifiedBy>
  <cp:lastPrinted>2023-12-12T03:34:00Z</cp:lastPrinted>
  <dcterms:modified xsi:type="dcterms:W3CDTF">2024-12-13T18:51:30Z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