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djustRightInd/>
        <w:snapToGrid/>
        <w:spacing w:line="600" w:lineRule="exact"/>
        <w:ind w:firstLine="0" w:firstLineChars="0"/>
        <w:jc w:val="left"/>
        <w:rPr>
          <w:rFonts w:hint="eastAsia"/>
          <w:sz w:val="32"/>
          <w:szCs w:val="32"/>
        </w:rPr>
      </w:pPr>
      <w:bookmarkStart w:id="0" w:name="_GoBack"/>
      <w:bookmarkEnd w:id="0"/>
    </w:p>
    <w:p>
      <w:pPr>
        <w:widowControl/>
        <w:shd w:val="clear" w:color="auto" w:fill="FFFFFF"/>
        <w:spacing w:line="600" w:lineRule="exact"/>
        <w:ind w:firstLine="0" w:firstLineChars="0"/>
        <w:jc w:val="center"/>
        <w:outlineLvl w:val="0"/>
        <w:rPr>
          <w:rFonts w:eastAsia="方正大标宋简体"/>
          <w:color w:val="000000"/>
          <w:sz w:val="44"/>
          <w:szCs w:val="42"/>
        </w:rPr>
      </w:pPr>
      <w:r>
        <w:rPr>
          <w:rFonts w:hint="eastAsia" w:eastAsia="方正大标宋简体"/>
          <w:color w:val="000000"/>
          <w:kern w:val="2"/>
          <w:sz w:val="44"/>
          <w:szCs w:val="42"/>
        </w:rPr>
        <w:t>全国中小企业股份转让系统股票交易方式</w:t>
      </w:r>
    </w:p>
    <w:p>
      <w:pPr>
        <w:widowControl/>
        <w:shd w:val="clear" w:color="auto" w:fill="FFFFFF"/>
        <w:spacing w:line="600" w:lineRule="exact"/>
        <w:ind w:firstLine="0" w:firstLineChars="0"/>
        <w:jc w:val="center"/>
        <w:outlineLvl w:val="0"/>
        <w:rPr>
          <w:rFonts w:eastAsia="方正大标宋简体"/>
          <w:color w:val="000000"/>
          <w:kern w:val="2"/>
          <w:sz w:val="44"/>
          <w:szCs w:val="42"/>
        </w:rPr>
      </w:pPr>
      <w:r>
        <w:rPr>
          <w:rFonts w:hint="eastAsia" w:eastAsia="方正大标宋简体"/>
          <w:color w:val="000000"/>
          <w:kern w:val="2"/>
          <w:sz w:val="44"/>
          <w:szCs w:val="42"/>
        </w:rPr>
        <w:t>确定及变更指引</w:t>
      </w:r>
    </w:p>
    <w:p>
      <w:pPr>
        <w:spacing w:line="600" w:lineRule="exact"/>
        <w:ind w:firstLine="640"/>
        <w:rPr>
          <w:sz w:val="32"/>
          <w:szCs w:val="32"/>
        </w:rPr>
      </w:pPr>
    </w:p>
    <w:p>
      <w:pPr>
        <w:spacing w:line="600" w:lineRule="exact"/>
        <w:ind w:firstLine="640"/>
        <w:rPr>
          <w:sz w:val="32"/>
          <w:szCs w:val="32"/>
        </w:rPr>
      </w:pPr>
      <w:r>
        <w:rPr>
          <w:rFonts w:hint="eastAsia"/>
          <w:sz w:val="32"/>
          <w:szCs w:val="32"/>
        </w:rPr>
        <w:t>（</w:t>
      </w:r>
      <w:r>
        <w:rPr>
          <w:rFonts w:eastAsia="楷体"/>
          <w:sz w:val="32"/>
          <w:szCs w:val="32"/>
        </w:rPr>
        <w:t>20</w:t>
      </w:r>
      <w:r>
        <w:rPr>
          <w:rFonts w:hint="eastAsia" w:eastAsia="楷体"/>
          <w:sz w:val="32"/>
          <w:szCs w:val="32"/>
        </w:rPr>
        <w:t>14年7月</w:t>
      </w:r>
      <w:r>
        <w:rPr>
          <w:rFonts w:eastAsia="楷体"/>
          <w:sz w:val="32"/>
          <w:szCs w:val="32"/>
        </w:rPr>
        <w:t>3</w:t>
      </w:r>
      <w:r>
        <w:rPr>
          <w:rFonts w:hint="eastAsia" w:eastAsia="楷体"/>
          <w:sz w:val="32"/>
          <w:szCs w:val="32"/>
        </w:rPr>
        <w:t>日发布《全国中小企业股份转让系统股票转让方式确定及变更指引（试行）》，</w:t>
      </w:r>
      <w:r>
        <w:rPr>
          <w:rFonts w:eastAsia="楷体"/>
          <w:sz w:val="32"/>
          <w:szCs w:val="32"/>
        </w:rPr>
        <w:t>20</w:t>
      </w:r>
      <w:r>
        <w:rPr>
          <w:rFonts w:hint="eastAsia" w:eastAsia="楷体"/>
          <w:sz w:val="32"/>
          <w:szCs w:val="32"/>
        </w:rPr>
        <w:t>17</w:t>
      </w:r>
      <w:r>
        <w:rPr>
          <w:rFonts w:eastAsia="楷体"/>
          <w:sz w:val="32"/>
          <w:szCs w:val="32"/>
        </w:rPr>
        <w:t>年</w:t>
      </w:r>
      <w:r>
        <w:rPr>
          <w:rFonts w:hint="eastAsia" w:eastAsia="楷体"/>
          <w:sz w:val="32"/>
          <w:szCs w:val="32"/>
        </w:rPr>
        <w:t>1</w:t>
      </w:r>
      <w:r>
        <w:rPr>
          <w:rFonts w:eastAsia="楷体"/>
          <w:sz w:val="32"/>
          <w:szCs w:val="32"/>
          <w:lang w:val="en"/>
        </w:rPr>
        <w:t>2</w:t>
      </w:r>
      <w:r>
        <w:rPr>
          <w:rFonts w:eastAsia="楷体"/>
          <w:sz w:val="32"/>
          <w:szCs w:val="32"/>
        </w:rPr>
        <w:t>月</w:t>
      </w:r>
      <w:r>
        <w:rPr>
          <w:rFonts w:hint="eastAsia" w:eastAsia="楷体"/>
          <w:sz w:val="32"/>
          <w:szCs w:val="32"/>
        </w:rPr>
        <w:t>22日第一次修订并更名为《全国中小企业股份转让系统股票转让方式确定及变更指引》，</w:t>
      </w:r>
      <w:r>
        <w:rPr>
          <w:rFonts w:eastAsia="楷体"/>
          <w:sz w:val="32"/>
          <w:szCs w:val="32"/>
        </w:rPr>
        <w:t>202</w:t>
      </w:r>
      <w:r>
        <w:rPr>
          <w:rFonts w:hint="eastAsia" w:eastAsia="楷体"/>
          <w:sz w:val="32"/>
          <w:szCs w:val="32"/>
        </w:rPr>
        <w:t>0</w:t>
      </w:r>
      <w:r>
        <w:rPr>
          <w:rFonts w:eastAsia="楷体"/>
          <w:sz w:val="32"/>
          <w:szCs w:val="32"/>
        </w:rPr>
        <w:t>年</w:t>
      </w:r>
      <w:r>
        <w:rPr>
          <w:rFonts w:hint="eastAsia" w:eastAsia="楷体"/>
          <w:sz w:val="32"/>
          <w:szCs w:val="32"/>
        </w:rPr>
        <w:t>2</w:t>
      </w:r>
      <w:r>
        <w:rPr>
          <w:rFonts w:eastAsia="楷体"/>
          <w:sz w:val="32"/>
          <w:szCs w:val="32"/>
        </w:rPr>
        <w:t>月</w:t>
      </w:r>
      <w:r>
        <w:rPr>
          <w:rFonts w:hint="eastAsia" w:eastAsia="楷体"/>
          <w:sz w:val="32"/>
          <w:szCs w:val="32"/>
        </w:rPr>
        <w:t>21</w:t>
      </w:r>
      <w:r>
        <w:rPr>
          <w:rFonts w:eastAsia="楷体"/>
          <w:sz w:val="32"/>
          <w:szCs w:val="32"/>
        </w:rPr>
        <w:t>日第二次修订</w:t>
      </w:r>
      <w:r>
        <w:rPr>
          <w:rFonts w:hint="eastAsia" w:eastAsia="楷体"/>
          <w:sz w:val="32"/>
          <w:szCs w:val="32"/>
        </w:rPr>
        <w:t>，</w:t>
      </w:r>
      <w:r>
        <w:rPr>
          <w:rFonts w:eastAsia="楷体"/>
          <w:sz w:val="32"/>
          <w:szCs w:val="32"/>
        </w:rPr>
        <w:t>202</w:t>
      </w:r>
      <w:r>
        <w:rPr>
          <w:rFonts w:hint="eastAsia" w:eastAsia="楷体"/>
          <w:sz w:val="32"/>
          <w:szCs w:val="32"/>
        </w:rPr>
        <w:t>1</w:t>
      </w:r>
      <w:r>
        <w:rPr>
          <w:rFonts w:eastAsia="楷体"/>
          <w:sz w:val="32"/>
          <w:szCs w:val="32"/>
        </w:rPr>
        <w:t>年</w:t>
      </w:r>
      <w:r>
        <w:rPr>
          <w:rFonts w:hint="eastAsia" w:eastAsia="楷体"/>
          <w:sz w:val="32"/>
          <w:szCs w:val="32"/>
        </w:rPr>
        <w:t>11</w:t>
      </w:r>
      <w:r>
        <w:rPr>
          <w:rFonts w:eastAsia="楷体"/>
          <w:sz w:val="32"/>
          <w:szCs w:val="32"/>
        </w:rPr>
        <w:t>月</w:t>
      </w:r>
      <w:r>
        <w:rPr>
          <w:rFonts w:hint="eastAsia" w:eastAsia="楷体"/>
          <w:sz w:val="32"/>
          <w:szCs w:val="32"/>
        </w:rPr>
        <w:t>12</w:t>
      </w:r>
      <w:r>
        <w:rPr>
          <w:rFonts w:eastAsia="楷体"/>
          <w:sz w:val="32"/>
          <w:szCs w:val="32"/>
        </w:rPr>
        <w:t>日第</w:t>
      </w:r>
      <w:r>
        <w:rPr>
          <w:rFonts w:hint="eastAsia" w:eastAsia="楷体"/>
          <w:sz w:val="32"/>
          <w:szCs w:val="32"/>
        </w:rPr>
        <w:t>三</w:t>
      </w:r>
      <w:r>
        <w:rPr>
          <w:rFonts w:eastAsia="楷体"/>
          <w:sz w:val="32"/>
          <w:szCs w:val="32"/>
        </w:rPr>
        <w:t>次修订</w:t>
      </w:r>
      <w:r>
        <w:rPr>
          <w:rFonts w:hint="eastAsia" w:eastAsia="楷体"/>
          <w:sz w:val="32"/>
          <w:szCs w:val="32"/>
        </w:rPr>
        <w:t>，</w:t>
      </w:r>
      <w:r>
        <w:rPr>
          <w:rFonts w:eastAsia="楷体"/>
          <w:sz w:val="32"/>
          <w:szCs w:val="32"/>
        </w:rPr>
        <w:t>202</w:t>
      </w:r>
      <w:r>
        <w:rPr>
          <w:rFonts w:hint="eastAsia" w:eastAsia="楷体"/>
          <w:sz w:val="32"/>
          <w:szCs w:val="32"/>
        </w:rPr>
        <w:t>3</w:t>
      </w:r>
      <w:r>
        <w:rPr>
          <w:rFonts w:eastAsia="楷体"/>
          <w:sz w:val="32"/>
          <w:szCs w:val="32"/>
        </w:rPr>
        <w:t>年</w:t>
      </w:r>
      <w:r>
        <w:rPr>
          <w:rFonts w:hint="eastAsia" w:eastAsia="楷体"/>
          <w:sz w:val="32"/>
          <w:szCs w:val="32"/>
        </w:rPr>
        <w:t>12</w:t>
      </w:r>
      <w:r>
        <w:rPr>
          <w:rFonts w:eastAsia="楷体"/>
          <w:sz w:val="32"/>
          <w:szCs w:val="32"/>
        </w:rPr>
        <w:t>月</w:t>
      </w:r>
      <w:r>
        <w:rPr>
          <w:rFonts w:hint="eastAsia" w:eastAsia="楷体"/>
          <w:sz w:val="32"/>
          <w:szCs w:val="32"/>
        </w:rPr>
        <w:t>22</w:t>
      </w:r>
      <w:r>
        <w:rPr>
          <w:rFonts w:eastAsia="楷体"/>
          <w:sz w:val="32"/>
          <w:szCs w:val="32"/>
        </w:rPr>
        <w:t>日第</w:t>
      </w:r>
      <w:r>
        <w:rPr>
          <w:rFonts w:hint="eastAsia" w:eastAsia="楷体"/>
          <w:sz w:val="32"/>
          <w:szCs w:val="32"/>
        </w:rPr>
        <w:t>四</w:t>
      </w:r>
      <w:r>
        <w:rPr>
          <w:rFonts w:eastAsia="楷体"/>
          <w:sz w:val="32"/>
          <w:szCs w:val="32"/>
        </w:rPr>
        <w:t>次修订</w:t>
      </w:r>
      <w:r>
        <w:rPr>
          <w:rFonts w:hint="eastAsia" w:eastAsia="楷体"/>
          <w:sz w:val="32"/>
          <w:szCs w:val="32"/>
        </w:rPr>
        <w:t>，2025年</w:t>
      </w:r>
      <w:r>
        <w:rPr>
          <w:rFonts w:hint="eastAsia" w:eastAsia="楷体"/>
          <w:sz w:val="32"/>
          <w:szCs w:val="32"/>
          <w:lang w:val="en-US" w:eastAsia="zh-CN"/>
        </w:rPr>
        <w:t>3</w:t>
      </w:r>
      <w:r>
        <w:rPr>
          <w:rFonts w:hint="eastAsia" w:eastAsia="楷体"/>
          <w:sz w:val="32"/>
          <w:szCs w:val="32"/>
          <w:lang w:val="en"/>
        </w:rPr>
        <w:t>月</w:t>
      </w:r>
      <w:r>
        <w:rPr>
          <w:rFonts w:hint="eastAsia" w:eastAsia="楷体"/>
          <w:sz w:val="32"/>
          <w:szCs w:val="32"/>
          <w:lang w:val="en-US" w:eastAsia="zh-CN"/>
        </w:rPr>
        <w:t>28</w:t>
      </w:r>
      <w:r>
        <w:rPr>
          <w:rFonts w:hint="eastAsia" w:eastAsia="楷体"/>
          <w:sz w:val="32"/>
          <w:szCs w:val="32"/>
          <w:lang w:val="en"/>
        </w:rPr>
        <w:t>日第五次修订</w:t>
      </w:r>
      <w:r>
        <w:rPr>
          <w:rFonts w:hint="eastAsia"/>
          <w:sz w:val="32"/>
          <w:szCs w:val="32"/>
        </w:rPr>
        <w:t>）</w:t>
      </w:r>
    </w:p>
    <w:p>
      <w:pPr>
        <w:spacing w:line="600" w:lineRule="exact"/>
        <w:ind w:firstLine="640"/>
        <w:rPr>
          <w:sz w:val="32"/>
          <w:szCs w:val="32"/>
        </w:rPr>
      </w:pP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 xml:space="preserve">第一章 </w:t>
      </w:r>
      <w:r>
        <w:rPr>
          <w:rFonts w:ascii="黑体" w:hAnsi="黑体" w:eastAsia="黑体"/>
          <w:sz w:val="32"/>
          <w:szCs w:val="32"/>
        </w:rPr>
        <w:t xml:space="preserve"> </w:t>
      </w:r>
      <w:r>
        <w:rPr>
          <w:rFonts w:hint="eastAsia" w:ascii="黑体" w:hAnsi="黑体" w:eastAsia="黑体"/>
          <w:sz w:val="32"/>
          <w:szCs w:val="32"/>
        </w:rPr>
        <w:t>总  则</w:t>
      </w:r>
    </w:p>
    <w:p>
      <w:pPr>
        <w:spacing w:line="600" w:lineRule="exact"/>
        <w:ind w:firstLine="640"/>
        <w:rPr>
          <w:sz w:val="32"/>
          <w:szCs w:val="32"/>
        </w:rPr>
      </w:pPr>
      <w:r>
        <w:rPr>
          <w:rFonts w:hint="eastAsia" w:ascii="黑体" w:hAnsi="黑体" w:eastAsia="黑体"/>
          <w:bCs/>
          <w:sz w:val="32"/>
          <w:szCs w:val="32"/>
        </w:rPr>
        <w:t>第一条</w:t>
      </w:r>
      <w:r>
        <w:rPr>
          <w:b/>
          <w:bCs/>
          <w:sz w:val="32"/>
          <w:szCs w:val="32"/>
        </w:rPr>
        <w:t xml:space="preserve">  </w:t>
      </w:r>
      <w:r>
        <w:rPr>
          <w:rFonts w:hint="eastAsia"/>
          <w:kern w:val="2"/>
          <w:sz w:val="32"/>
          <w:szCs w:val="32"/>
        </w:rPr>
        <w:t>为了明确全国中小企业股份转让系统（以下简称全国股转系统）申请挂牌公司、挂牌公司股票（以下简称股票）交易方式的确定、变更以及做市商加入、退出等相关事宜，根据《全国中小企业股份转让系统股票交易规则》（以下简称《交易规则》）等有关规定，制定本指引。</w:t>
      </w:r>
    </w:p>
    <w:p>
      <w:pPr>
        <w:spacing w:line="600" w:lineRule="exact"/>
        <w:ind w:firstLine="640"/>
        <w:rPr>
          <w:sz w:val="32"/>
          <w:szCs w:val="32"/>
        </w:rPr>
      </w:pPr>
      <w:r>
        <w:rPr>
          <w:rFonts w:hint="eastAsia" w:ascii="黑体" w:hAnsi="黑体" w:eastAsia="黑体"/>
          <w:bCs/>
          <w:sz w:val="32"/>
          <w:szCs w:val="32"/>
        </w:rPr>
        <w:t>第二条</w:t>
      </w:r>
      <w:r>
        <w:rPr>
          <w:b/>
          <w:bCs/>
          <w:sz w:val="32"/>
          <w:szCs w:val="32"/>
        </w:rPr>
        <w:t xml:space="preserve"> </w:t>
      </w:r>
      <w:r>
        <w:rPr>
          <w:rFonts w:hint="eastAsia"/>
          <w:b/>
          <w:bCs/>
          <w:sz w:val="32"/>
          <w:szCs w:val="32"/>
        </w:rPr>
        <w:t xml:space="preserve"> </w:t>
      </w:r>
      <w:r>
        <w:rPr>
          <w:rFonts w:hint="eastAsia"/>
          <w:kern w:val="2"/>
          <w:sz w:val="32"/>
          <w:szCs w:val="32"/>
        </w:rPr>
        <w:t>做市交易方式、集合竞价交易方式的确定及变更适用本指引。</w:t>
      </w:r>
    </w:p>
    <w:p>
      <w:pPr>
        <w:spacing w:line="600" w:lineRule="exact"/>
        <w:ind w:firstLine="640"/>
        <w:rPr>
          <w:sz w:val="32"/>
          <w:szCs w:val="32"/>
        </w:rPr>
      </w:pPr>
      <w:r>
        <w:rPr>
          <w:rFonts w:hint="eastAsia" w:ascii="黑体" w:hAnsi="黑体" w:eastAsia="黑体"/>
          <w:bCs/>
          <w:sz w:val="32"/>
          <w:szCs w:val="32"/>
        </w:rPr>
        <w:t>第三条</w:t>
      </w:r>
      <w:r>
        <w:rPr>
          <w:b/>
          <w:bCs/>
          <w:sz w:val="32"/>
          <w:szCs w:val="32"/>
        </w:rPr>
        <w:t xml:space="preserve"> </w:t>
      </w:r>
      <w:r>
        <w:rPr>
          <w:rFonts w:hint="eastAsia"/>
          <w:b/>
          <w:bCs/>
          <w:sz w:val="32"/>
          <w:szCs w:val="32"/>
        </w:rPr>
        <w:t xml:space="preserve"> </w:t>
      </w:r>
      <w:r>
        <w:rPr>
          <w:rFonts w:hint="eastAsia"/>
          <w:kern w:val="2"/>
          <w:sz w:val="32"/>
          <w:szCs w:val="32"/>
        </w:rPr>
        <w:t>挂牌公司股票采取做市交易方式或集合竞价交易方式之一进行交易。</w:t>
      </w:r>
    </w:p>
    <w:p>
      <w:pPr>
        <w:spacing w:line="600" w:lineRule="exact"/>
        <w:ind w:firstLine="640"/>
        <w:rPr>
          <w:sz w:val="32"/>
          <w:szCs w:val="32"/>
        </w:rPr>
      </w:pPr>
      <w:r>
        <w:rPr>
          <w:rFonts w:hint="eastAsia" w:ascii="黑体" w:hAnsi="黑体" w:eastAsia="黑体"/>
          <w:bCs/>
          <w:sz w:val="32"/>
          <w:szCs w:val="32"/>
        </w:rPr>
        <w:t>第四条</w:t>
      </w:r>
      <w:r>
        <w:rPr>
          <w:b/>
          <w:bCs/>
          <w:sz w:val="32"/>
          <w:szCs w:val="32"/>
        </w:rPr>
        <w:t xml:space="preserve"> </w:t>
      </w:r>
      <w:r>
        <w:rPr>
          <w:rFonts w:hint="eastAsia"/>
          <w:b/>
          <w:bCs/>
          <w:sz w:val="32"/>
          <w:szCs w:val="32"/>
        </w:rPr>
        <w:t xml:space="preserve"> </w:t>
      </w:r>
      <w:r>
        <w:rPr>
          <w:rFonts w:hint="eastAsia"/>
          <w:kern w:val="2"/>
          <w:sz w:val="32"/>
          <w:szCs w:val="32"/>
        </w:rPr>
        <w:t>挂牌公司提出申请并经全国中小企业股份转让系统有限责任公司（以下简称全国股转公司）同意，可以变更股票交易方式。</w:t>
      </w:r>
    </w:p>
    <w:p>
      <w:pPr>
        <w:spacing w:line="600" w:lineRule="exact"/>
        <w:ind w:firstLine="640"/>
        <w:rPr>
          <w:sz w:val="32"/>
          <w:szCs w:val="32"/>
        </w:rPr>
      </w:pPr>
      <w:r>
        <w:rPr>
          <w:rFonts w:hint="eastAsia"/>
          <w:kern w:val="2"/>
          <w:sz w:val="32"/>
          <w:szCs w:val="32"/>
        </w:rPr>
        <w:t>挂牌公司拟申请变更股票交易方式的，其股东会应当就股票交易方式变更事宜作出决议。挂牌公司应当在股东会会议结束后2个交易日内在符合《证券法》规定的信息披露平台（以下简称规定的信息披露平台）公告决议内容。</w:t>
      </w:r>
    </w:p>
    <w:p>
      <w:pPr>
        <w:spacing w:line="600" w:lineRule="exact"/>
        <w:ind w:firstLine="640"/>
        <w:rPr>
          <w:sz w:val="32"/>
          <w:szCs w:val="32"/>
        </w:rPr>
      </w:pPr>
      <w:r>
        <w:rPr>
          <w:rFonts w:hint="eastAsia" w:ascii="黑体" w:hAnsi="黑体" w:eastAsia="黑体"/>
          <w:bCs/>
          <w:sz w:val="32"/>
          <w:szCs w:val="32"/>
        </w:rPr>
        <w:t>第五条</w:t>
      </w:r>
      <w:r>
        <w:rPr>
          <w:b/>
          <w:bCs/>
          <w:sz w:val="32"/>
          <w:szCs w:val="32"/>
        </w:rPr>
        <w:t xml:space="preserve"> </w:t>
      </w:r>
      <w:r>
        <w:rPr>
          <w:rFonts w:hint="eastAsia"/>
          <w:b/>
          <w:bCs/>
          <w:sz w:val="32"/>
          <w:szCs w:val="32"/>
        </w:rPr>
        <w:t xml:space="preserve"> </w:t>
      </w:r>
      <w:r>
        <w:rPr>
          <w:rFonts w:hint="eastAsia"/>
          <w:kern w:val="2"/>
          <w:sz w:val="32"/>
          <w:szCs w:val="32"/>
        </w:rPr>
        <w:t>采取做市交易方式的股票因做市商不足2家导致停牌满30个交易日的，全国股转公司强制变更股票交易方式为集合竞价交易方式。</w:t>
      </w:r>
    </w:p>
    <w:p>
      <w:pPr>
        <w:spacing w:line="600" w:lineRule="exact"/>
        <w:ind w:firstLine="640"/>
        <w:rPr>
          <w:sz w:val="32"/>
          <w:szCs w:val="32"/>
        </w:rPr>
      </w:pPr>
      <w:r>
        <w:rPr>
          <w:rFonts w:hint="eastAsia"/>
          <w:kern w:val="2"/>
          <w:sz w:val="32"/>
          <w:szCs w:val="32"/>
        </w:rPr>
        <w:t>采取做市交易方式的股票被全国股转公司作出终止挂牌决定后，全国股转公司自股票恢复交易首日强制变更股票交易方式为集合竞价交易方式。</w:t>
      </w: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第二章</w:t>
      </w:r>
      <w:r>
        <w:rPr>
          <w:rFonts w:ascii="黑体" w:hAnsi="黑体" w:eastAsia="黑体"/>
          <w:sz w:val="32"/>
          <w:szCs w:val="32"/>
        </w:rPr>
        <w:t xml:space="preserve">  </w:t>
      </w:r>
      <w:r>
        <w:rPr>
          <w:rFonts w:hint="eastAsia" w:ascii="黑体" w:hAnsi="黑体" w:eastAsia="黑体"/>
          <w:sz w:val="32"/>
          <w:szCs w:val="32"/>
        </w:rPr>
        <w:t>申请挂牌公司股票交易方式的确定</w:t>
      </w:r>
    </w:p>
    <w:p>
      <w:pPr>
        <w:spacing w:line="600" w:lineRule="exact"/>
        <w:ind w:firstLine="640"/>
        <w:rPr>
          <w:sz w:val="32"/>
          <w:szCs w:val="32"/>
        </w:rPr>
      </w:pPr>
      <w:r>
        <w:rPr>
          <w:rFonts w:hint="eastAsia" w:ascii="黑体" w:hAnsi="黑体" w:eastAsia="黑体"/>
          <w:bCs/>
          <w:sz w:val="32"/>
          <w:szCs w:val="32"/>
        </w:rPr>
        <w:t>第六条</w:t>
      </w:r>
      <w:r>
        <w:rPr>
          <w:b/>
          <w:bCs/>
          <w:sz w:val="32"/>
          <w:szCs w:val="32"/>
        </w:rPr>
        <w:t xml:space="preserve"> </w:t>
      </w:r>
      <w:r>
        <w:rPr>
          <w:rFonts w:hint="eastAsia"/>
          <w:b/>
          <w:bCs/>
          <w:sz w:val="32"/>
          <w:szCs w:val="32"/>
        </w:rPr>
        <w:t xml:space="preserve"> </w:t>
      </w:r>
      <w:r>
        <w:rPr>
          <w:rFonts w:hint="eastAsia"/>
          <w:kern w:val="2"/>
          <w:sz w:val="32"/>
          <w:szCs w:val="32"/>
        </w:rPr>
        <w:t>股票挂牌时拟采取做市交易方式或集合竞价交易方式的，申请挂牌公司应召开股东会作出决议，并向全国股转公司提出申请。</w:t>
      </w:r>
    </w:p>
    <w:p>
      <w:pPr>
        <w:spacing w:line="600" w:lineRule="exact"/>
        <w:ind w:firstLine="640"/>
        <w:rPr>
          <w:sz w:val="32"/>
          <w:szCs w:val="32"/>
        </w:rPr>
      </w:pPr>
      <w:r>
        <w:rPr>
          <w:rFonts w:hint="eastAsia" w:ascii="黑体" w:hAnsi="黑体" w:eastAsia="黑体"/>
          <w:bCs/>
          <w:sz w:val="32"/>
          <w:szCs w:val="32"/>
        </w:rPr>
        <w:t>第七条</w:t>
      </w:r>
      <w:r>
        <w:rPr>
          <w:b/>
          <w:bCs/>
          <w:sz w:val="32"/>
          <w:szCs w:val="32"/>
        </w:rPr>
        <w:t xml:space="preserve"> </w:t>
      </w:r>
      <w:r>
        <w:rPr>
          <w:rFonts w:hint="eastAsia"/>
          <w:b/>
          <w:bCs/>
          <w:sz w:val="32"/>
          <w:szCs w:val="32"/>
        </w:rPr>
        <w:t xml:space="preserve"> </w:t>
      </w:r>
      <w:r>
        <w:rPr>
          <w:rFonts w:hint="eastAsia"/>
          <w:kern w:val="2"/>
          <w:sz w:val="32"/>
          <w:szCs w:val="32"/>
        </w:rPr>
        <w:t>股票挂牌时拟采取做市交易方式的，应当具备以下条件：</w:t>
      </w:r>
    </w:p>
    <w:p>
      <w:pPr>
        <w:spacing w:line="600" w:lineRule="exact"/>
        <w:ind w:firstLine="640"/>
        <w:rPr>
          <w:sz w:val="32"/>
          <w:szCs w:val="32"/>
        </w:rPr>
      </w:pPr>
      <w:r>
        <w:rPr>
          <w:rFonts w:hint="eastAsia"/>
          <w:kern w:val="2"/>
          <w:sz w:val="32"/>
          <w:szCs w:val="32"/>
        </w:rPr>
        <w:t>（一）2家以上做市商同意为申请挂牌公司股票提供做市报价服务，且其中一家做市商为推荐该股票挂牌的主办券商或该主办券商的母（子）公司；</w:t>
      </w:r>
    </w:p>
    <w:p>
      <w:pPr>
        <w:spacing w:line="600" w:lineRule="exact"/>
        <w:ind w:firstLine="640"/>
        <w:rPr>
          <w:sz w:val="32"/>
          <w:szCs w:val="32"/>
        </w:rPr>
      </w:pPr>
      <w:r>
        <w:rPr>
          <w:rFonts w:hint="eastAsia"/>
          <w:kern w:val="2"/>
          <w:sz w:val="32"/>
          <w:szCs w:val="32"/>
        </w:rPr>
        <w:t>（二）做市商合计取得不低于申请挂牌公司总股本5%或100万股（以孰低为准），且每家做市商不低于10万股的做市库存股票；</w:t>
      </w:r>
    </w:p>
    <w:p>
      <w:pPr>
        <w:spacing w:line="600" w:lineRule="exact"/>
        <w:ind w:firstLine="640"/>
        <w:rPr>
          <w:sz w:val="32"/>
          <w:szCs w:val="32"/>
        </w:rPr>
      </w:pPr>
      <w:r>
        <w:rPr>
          <w:rFonts w:hint="eastAsia"/>
          <w:kern w:val="2"/>
          <w:sz w:val="32"/>
          <w:szCs w:val="32"/>
        </w:rPr>
        <w:t>（三）全国股转公司规定的其他条件。</w:t>
      </w:r>
    </w:p>
    <w:p>
      <w:pPr>
        <w:spacing w:line="600" w:lineRule="exact"/>
        <w:ind w:firstLine="640"/>
        <w:rPr>
          <w:sz w:val="32"/>
          <w:szCs w:val="32"/>
        </w:rPr>
      </w:pPr>
      <w:r>
        <w:rPr>
          <w:rFonts w:hint="eastAsia" w:ascii="黑体" w:hAnsi="黑体" w:eastAsia="黑体"/>
          <w:bCs/>
          <w:sz w:val="32"/>
          <w:szCs w:val="32"/>
        </w:rPr>
        <w:t>第八条</w:t>
      </w:r>
      <w:r>
        <w:rPr>
          <w:b/>
          <w:bCs/>
          <w:sz w:val="32"/>
          <w:szCs w:val="32"/>
        </w:rPr>
        <w:t xml:space="preserve"> </w:t>
      </w:r>
      <w:r>
        <w:rPr>
          <w:rFonts w:hint="eastAsia"/>
          <w:b/>
          <w:bCs/>
          <w:sz w:val="32"/>
          <w:szCs w:val="32"/>
        </w:rPr>
        <w:t xml:space="preserve"> </w:t>
      </w:r>
      <w:r>
        <w:rPr>
          <w:rFonts w:hint="eastAsia"/>
          <w:kern w:val="2"/>
          <w:sz w:val="32"/>
          <w:szCs w:val="32"/>
        </w:rPr>
        <w:t>全国股转公司在出具同意挂牌审查意见时，确认申请挂牌公司股票的交易方式。</w:t>
      </w:r>
    </w:p>
    <w:p>
      <w:pPr>
        <w:spacing w:line="600" w:lineRule="exact"/>
        <w:ind w:firstLine="640"/>
        <w:rPr>
          <w:sz w:val="32"/>
          <w:szCs w:val="32"/>
        </w:rPr>
      </w:pPr>
      <w:r>
        <w:rPr>
          <w:rFonts w:hint="eastAsia" w:ascii="黑体" w:hAnsi="黑体" w:eastAsia="黑体"/>
          <w:bCs/>
          <w:sz w:val="32"/>
          <w:szCs w:val="32"/>
        </w:rPr>
        <w:t>第九条</w:t>
      </w:r>
      <w:r>
        <w:rPr>
          <w:b/>
          <w:bCs/>
          <w:sz w:val="32"/>
          <w:szCs w:val="32"/>
        </w:rPr>
        <w:t xml:space="preserve"> </w:t>
      </w:r>
      <w:r>
        <w:rPr>
          <w:rFonts w:hint="eastAsia"/>
          <w:b/>
          <w:bCs/>
          <w:sz w:val="32"/>
          <w:szCs w:val="32"/>
        </w:rPr>
        <w:t xml:space="preserve"> </w:t>
      </w:r>
      <w:r>
        <w:rPr>
          <w:rFonts w:hint="eastAsia"/>
          <w:kern w:val="2"/>
          <w:sz w:val="32"/>
          <w:szCs w:val="32"/>
        </w:rPr>
        <w:t>股票拟采取做市交易方式的，申请挂牌公司应当在股票挂牌前将做市商做市库存股票登记在做市专用证券账户。</w:t>
      </w:r>
    </w:p>
    <w:p>
      <w:pPr>
        <w:spacing w:line="600" w:lineRule="exact"/>
        <w:ind w:firstLine="640"/>
        <w:rPr>
          <w:sz w:val="32"/>
          <w:szCs w:val="32"/>
        </w:rPr>
      </w:pPr>
      <w:r>
        <w:rPr>
          <w:rFonts w:hint="eastAsia" w:ascii="黑体" w:hAnsi="黑体" w:eastAsia="黑体"/>
          <w:bCs/>
          <w:sz w:val="32"/>
          <w:szCs w:val="32"/>
        </w:rPr>
        <w:t>第十条</w:t>
      </w:r>
      <w:r>
        <w:rPr>
          <w:b/>
          <w:bCs/>
          <w:sz w:val="32"/>
          <w:szCs w:val="32"/>
        </w:rPr>
        <w:t xml:space="preserve"> </w:t>
      </w:r>
      <w:r>
        <w:rPr>
          <w:rFonts w:hint="eastAsia"/>
          <w:b/>
          <w:bCs/>
          <w:sz w:val="32"/>
          <w:szCs w:val="32"/>
        </w:rPr>
        <w:t xml:space="preserve"> </w:t>
      </w:r>
      <w:r>
        <w:rPr>
          <w:rFonts w:hint="eastAsia"/>
          <w:kern w:val="2"/>
          <w:sz w:val="32"/>
          <w:szCs w:val="32"/>
        </w:rPr>
        <w:t>申请挂牌公司应当按照全国股转公司的要求在公开转让说明书和挂牌提示性公告中披露其股票交易方式。</w:t>
      </w: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第三章</w:t>
      </w:r>
      <w:r>
        <w:rPr>
          <w:rFonts w:ascii="黑体" w:hAnsi="黑体" w:eastAsia="黑体"/>
          <w:sz w:val="32"/>
          <w:szCs w:val="32"/>
        </w:rPr>
        <w:t xml:space="preserve">  </w:t>
      </w:r>
      <w:r>
        <w:rPr>
          <w:rFonts w:hint="eastAsia" w:ascii="黑体" w:hAnsi="黑体" w:eastAsia="黑体"/>
          <w:sz w:val="32"/>
          <w:szCs w:val="32"/>
        </w:rPr>
        <w:t>挂牌公司股票交易方式变更</w:t>
      </w:r>
    </w:p>
    <w:p>
      <w:pPr>
        <w:pStyle w:val="29"/>
        <w:spacing w:before="240" w:after="240" w:line="600" w:lineRule="exact"/>
        <w:ind w:firstLine="0" w:firstLineChars="0"/>
        <w:jc w:val="center"/>
        <w:outlineLvl w:val="1"/>
        <w:rPr>
          <w:rFonts w:ascii="楷体" w:hAnsi="楷体" w:eastAsia="楷体"/>
          <w:sz w:val="32"/>
          <w:szCs w:val="32"/>
        </w:rPr>
      </w:pPr>
      <w:r>
        <w:rPr>
          <w:rFonts w:hint="eastAsia" w:ascii="楷体" w:hAnsi="楷体" w:eastAsia="楷体"/>
          <w:sz w:val="32"/>
          <w:szCs w:val="32"/>
        </w:rPr>
        <w:t>第一节</w:t>
      </w:r>
      <w:r>
        <w:rPr>
          <w:rFonts w:ascii="楷体" w:hAnsi="楷体" w:eastAsia="楷体"/>
          <w:sz w:val="32"/>
          <w:szCs w:val="32"/>
        </w:rPr>
        <w:t xml:space="preserve"> </w:t>
      </w:r>
      <w:r>
        <w:rPr>
          <w:rFonts w:hint="eastAsia" w:ascii="楷体" w:hAnsi="楷体" w:eastAsia="楷体"/>
          <w:sz w:val="32"/>
          <w:szCs w:val="32"/>
        </w:rPr>
        <w:t xml:space="preserve"> 集合竞价交易方式变更为做市交易方式</w:t>
      </w:r>
    </w:p>
    <w:p>
      <w:pPr>
        <w:spacing w:line="600" w:lineRule="exact"/>
        <w:ind w:firstLine="640"/>
        <w:rPr>
          <w:sz w:val="32"/>
          <w:szCs w:val="32"/>
        </w:rPr>
      </w:pPr>
      <w:r>
        <w:rPr>
          <w:rFonts w:hint="eastAsia" w:ascii="黑体" w:hAnsi="黑体" w:eastAsia="黑体"/>
          <w:bCs/>
          <w:sz w:val="32"/>
          <w:szCs w:val="32"/>
        </w:rPr>
        <w:t xml:space="preserve">第十一条  </w:t>
      </w:r>
      <w:r>
        <w:rPr>
          <w:rFonts w:hint="eastAsia"/>
          <w:kern w:val="2"/>
          <w:sz w:val="32"/>
          <w:szCs w:val="32"/>
        </w:rPr>
        <w:t>采取集合竞价交易方式的股票，挂牌公司申请变更为做市交易方式的，应当符合以下条件：</w:t>
      </w:r>
    </w:p>
    <w:p>
      <w:pPr>
        <w:spacing w:line="600" w:lineRule="exact"/>
        <w:ind w:firstLine="640"/>
        <w:rPr>
          <w:sz w:val="32"/>
          <w:szCs w:val="32"/>
        </w:rPr>
      </w:pPr>
      <w:r>
        <w:rPr>
          <w:rFonts w:hint="eastAsia"/>
          <w:kern w:val="2"/>
          <w:sz w:val="32"/>
          <w:szCs w:val="32"/>
        </w:rPr>
        <w:t>（一）2家以上做市商同意为该股票提供做市报价服务，并且每家做市商已取得不低于10万股的做市库存股票；</w:t>
      </w:r>
    </w:p>
    <w:p>
      <w:pPr>
        <w:spacing w:line="600" w:lineRule="exact"/>
        <w:ind w:firstLine="640"/>
        <w:rPr>
          <w:sz w:val="32"/>
          <w:szCs w:val="32"/>
        </w:rPr>
      </w:pPr>
      <w:r>
        <w:rPr>
          <w:rFonts w:hint="eastAsia"/>
          <w:kern w:val="2"/>
          <w:sz w:val="32"/>
          <w:szCs w:val="32"/>
        </w:rPr>
        <w:t>（二）全国股转公司规定的其他条件。</w:t>
      </w:r>
    </w:p>
    <w:p>
      <w:pPr>
        <w:spacing w:line="600" w:lineRule="exact"/>
        <w:ind w:firstLine="640"/>
        <w:rPr>
          <w:sz w:val="32"/>
          <w:szCs w:val="32"/>
        </w:rPr>
      </w:pPr>
      <w:r>
        <w:rPr>
          <w:rFonts w:hint="eastAsia" w:ascii="黑体" w:hAnsi="黑体" w:eastAsia="黑体"/>
          <w:bCs/>
          <w:sz w:val="32"/>
          <w:szCs w:val="32"/>
        </w:rPr>
        <w:t>第十二条</w:t>
      </w:r>
      <w:r>
        <w:rPr>
          <w:b/>
          <w:bCs/>
          <w:sz w:val="32"/>
          <w:szCs w:val="32"/>
        </w:rPr>
        <w:t xml:space="preserve"> </w:t>
      </w:r>
      <w:r>
        <w:rPr>
          <w:rFonts w:hint="eastAsia"/>
          <w:b/>
          <w:bCs/>
          <w:sz w:val="32"/>
          <w:szCs w:val="32"/>
        </w:rPr>
        <w:t xml:space="preserve"> </w:t>
      </w:r>
      <w:r>
        <w:rPr>
          <w:rFonts w:hint="eastAsia"/>
          <w:kern w:val="2"/>
          <w:sz w:val="32"/>
          <w:szCs w:val="32"/>
        </w:rPr>
        <w:t>挂牌公司应当在作出有关变更交易方式的决议后6个月内，向全国股转公司提出申请。</w:t>
      </w:r>
    </w:p>
    <w:p>
      <w:pPr>
        <w:spacing w:line="600" w:lineRule="exact"/>
        <w:ind w:firstLine="640"/>
        <w:rPr>
          <w:sz w:val="32"/>
          <w:szCs w:val="32"/>
        </w:rPr>
      </w:pPr>
      <w:r>
        <w:rPr>
          <w:rFonts w:hint="eastAsia" w:ascii="黑体" w:hAnsi="黑体" w:eastAsia="黑体"/>
          <w:bCs/>
          <w:sz w:val="32"/>
          <w:szCs w:val="32"/>
        </w:rPr>
        <w:t>第十三条</w:t>
      </w:r>
      <w:r>
        <w:rPr>
          <w:b/>
          <w:bCs/>
          <w:sz w:val="32"/>
          <w:szCs w:val="32"/>
        </w:rPr>
        <w:t xml:space="preserve"> </w:t>
      </w:r>
      <w:r>
        <w:rPr>
          <w:rFonts w:hint="eastAsia"/>
          <w:b/>
          <w:bCs/>
          <w:sz w:val="32"/>
          <w:szCs w:val="32"/>
        </w:rPr>
        <w:t xml:space="preserve"> </w:t>
      </w:r>
      <w:r>
        <w:rPr>
          <w:rFonts w:hint="eastAsia"/>
          <w:kern w:val="2"/>
          <w:sz w:val="32"/>
          <w:szCs w:val="32"/>
        </w:rPr>
        <w:t>挂牌公司应当于全国股转公司出具同意意见当日在规定的信息披露平台公告，自全国股转公司出具意见之日后第2个交易日起该股票交易方式变更为做市交易方式，相关做市商应当履行对该股票的做市报价义务。</w:t>
      </w:r>
    </w:p>
    <w:p>
      <w:pPr>
        <w:pStyle w:val="29"/>
        <w:spacing w:before="240" w:after="240" w:line="600" w:lineRule="exact"/>
        <w:ind w:firstLine="0" w:firstLineChars="0"/>
        <w:jc w:val="center"/>
        <w:outlineLvl w:val="1"/>
        <w:rPr>
          <w:rFonts w:ascii="楷体" w:hAnsi="楷体" w:eastAsia="楷体"/>
          <w:sz w:val="32"/>
          <w:szCs w:val="32"/>
        </w:rPr>
      </w:pPr>
      <w:r>
        <w:rPr>
          <w:rFonts w:hint="eastAsia" w:ascii="楷体" w:hAnsi="楷体" w:eastAsia="楷体"/>
          <w:sz w:val="32"/>
          <w:szCs w:val="32"/>
        </w:rPr>
        <w:t>第二节</w:t>
      </w:r>
      <w:r>
        <w:rPr>
          <w:rFonts w:ascii="楷体" w:hAnsi="楷体" w:eastAsia="楷体"/>
          <w:sz w:val="32"/>
          <w:szCs w:val="32"/>
        </w:rPr>
        <w:t xml:space="preserve"> </w:t>
      </w:r>
      <w:r>
        <w:rPr>
          <w:rFonts w:hint="eastAsia" w:ascii="楷体" w:hAnsi="楷体" w:eastAsia="楷体"/>
          <w:sz w:val="32"/>
          <w:szCs w:val="32"/>
        </w:rPr>
        <w:t xml:space="preserve"> 做市交易方式变更为集合竞价交易方式</w:t>
      </w:r>
    </w:p>
    <w:p>
      <w:pPr>
        <w:spacing w:line="600" w:lineRule="exact"/>
        <w:ind w:firstLine="640"/>
        <w:rPr>
          <w:sz w:val="32"/>
          <w:szCs w:val="32"/>
        </w:rPr>
      </w:pPr>
      <w:r>
        <w:rPr>
          <w:rFonts w:hint="eastAsia" w:ascii="黑体" w:hAnsi="黑体" w:eastAsia="黑体"/>
          <w:bCs/>
          <w:sz w:val="32"/>
          <w:szCs w:val="32"/>
        </w:rPr>
        <w:t>第十四条</w:t>
      </w:r>
      <w:r>
        <w:rPr>
          <w:rFonts w:hint="eastAsia"/>
          <w:b/>
          <w:bCs/>
          <w:sz w:val="32"/>
          <w:szCs w:val="32"/>
        </w:rPr>
        <w:t xml:space="preserve">  </w:t>
      </w:r>
      <w:r>
        <w:rPr>
          <w:rFonts w:hint="eastAsia"/>
          <w:kern w:val="2"/>
          <w:sz w:val="32"/>
          <w:szCs w:val="32"/>
        </w:rPr>
        <w:t>采取做市交易方式的股票，挂牌公司申请变更为集合竞价交易方式的，应当符合以下条件：</w:t>
      </w:r>
    </w:p>
    <w:p>
      <w:pPr>
        <w:spacing w:line="600" w:lineRule="exact"/>
        <w:ind w:firstLine="640"/>
        <w:rPr>
          <w:sz w:val="32"/>
          <w:szCs w:val="32"/>
        </w:rPr>
      </w:pPr>
      <w:r>
        <w:rPr>
          <w:rFonts w:hint="eastAsia"/>
          <w:kern w:val="2"/>
          <w:sz w:val="32"/>
          <w:szCs w:val="32"/>
        </w:rPr>
        <w:t>（一）该股票所有做市商均已满足《交易规则》关于最低做市期限的要求，且均同意退出做市；</w:t>
      </w:r>
    </w:p>
    <w:p>
      <w:pPr>
        <w:spacing w:line="600" w:lineRule="exact"/>
        <w:ind w:firstLine="640"/>
        <w:rPr>
          <w:sz w:val="32"/>
          <w:szCs w:val="32"/>
        </w:rPr>
      </w:pPr>
      <w:r>
        <w:rPr>
          <w:rFonts w:hint="eastAsia"/>
          <w:kern w:val="2"/>
          <w:sz w:val="32"/>
          <w:szCs w:val="32"/>
        </w:rPr>
        <w:t>（二）全国股转公司规定的其他条件。</w:t>
      </w:r>
    </w:p>
    <w:p>
      <w:pPr>
        <w:spacing w:line="600" w:lineRule="exact"/>
        <w:ind w:firstLine="640"/>
        <w:rPr>
          <w:sz w:val="32"/>
          <w:szCs w:val="32"/>
        </w:rPr>
      </w:pPr>
      <w:r>
        <w:rPr>
          <w:rFonts w:hint="eastAsia" w:ascii="黑体" w:hAnsi="黑体" w:eastAsia="黑体"/>
          <w:bCs/>
          <w:sz w:val="32"/>
          <w:szCs w:val="32"/>
        </w:rPr>
        <w:t>第十五条</w:t>
      </w:r>
      <w:r>
        <w:rPr>
          <w:b/>
          <w:bCs/>
          <w:sz w:val="32"/>
          <w:szCs w:val="32"/>
        </w:rPr>
        <w:t xml:space="preserve"> </w:t>
      </w:r>
      <w:r>
        <w:rPr>
          <w:rFonts w:hint="eastAsia"/>
          <w:b/>
          <w:bCs/>
          <w:sz w:val="32"/>
          <w:szCs w:val="32"/>
        </w:rPr>
        <w:t xml:space="preserve"> </w:t>
      </w:r>
      <w:r>
        <w:rPr>
          <w:rFonts w:hint="eastAsia"/>
          <w:kern w:val="2"/>
          <w:sz w:val="32"/>
          <w:szCs w:val="32"/>
        </w:rPr>
        <w:t>挂牌公司应当在作出有关变更交易方式的决议后10个交易日内，向全国股转公司提出申请。</w:t>
      </w:r>
    </w:p>
    <w:p>
      <w:pPr>
        <w:spacing w:line="600" w:lineRule="exact"/>
        <w:ind w:firstLine="640"/>
        <w:rPr>
          <w:sz w:val="32"/>
          <w:szCs w:val="32"/>
        </w:rPr>
      </w:pPr>
      <w:r>
        <w:rPr>
          <w:rFonts w:hint="eastAsia" w:ascii="黑体" w:hAnsi="黑体" w:eastAsia="黑体"/>
          <w:bCs/>
          <w:sz w:val="32"/>
          <w:szCs w:val="32"/>
        </w:rPr>
        <w:t>第十六条</w:t>
      </w:r>
      <w:r>
        <w:rPr>
          <w:b/>
          <w:bCs/>
          <w:sz w:val="32"/>
          <w:szCs w:val="32"/>
        </w:rPr>
        <w:t xml:space="preserve">  </w:t>
      </w:r>
      <w:r>
        <w:rPr>
          <w:rFonts w:hint="eastAsia"/>
          <w:kern w:val="2"/>
          <w:sz w:val="32"/>
          <w:szCs w:val="32"/>
        </w:rPr>
        <w:t>挂牌公司应当于全国股转公司出具同意意见当日在规定的信息披露平台公告，自全国股转公司出具意见之日后第2个交易日起该股票交易方式变更为集合竞价交易方式，相关做市商停止为该股票提供做市报价服务。</w:t>
      </w: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第四章</w:t>
      </w:r>
      <w:r>
        <w:rPr>
          <w:rFonts w:ascii="黑体" w:hAnsi="黑体" w:eastAsia="黑体"/>
          <w:sz w:val="32"/>
          <w:szCs w:val="32"/>
        </w:rPr>
        <w:t xml:space="preserve">  </w:t>
      </w:r>
      <w:r>
        <w:rPr>
          <w:rFonts w:hint="eastAsia" w:ascii="黑体" w:hAnsi="黑体" w:eastAsia="黑体"/>
          <w:sz w:val="32"/>
          <w:szCs w:val="32"/>
        </w:rPr>
        <w:t>做市商后续加入、退出为股票做市</w:t>
      </w:r>
    </w:p>
    <w:p>
      <w:pPr>
        <w:pStyle w:val="29"/>
        <w:spacing w:before="240" w:after="240" w:line="600" w:lineRule="exact"/>
        <w:ind w:firstLine="0" w:firstLineChars="0"/>
        <w:jc w:val="center"/>
        <w:outlineLvl w:val="1"/>
        <w:rPr>
          <w:rFonts w:ascii="楷体" w:hAnsi="楷体" w:eastAsia="楷体"/>
          <w:sz w:val="32"/>
          <w:szCs w:val="32"/>
        </w:rPr>
      </w:pPr>
      <w:r>
        <w:rPr>
          <w:rFonts w:hint="eastAsia" w:ascii="楷体" w:hAnsi="楷体" w:eastAsia="楷体"/>
          <w:sz w:val="32"/>
          <w:szCs w:val="32"/>
        </w:rPr>
        <w:t>第一节</w:t>
      </w:r>
      <w:r>
        <w:rPr>
          <w:rFonts w:ascii="楷体" w:hAnsi="楷体" w:eastAsia="楷体"/>
          <w:sz w:val="32"/>
          <w:szCs w:val="32"/>
        </w:rPr>
        <w:t xml:space="preserve">  </w:t>
      </w:r>
      <w:r>
        <w:rPr>
          <w:rFonts w:hint="eastAsia" w:ascii="楷体" w:hAnsi="楷体" w:eastAsia="楷体"/>
          <w:sz w:val="32"/>
          <w:szCs w:val="32"/>
        </w:rPr>
        <w:t>做市商后续加入为股票做市</w:t>
      </w:r>
    </w:p>
    <w:p>
      <w:pPr>
        <w:spacing w:line="600" w:lineRule="exact"/>
        <w:ind w:firstLine="640"/>
        <w:rPr>
          <w:sz w:val="32"/>
          <w:szCs w:val="32"/>
        </w:rPr>
      </w:pPr>
      <w:r>
        <w:rPr>
          <w:rFonts w:hint="eastAsia" w:ascii="黑体" w:hAnsi="黑体" w:eastAsia="黑体"/>
          <w:bCs/>
          <w:sz w:val="32"/>
          <w:szCs w:val="32"/>
        </w:rPr>
        <w:t>第十七条</w:t>
      </w:r>
      <w:r>
        <w:rPr>
          <w:b/>
          <w:bCs/>
          <w:sz w:val="32"/>
          <w:szCs w:val="32"/>
        </w:rPr>
        <w:t xml:space="preserve"> </w:t>
      </w:r>
      <w:r>
        <w:rPr>
          <w:rFonts w:hint="eastAsia"/>
          <w:b/>
          <w:bCs/>
          <w:sz w:val="32"/>
          <w:szCs w:val="32"/>
        </w:rPr>
        <w:t xml:space="preserve"> </w:t>
      </w:r>
      <w:r>
        <w:rPr>
          <w:rFonts w:hint="eastAsia"/>
          <w:kern w:val="2"/>
          <w:sz w:val="32"/>
          <w:szCs w:val="32"/>
        </w:rPr>
        <w:t>挂牌时采取做市交易方式的股票，拟后续加入的做市商须在该股票挂牌满3个月后方可经申请同意后为该股票提供做市报价服务。</w:t>
      </w:r>
    </w:p>
    <w:p>
      <w:pPr>
        <w:spacing w:line="600" w:lineRule="exact"/>
        <w:ind w:firstLine="640"/>
        <w:rPr>
          <w:sz w:val="32"/>
          <w:szCs w:val="32"/>
        </w:rPr>
      </w:pPr>
      <w:r>
        <w:rPr>
          <w:rFonts w:hint="eastAsia"/>
          <w:kern w:val="2"/>
          <w:sz w:val="32"/>
          <w:szCs w:val="32"/>
        </w:rPr>
        <w:t>做市商退出做市后，1个月内不得申请再次为该股票做市。</w:t>
      </w:r>
    </w:p>
    <w:p>
      <w:pPr>
        <w:spacing w:line="600" w:lineRule="exact"/>
        <w:ind w:firstLine="640"/>
        <w:rPr>
          <w:sz w:val="32"/>
          <w:szCs w:val="32"/>
        </w:rPr>
      </w:pPr>
      <w:r>
        <w:rPr>
          <w:rFonts w:hint="eastAsia" w:ascii="黑体" w:hAnsi="黑体" w:eastAsia="黑体"/>
          <w:bCs/>
          <w:sz w:val="32"/>
          <w:szCs w:val="32"/>
        </w:rPr>
        <w:t>第十八条</w:t>
      </w:r>
      <w:r>
        <w:rPr>
          <w:b/>
          <w:bCs/>
          <w:sz w:val="32"/>
          <w:szCs w:val="32"/>
        </w:rPr>
        <w:t xml:space="preserve"> </w:t>
      </w:r>
      <w:r>
        <w:rPr>
          <w:rFonts w:hint="eastAsia"/>
          <w:b/>
          <w:bCs/>
          <w:sz w:val="32"/>
          <w:szCs w:val="32"/>
        </w:rPr>
        <w:t xml:space="preserve"> </w:t>
      </w:r>
      <w:r>
        <w:rPr>
          <w:rFonts w:hint="eastAsia"/>
          <w:kern w:val="2"/>
          <w:sz w:val="32"/>
          <w:szCs w:val="32"/>
        </w:rPr>
        <w:t>采取做市交易方式的股票，做市商拟后续加入为该股票做市的，应向全国股转公司提交后续加入做市申请。</w:t>
      </w:r>
    </w:p>
    <w:p>
      <w:pPr>
        <w:spacing w:line="600" w:lineRule="exact"/>
        <w:ind w:firstLine="640"/>
        <w:rPr>
          <w:sz w:val="32"/>
          <w:szCs w:val="32"/>
        </w:rPr>
      </w:pPr>
      <w:r>
        <w:rPr>
          <w:rFonts w:hint="eastAsia" w:ascii="黑体" w:hAnsi="黑体" w:eastAsia="黑体"/>
          <w:bCs/>
          <w:sz w:val="32"/>
          <w:szCs w:val="32"/>
        </w:rPr>
        <w:t>第十九条</w:t>
      </w:r>
      <w:r>
        <w:rPr>
          <w:b/>
          <w:bCs/>
          <w:sz w:val="32"/>
          <w:szCs w:val="32"/>
        </w:rPr>
        <w:t xml:space="preserve"> </w:t>
      </w:r>
      <w:r>
        <w:rPr>
          <w:rFonts w:hint="eastAsia"/>
          <w:b/>
          <w:bCs/>
          <w:sz w:val="32"/>
          <w:szCs w:val="32"/>
        </w:rPr>
        <w:t xml:space="preserve"> </w:t>
      </w:r>
      <w:r>
        <w:rPr>
          <w:rFonts w:hint="eastAsia"/>
          <w:kern w:val="2"/>
          <w:sz w:val="32"/>
          <w:szCs w:val="32"/>
        </w:rPr>
        <w:t>做市商应当于全国股转公司出具同意意见当日在规定的信息披露平台公告，自次一交易日开始履行对该股票的做市报价义务。</w:t>
      </w:r>
    </w:p>
    <w:p>
      <w:pPr>
        <w:pStyle w:val="29"/>
        <w:spacing w:before="240" w:after="240" w:line="600" w:lineRule="exact"/>
        <w:ind w:firstLine="0" w:firstLineChars="0"/>
        <w:jc w:val="center"/>
        <w:outlineLvl w:val="1"/>
        <w:rPr>
          <w:rFonts w:ascii="楷体" w:hAnsi="楷体" w:eastAsia="楷体"/>
          <w:sz w:val="32"/>
          <w:szCs w:val="32"/>
        </w:rPr>
      </w:pPr>
      <w:r>
        <w:rPr>
          <w:rFonts w:hint="eastAsia" w:ascii="楷体" w:hAnsi="楷体" w:eastAsia="楷体"/>
          <w:sz w:val="32"/>
          <w:szCs w:val="32"/>
        </w:rPr>
        <w:t>第二节</w:t>
      </w:r>
      <w:r>
        <w:rPr>
          <w:rFonts w:ascii="楷体" w:hAnsi="楷体" w:eastAsia="楷体"/>
          <w:sz w:val="32"/>
          <w:szCs w:val="32"/>
        </w:rPr>
        <w:t xml:space="preserve">  </w:t>
      </w:r>
      <w:r>
        <w:rPr>
          <w:rFonts w:hint="eastAsia" w:ascii="楷体" w:hAnsi="楷体" w:eastAsia="楷体"/>
          <w:sz w:val="32"/>
          <w:szCs w:val="32"/>
        </w:rPr>
        <w:t>做市商退出为股票做市</w:t>
      </w:r>
    </w:p>
    <w:p>
      <w:pPr>
        <w:spacing w:line="600" w:lineRule="exact"/>
        <w:ind w:firstLine="640"/>
        <w:rPr>
          <w:sz w:val="32"/>
          <w:szCs w:val="32"/>
        </w:rPr>
      </w:pPr>
      <w:r>
        <w:rPr>
          <w:rFonts w:hint="eastAsia" w:ascii="黑体" w:hAnsi="黑体" w:eastAsia="黑体"/>
          <w:bCs/>
          <w:sz w:val="32"/>
          <w:szCs w:val="32"/>
        </w:rPr>
        <w:t>第二十条</w:t>
      </w:r>
      <w:r>
        <w:rPr>
          <w:b/>
          <w:bCs/>
          <w:sz w:val="32"/>
          <w:szCs w:val="32"/>
        </w:rPr>
        <w:t xml:space="preserve"> </w:t>
      </w:r>
      <w:r>
        <w:rPr>
          <w:rFonts w:hint="eastAsia"/>
          <w:b/>
          <w:bCs/>
          <w:sz w:val="32"/>
          <w:szCs w:val="32"/>
        </w:rPr>
        <w:t xml:space="preserve"> </w:t>
      </w:r>
      <w:r>
        <w:rPr>
          <w:rFonts w:hint="eastAsia"/>
          <w:kern w:val="2"/>
          <w:sz w:val="32"/>
          <w:szCs w:val="32"/>
        </w:rPr>
        <w:t>挂牌时采取做市交易方式的股票和由集合竞价交易方式变更为做市交易方式的股票，其初始做市商为股票做市不满6个月的，不得申请退出为该股票做市。后续加入的做市商为相关股票做市不满3个月的，不得申请退出为该股票做市。</w:t>
      </w:r>
    </w:p>
    <w:p>
      <w:pPr>
        <w:spacing w:line="600" w:lineRule="exact"/>
        <w:ind w:firstLine="640"/>
        <w:rPr>
          <w:sz w:val="32"/>
          <w:szCs w:val="32"/>
        </w:rPr>
      </w:pPr>
      <w:r>
        <w:rPr>
          <w:rFonts w:hint="eastAsia" w:ascii="黑体" w:hAnsi="黑体" w:eastAsia="黑体"/>
          <w:bCs/>
          <w:sz w:val="32"/>
          <w:szCs w:val="32"/>
        </w:rPr>
        <w:t>第二十一条</w:t>
      </w:r>
      <w:r>
        <w:rPr>
          <w:b/>
          <w:bCs/>
          <w:sz w:val="32"/>
          <w:szCs w:val="32"/>
        </w:rPr>
        <w:t xml:space="preserve"> </w:t>
      </w:r>
      <w:r>
        <w:rPr>
          <w:rFonts w:hint="eastAsia"/>
          <w:b/>
          <w:bCs/>
          <w:sz w:val="32"/>
          <w:szCs w:val="32"/>
        </w:rPr>
        <w:t xml:space="preserve"> </w:t>
      </w:r>
      <w:r>
        <w:rPr>
          <w:rFonts w:hint="eastAsia"/>
          <w:kern w:val="2"/>
          <w:sz w:val="32"/>
          <w:szCs w:val="32"/>
        </w:rPr>
        <w:t>做市商拟退出为股票做市的，应向全国股转公司提交退出做市申请。</w:t>
      </w:r>
    </w:p>
    <w:p>
      <w:pPr>
        <w:spacing w:line="600" w:lineRule="exact"/>
        <w:ind w:firstLine="640"/>
        <w:rPr>
          <w:sz w:val="32"/>
          <w:szCs w:val="32"/>
        </w:rPr>
      </w:pPr>
      <w:r>
        <w:rPr>
          <w:rFonts w:hint="eastAsia" w:ascii="黑体" w:hAnsi="黑体" w:eastAsia="黑体"/>
          <w:bCs/>
          <w:sz w:val="32"/>
          <w:szCs w:val="32"/>
        </w:rPr>
        <w:t>第二十二条</w:t>
      </w:r>
      <w:r>
        <w:rPr>
          <w:b/>
          <w:bCs/>
          <w:sz w:val="32"/>
          <w:szCs w:val="32"/>
        </w:rPr>
        <w:t xml:space="preserve"> </w:t>
      </w:r>
      <w:r>
        <w:rPr>
          <w:rFonts w:hint="eastAsia"/>
          <w:b/>
          <w:bCs/>
          <w:sz w:val="32"/>
          <w:szCs w:val="32"/>
        </w:rPr>
        <w:t xml:space="preserve"> </w:t>
      </w:r>
      <w:r>
        <w:rPr>
          <w:rFonts w:hint="eastAsia"/>
          <w:kern w:val="2"/>
          <w:sz w:val="32"/>
          <w:szCs w:val="32"/>
        </w:rPr>
        <w:t>做市商应当于全国股转公司出具同意意见当日在规定的信息披露平台公告，自次一交易日起停止为该股票提供做市报价服务。</w:t>
      </w: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第五章</w:t>
      </w:r>
      <w:r>
        <w:rPr>
          <w:rFonts w:ascii="黑体" w:hAnsi="黑体" w:eastAsia="黑体"/>
          <w:sz w:val="32"/>
          <w:szCs w:val="32"/>
        </w:rPr>
        <w:t xml:space="preserve">  </w:t>
      </w:r>
      <w:r>
        <w:rPr>
          <w:rFonts w:hint="eastAsia" w:ascii="黑体" w:hAnsi="黑体" w:eastAsia="黑体"/>
          <w:sz w:val="32"/>
          <w:szCs w:val="32"/>
        </w:rPr>
        <w:t>股票交易方式强制变更</w:t>
      </w:r>
    </w:p>
    <w:p>
      <w:pPr>
        <w:spacing w:line="600" w:lineRule="exact"/>
        <w:ind w:firstLine="640"/>
        <w:rPr>
          <w:sz w:val="32"/>
          <w:szCs w:val="32"/>
        </w:rPr>
      </w:pPr>
      <w:r>
        <w:rPr>
          <w:rFonts w:hint="eastAsia" w:ascii="黑体" w:hAnsi="黑体" w:eastAsia="黑体"/>
          <w:bCs/>
          <w:sz w:val="32"/>
          <w:szCs w:val="32"/>
        </w:rPr>
        <w:t>第二十三条</w:t>
      </w:r>
      <w:r>
        <w:rPr>
          <w:b/>
          <w:kern w:val="2"/>
          <w:sz w:val="32"/>
          <w:szCs w:val="32"/>
        </w:rPr>
        <w:t xml:space="preserve"> </w:t>
      </w:r>
      <w:r>
        <w:rPr>
          <w:rFonts w:hint="eastAsia"/>
          <w:b/>
          <w:kern w:val="2"/>
          <w:sz w:val="32"/>
          <w:szCs w:val="32"/>
        </w:rPr>
        <w:t xml:space="preserve"> </w:t>
      </w:r>
      <w:r>
        <w:rPr>
          <w:rFonts w:hint="eastAsia"/>
          <w:kern w:val="2"/>
          <w:sz w:val="32"/>
          <w:szCs w:val="32"/>
        </w:rPr>
        <w:t>发生下列情形之一的，全国股转公司强制变更股票交易方式：</w:t>
      </w:r>
    </w:p>
    <w:p>
      <w:pPr>
        <w:spacing w:line="600" w:lineRule="exact"/>
        <w:ind w:firstLine="640"/>
        <w:rPr>
          <w:sz w:val="32"/>
          <w:szCs w:val="32"/>
        </w:rPr>
      </w:pPr>
      <w:r>
        <w:rPr>
          <w:rFonts w:hint="eastAsia"/>
          <w:kern w:val="2"/>
          <w:sz w:val="32"/>
          <w:szCs w:val="32"/>
        </w:rPr>
        <w:t xml:space="preserve">（一）采取做市交易方式的股票做市商不足2家，且未在30个交易日内恢复为2家以上； </w:t>
      </w:r>
    </w:p>
    <w:p>
      <w:pPr>
        <w:spacing w:line="600" w:lineRule="exact"/>
        <w:ind w:firstLine="640"/>
        <w:rPr>
          <w:sz w:val="32"/>
          <w:szCs w:val="32"/>
        </w:rPr>
      </w:pPr>
      <w:r>
        <w:rPr>
          <w:rFonts w:hint="eastAsia"/>
          <w:kern w:val="2"/>
          <w:sz w:val="32"/>
          <w:szCs w:val="32"/>
        </w:rPr>
        <w:t>（二）采取做市交易方式的股票被全国股转公司作出终止挂牌决定；</w:t>
      </w:r>
    </w:p>
    <w:p>
      <w:pPr>
        <w:spacing w:line="600" w:lineRule="exact"/>
        <w:ind w:firstLine="640"/>
        <w:rPr>
          <w:sz w:val="32"/>
          <w:szCs w:val="32"/>
        </w:rPr>
      </w:pPr>
      <w:r>
        <w:rPr>
          <w:rFonts w:hint="eastAsia"/>
          <w:kern w:val="2"/>
          <w:sz w:val="32"/>
          <w:szCs w:val="32"/>
        </w:rPr>
        <w:t>（三）全国股转公司规定的其他情形。</w:t>
      </w:r>
    </w:p>
    <w:p>
      <w:pPr>
        <w:spacing w:line="600" w:lineRule="exact"/>
        <w:ind w:firstLine="640"/>
        <w:rPr>
          <w:sz w:val="32"/>
          <w:szCs w:val="32"/>
        </w:rPr>
      </w:pPr>
      <w:r>
        <w:rPr>
          <w:rFonts w:hint="eastAsia" w:ascii="黑体" w:hAnsi="黑体" w:eastAsia="黑体"/>
          <w:bCs/>
          <w:sz w:val="32"/>
          <w:szCs w:val="32"/>
        </w:rPr>
        <w:t>第二十四条</w:t>
      </w:r>
      <w:r>
        <w:rPr>
          <w:b/>
          <w:kern w:val="2"/>
          <w:sz w:val="32"/>
          <w:szCs w:val="32"/>
        </w:rPr>
        <w:t xml:space="preserve"> </w:t>
      </w:r>
      <w:r>
        <w:rPr>
          <w:rFonts w:hint="eastAsia"/>
          <w:b/>
          <w:kern w:val="2"/>
          <w:sz w:val="32"/>
          <w:szCs w:val="32"/>
        </w:rPr>
        <w:t xml:space="preserve"> </w:t>
      </w:r>
      <w:r>
        <w:rPr>
          <w:rFonts w:hint="eastAsia"/>
          <w:kern w:val="2"/>
          <w:sz w:val="32"/>
          <w:szCs w:val="32"/>
        </w:rPr>
        <w:t>采取做市交易方式的股票，做市商不足2家，且未在30个交易日内恢复为2家以上的，全国股转公司将在第31个交易日将其股票交易方式变更为集合竞价交易方式。</w:t>
      </w:r>
    </w:p>
    <w:p>
      <w:pPr>
        <w:spacing w:line="600" w:lineRule="exact"/>
        <w:ind w:firstLine="640"/>
        <w:rPr>
          <w:sz w:val="32"/>
          <w:szCs w:val="32"/>
        </w:rPr>
      </w:pPr>
      <w:r>
        <w:rPr>
          <w:rFonts w:hint="eastAsia" w:ascii="黑体" w:hAnsi="黑体" w:eastAsia="黑体"/>
          <w:bCs/>
          <w:sz w:val="32"/>
          <w:szCs w:val="32"/>
        </w:rPr>
        <w:t>第二十五条</w:t>
      </w:r>
      <w:r>
        <w:rPr>
          <w:b/>
          <w:kern w:val="2"/>
          <w:sz w:val="32"/>
          <w:szCs w:val="32"/>
        </w:rPr>
        <w:t xml:space="preserve"> </w:t>
      </w:r>
      <w:r>
        <w:rPr>
          <w:rFonts w:hint="eastAsia"/>
          <w:b/>
          <w:kern w:val="2"/>
          <w:sz w:val="32"/>
          <w:szCs w:val="32"/>
        </w:rPr>
        <w:t xml:space="preserve"> </w:t>
      </w:r>
      <w:r>
        <w:rPr>
          <w:rFonts w:hint="eastAsia"/>
          <w:kern w:val="2"/>
          <w:sz w:val="32"/>
          <w:szCs w:val="32"/>
        </w:rPr>
        <w:t>采取做市交易方式的股票被全国股转公司作出终止挂牌决定的，全国股转公司将在其恢复交易首日将其股票交易方式变更为集合竞价交易方式。</w:t>
      </w:r>
    </w:p>
    <w:p>
      <w:pPr>
        <w:spacing w:line="600" w:lineRule="exact"/>
        <w:ind w:firstLine="640"/>
        <w:rPr>
          <w:sz w:val="32"/>
          <w:szCs w:val="32"/>
        </w:rPr>
      </w:pPr>
      <w:r>
        <w:rPr>
          <w:rFonts w:hint="eastAsia" w:ascii="黑体" w:hAnsi="黑体" w:eastAsia="黑体"/>
          <w:bCs/>
          <w:sz w:val="32"/>
          <w:szCs w:val="32"/>
        </w:rPr>
        <w:t>第二十六条</w:t>
      </w:r>
      <w:r>
        <w:rPr>
          <w:b/>
          <w:bCs/>
          <w:sz w:val="32"/>
          <w:szCs w:val="32"/>
        </w:rPr>
        <w:t xml:space="preserve"> </w:t>
      </w:r>
      <w:r>
        <w:rPr>
          <w:rFonts w:hint="eastAsia"/>
          <w:b/>
          <w:bCs/>
          <w:sz w:val="32"/>
          <w:szCs w:val="32"/>
        </w:rPr>
        <w:t xml:space="preserve"> </w:t>
      </w:r>
      <w:r>
        <w:rPr>
          <w:rFonts w:hint="eastAsia"/>
          <w:kern w:val="2"/>
          <w:sz w:val="32"/>
          <w:szCs w:val="32"/>
        </w:rPr>
        <w:t>采取做市交易方式的股票发生下列情形之一，将导致该股票做市商不足2家的，全国股转公司于有关情形发生当日收市后在规定的信息披露平台公告相关情况：</w:t>
      </w:r>
    </w:p>
    <w:p>
      <w:pPr>
        <w:spacing w:line="600" w:lineRule="exact"/>
        <w:ind w:firstLine="640"/>
        <w:rPr>
          <w:sz w:val="32"/>
          <w:szCs w:val="32"/>
        </w:rPr>
      </w:pPr>
      <w:r>
        <w:rPr>
          <w:rFonts w:hint="eastAsia"/>
          <w:kern w:val="2"/>
          <w:sz w:val="32"/>
          <w:szCs w:val="32"/>
        </w:rPr>
        <w:t>（一）该股票做市商提出申请并经全国股转公司同意，退出为该股票做市；</w:t>
      </w:r>
    </w:p>
    <w:p>
      <w:pPr>
        <w:spacing w:line="600" w:lineRule="exact"/>
        <w:ind w:firstLine="640"/>
        <w:rPr>
          <w:sz w:val="32"/>
          <w:szCs w:val="32"/>
        </w:rPr>
      </w:pPr>
      <w:r>
        <w:rPr>
          <w:rFonts w:hint="eastAsia"/>
          <w:kern w:val="2"/>
          <w:sz w:val="32"/>
          <w:szCs w:val="32"/>
        </w:rPr>
        <w:t>（二）该股票做市商被暂停、限制或取消相关做市交易权限。</w:t>
      </w:r>
    </w:p>
    <w:p>
      <w:pPr>
        <w:spacing w:line="600" w:lineRule="exact"/>
        <w:ind w:firstLine="640"/>
        <w:rPr>
          <w:sz w:val="32"/>
          <w:szCs w:val="32"/>
        </w:rPr>
      </w:pPr>
      <w:r>
        <w:rPr>
          <w:rFonts w:hint="eastAsia"/>
          <w:kern w:val="2"/>
          <w:sz w:val="32"/>
          <w:szCs w:val="32"/>
        </w:rPr>
        <w:t>自前款情形发生次一交易日起，全国股转公司对该股票实施强制停牌。停牌期间，挂牌公司应当每5个交易日在规定的信息披露平台发布一次提示性公告。</w:t>
      </w:r>
    </w:p>
    <w:p>
      <w:pPr>
        <w:spacing w:line="600" w:lineRule="exact"/>
        <w:ind w:firstLine="640"/>
        <w:rPr>
          <w:sz w:val="32"/>
          <w:szCs w:val="32"/>
        </w:rPr>
      </w:pPr>
      <w:r>
        <w:rPr>
          <w:rFonts w:hint="eastAsia" w:ascii="黑体" w:hAnsi="黑体" w:eastAsia="黑体"/>
          <w:bCs/>
          <w:sz w:val="32"/>
          <w:szCs w:val="32"/>
        </w:rPr>
        <w:t>第二十七条</w:t>
      </w:r>
      <w:r>
        <w:rPr>
          <w:b/>
          <w:bCs/>
          <w:sz w:val="32"/>
          <w:szCs w:val="32"/>
        </w:rPr>
        <w:t xml:space="preserve"> </w:t>
      </w:r>
      <w:r>
        <w:rPr>
          <w:rFonts w:hint="eastAsia"/>
          <w:b/>
          <w:bCs/>
          <w:sz w:val="32"/>
          <w:szCs w:val="32"/>
        </w:rPr>
        <w:t xml:space="preserve"> </w:t>
      </w:r>
      <w:r>
        <w:rPr>
          <w:rFonts w:hint="eastAsia"/>
          <w:kern w:val="2"/>
          <w:sz w:val="32"/>
          <w:szCs w:val="32"/>
        </w:rPr>
        <w:t>发生本指引第二十六条所述情形导致股票停牌的，相关股票在以下情形发生后复牌：</w:t>
      </w:r>
    </w:p>
    <w:p>
      <w:pPr>
        <w:spacing w:line="600" w:lineRule="exact"/>
        <w:ind w:firstLine="640"/>
        <w:rPr>
          <w:sz w:val="32"/>
          <w:szCs w:val="32"/>
        </w:rPr>
      </w:pPr>
      <w:r>
        <w:rPr>
          <w:rFonts w:hint="eastAsia"/>
          <w:kern w:val="2"/>
          <w:sz w:val="32"/>
          <w:szCs w:val="32"/>
        </w:rPr>
        <w:t>（一）依据本指引第二十四条规定，全国股转公司强制将股票交易方式变更为集合竞价交易方式；</w:t>
      </w:r>
    </w:p>
    <w:p>
      <w:pPr>
        <w:spacing w:line="600" w:lineRule="exact"/>
        <w:ind w:firstLine="640"/>
        <w:rPr>
          <w:sz w:val="32"/>
          <w:szCs w:val="32"/>
        </w:rPr>
      </w:pPr>
      <w:r>
        <w:rPr>
          <w:rFonts w:hint="eastAsia"/>
          <w:kern w:val="2"/>
          <w:sz w:val="32"/>
          <w:szCs w:val="32"/>
        </w:rPr>
        <w:t>（二）该股票做市商在30个交易日内恢复为2家以上；</w:t>
      </w:r>
    </w:p>
    <w:p>
      <w:pPr>
        <w:spacing w:line="600" w:lineRule="exact"/>
        <w:ind w:firstLine="640"/>
        <w:rPr>
          <w:sz w:val="32"/>
          <w:szCs w:val="32"/>
        </w:rPr>
      </w:pPr>
      <w:r>
        <w:rPr>
          <w:rFonts w:hint="eastAsia"/>
          <w:kern w:val="2"/>
          <w:sz w:val="32"/>
          <w:szCs w:val="32"/>
        </w:rPr>
        <w:t>（三）挂牌公司在30个交易日内提出申请并经全国股转公司同意，股票交易方式变更为集合竞价交易方式。</w:t>
      </w:r>
    </w:p>
    <w:p>
      <w:pPr>
        <w:spacing w:line="600" w:lineRule="exact"/>
        <w:ind w:firstLine="640"/>
        <w:rPr>
          <w:sz w:val="32"/>
          <w:szCs w:val="32"/>
        </w:rPr>
      </w:pPr>
      <w:r>
        <w:rPr>
          <w:rFonts w:hint="eastAsia"/>
          <w:kern w:val="2"/>
          <w:sz w:val="32"/>
          <w:szCs w:val="32"/>
        </w:rPr>
        <w:t>因发生前款第一项和第二项情形股票复牌的，全国股转公司于复牌前一交易日在规定的信息披露平台公告相关情况。</w:t>
      </w:r>
    </w:p>
    <w:p>
      <w:pPr>
        <w:pStyle w:val="29"/>
        <w:spacing w:before="240" w:after="240" w:line="600" w:lineRule="exact"/>
        <w:ind w:firstLine="0" w:firstLineChars="0"/>
        <w:jc w:val="center"/>
        <w:outlineLvl w:val="0"/>
        <w:rPr>
          <w:rFonts w:ascii="黑体" w:hAnsi="黑体" w:eastAsia="黑体"/>
          <w:sz w:val="32"/>
          <w:szCs w:val="32"/>
        </w:rPr>
      </w:pPr>
      <w:r>
        <w:rPr>
          <w:rFonts w:hint="eastAsia" w:ascii="黑体" w:hAnsi="黑体" w:eastAsia="黑体"/>
          <w:sz w:val="32"/>
          <w:szCs w:val="32"/>
        </w:rPr>
        <w:t>第六章</w:t>
      </w:r>
      <w:r>
        <w:rPr>
          <w:rFonts w:ascii="黑体" w:hAnsi="黑体" w:eastAsia="黑体"/>
          <w:sz w:val="32"/>
          <w:szCs w:val="32"/>
        </w:rPr>
        <w:t xml:space="preserve">  </w:t>
      </w:r>
      <w:r>
        <w:rPr>
          <w:rFonts w:hint="eastAsia" w:ascii="黑体" w:hAnsi="黑体" w:eastAsia="黑体"/>
          <w:sz w:val="32"/>
          <w:szCs w:val="32"/>
        </w:rPr>
        <w:t>附  则</w:t>
      </w:r>
    </w:p>
    <w:p>
      <w:pPr>
        <w:spacing w:line="600" w:lineRule="exact"/>
        <w:ind w:firstLine="640"/>
        <w:rPr>
          <w:sz w:val="32"/>
          <w:szCs w:val="32"/>
        </w:rPr>
      </w:pPr>
      <w:r>
        <w:rPr>
          <w:rFonts w:hint="eastAsia" w:ascii="黑体" w:hAnsi="黑体" w:eastAsia="黑体"/>
          <w:bCs/>
          <w:sz w:val="32"/>
          <w:szCs w:val="32"/>
        </w:rPr>
        <w:t>第二十八条</w:t>
      </w:r>
      <w:r>
        <w:rPr>
          <w:b/>
          <w:bCs/>
          <w:sz w:val="32"/>
          <w:szCs w:val="32"/>
        </w:rPr>
        <w:t xml:space="preserve">  </w:t>
      </w:r>
      <w:r>
        <w:rPr>
          <w:rFonts w:hint="eastAsia"/>
          <w:kern w:val="2"/>
          <w:sz w:val="32"/>
          <w:szCs w:val="32"/>
        </w:rPr>
        <w:t>本指引所称“以上”包含本数，“不足”不包含本数。</w:t>
      </w:r>
    </w:p>
    <w:p>
      <w:pPr>
        <w:spacing w:line="600" w:lineRule="exact"/>
        <w:ind w:firstLine="640"/>
        <w:rPr>
          <w:sz w:val="32"/>
          <w:szCs w:val="32"/>
        </w:rPr>
      </w:pPr>
      <w:r>
        <w:rPr>
          <w:rFonts w:hint="eastAsia" w:ascii="黑体" w:hAnsi="黑体" w:eastAsia="黑体"/>
          <w:bCs/>
          <w:sz w:val="32"/>
          <w:szCs w:val="32"/>
        </w:rPr>
        <w:t>第二十九条</w:t>
      </w:r>
      <w:r>
        <w:rPr>
          <w:b/>
          <w:bCs/>
          <w:sz w:val="32"/>
          <w:szCs w:val="32"/>
        </w:rPr>
        <w:t xml:space="preserve">  </w:t>
      </w:r>
      <w:r>
        <w:rPr>
          <w:rFonts w:hint="eastAsia"/>
          <w:kern w:val="2"/>
          <w:sz w:val="32"/>
          <w:szCs w:val="32"/>
        </w:rPr>
        <w:t>本指引由全国股转公司负责解释。</w:t>
      </w:r>
    </w:p>
    <w:p>
      <w:pPr>
        <w:spacing w:line="600" w:lineRule="exact"/>
        <w:ind w:firstLine="640"/>
        <w:rPr>
          <w:rFonts w:eastAsia="方正仿宋简体"/>
        </w:rPr>
      </w:pPr>
      <w:r>
        <w:rPr>
          <w:rFonts w:hint="eastAsia" w:ascii="黑体" w:hAnsi="黑体" w:eastAsia="黑体"/>
          <w:bCs/>
          <w:sz w:val="32"/>
          <w:szCs w:val="32"/>
        </w:rPr>
        <w:t>第三十条</w:t>
      </w:r>
      <w:r>
        <w:rPr>
          <w:b/>
          <w:bCs/>
          <w:sz w:val="32"/>
          <w:szCs w:val="32"/>
        </w:rPr>
        <w:t xml:space="preserve">  </w:t>
      </w:r>
      <w:r>
        <w:rPr>
          <w:rFonts w:hint="eastAsia"/>
          <w:kern w:val="2"/>
          <w:sz w:val="32"/>
          <w:szCs w:val="32"/>
        </w:rPr>
        <w:t>本指引自发布之日起施行。</w:t>
      </w:r>
    </w:p>
    <w:p>
      <w:pPr>
        <w:spacing w:line="600" w:lineRule="exact"/>
        <w:rPr>
          <w:rFonts w:eastAsia="方正仿宋简体"/>
        </w:rPr>
      </w:pPr>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1906" w:h="16838"/>
      <w:pgMar w:top="2098" w:right="1588" w:bottom="1985" w:left="1588" w:header="851" w:footer="992" w:gutter="0"/>
      <w:pgNumType w:fmt="numberInDash"/>
      <w:cols w:space="425" w:num="1"/>
      <w:docGrid w:type="lines" w:linePitch="40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Calibri Light">
    <w:altName w:val="DejaVu Sans"/>
    <w:panose1 w:val="020F0302020204030204"/>
    <w:charset w:val="00"/>
    <w:family w:val="swiss"/>
    <w:pitch w:val="default"/>
    <w:sig w:usb0="00000000" w:usb1="00000000" w:usb2="00000000" w:usb3="00000000" w:csb0="0000019F" w:csb1="00000000"/>
  </w:font>
  <w:font w:name="楷体_GB2312">
    <w:altName w:val="楷体"/>
    <w:panose1 w:val="02010609030101010101"/>
    <w:charset w:val="86"/>
    <w:family w:val="modern"/>
    <w:pitch w:val="default"/>
    <w:sig w:usb0="00000000" w:usb1="00000000" w:usb2="00000010" w:usb3="00000000" w:csb0="00040000"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1324201"/>
    </w:sdtPr>
    <w:sdtEndPr>
      <w:rPr>
        <w:rFonts w:asciiTheme="minorEastAsia" w:hAnsiTheme="minorEastAsia" w:eastAsiaTheme="minorEastAsia"/>
        <w:sz w:val="28"/>
        <w:szCs w:val="28"/>
      </w:rPr>
    </w:sdtEndPr>
    <w:sdtContent>
      <w:p>
        <w:pPr>
          <w:pStyle w:val="6"/>
          <w:ind w:firstLine="360"/>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7 -</w:t>
        </w:r>
        <w:r>
          <w:rPr>
            <w:rFonts w:asciiTheme="minorEastAsia" w:hAnsiTheme="minorEastAsia" w:eastAsia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6231281"/>
    </w:sdtPr>
    <w:sdtEndPr>
      <w:rPr>
        <w:rFonts w:asciiTheme="minorEastAsia" w:hAnsiTheme="minorEastAsia" w:eastAsiaTheme="minorEastAsia"/>
        <w:sz w:val="28"/>
        <w:szCs w:val="28"/>
      </w:rPr>
    </w:sdtEndPr>
    <w:sdtContent>
      <w:p>
        <w:pPr>
          <w:pStyle w:val="6"/>
          <w:ind w:firstLine="0" w:firstLineChars="0"/>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8 -</w:t>
        </w:r>
        <w:r>
          <w:rPr>
            <w:rFonts w:asciiTheme="minorEastAsia" w:hAnsiTheme="minorEastAsia" w:eastAsiaTheme="minorEastAsia"/>
            <w:sz w:val="28"/>
            <w:szCs w:val="2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evenAndOddHeaders w:val="true"/>
  <w:drawingGridHorizontalSpacing w:val="150"/>
  <w:drawingGridVerticalSpacing w:val="204"/>
  <w:displayHorizontalDrawingGridEvery w:val="0"/>
  <w:displayVerticalDrawingGridEvery w:val="2"/>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90"/>
    <w:rsid w:val="000028B3"/>
    <w:rsid w:val="00002BDB"/>
    <w:rsid w:val="00004914"/>
    <w:rsid w:val="00010521"/>
    <w:rsid w:val="00011132"/>
    <w:rsid w:val="00013BF7"/>
    <w:rsid w:val="00014F69"/>
    <w:rsid w:val="00017219"/>
    <w:rsid w:val="00023C61"/>
    <w:rsid w:val="0002406C"/>
    <w:rsid w:val="00031DC5"/>
    <w:rsid w:val="00032168"/>
    <w:rsid w:val="00035939"/>
    <w:rsid w:val="0003626D"/>
    <w:rsid w:val="00042C70"/>
    <w:rsid w:val="000438E1"/>
    <w:rsid w:val="000439C4"/>
    <w:rsid w:val="00061D7B"/>
    <w:rsid w:val="000651AE"/>
    <w:rsid w:val="00065428"/>
    <w:rsid w:val="000709DD"/>
    <w:rsid w:val="00071113"/>
    <w:rsid w:val="0007260C"/>
    <w:rsid w:val="00072C59"/>
    <w:rsid w:val="00073481"/>
    <w:rsid w:val="00076062"/>
    <w:rsid w:val="00076461"/>
    <w:rsid w:val="00077A36"/>
    <w:rsid w:val="000808BD"/>
    <w:rsid w:val="00087C30"/>
    <w:rsid w:val="00092A8C"/>
    <w:rsid w:val="00095B8D"/>
    <w:rsid w:val="0009652F"/>
    <w:rsid w:val="000967AB"/>
    <w:rsid w:val="0009703B"/>
    <w:rsid w:val="0009770D"/>
    <w:rsid w:val="000A07FF"/>
    <w:rsid w:val="000A21B7"/>
    <w:rsid w:val="000A703C"/>
    <w:rsid w:val="000B03DC"/>
    <w:rsid w:val="000B4AA0"/>
    <w:rsid w:val="000B5686"/>
    <w:rsid w:val="000C1791"/>
    <w:rsid w:val="000C52EF"/>
    <w:rsid w:val="000C62D5"/>
    <w:rsid w:val="000D0D89"/>
    <w:rsid w:val="000D1451"/>
    <w:rsid w:val="000D1930"/>
    <w:rsid w:val="000D42CC"/>
    <w:rsid w:val="000D5D1B"/>
    <w:rsid w:val="000E453D"/>
    <w:rsid w:val="000E7EA3"/>
    <w:rsid w:val="000F023D"/>
    <w:rsid w:val="000F12E9"/>
    <w:rsid w:val="000F24ED"/>
    <w:rsid w:val="000F340F"/>
    <w:rsid w:val="000F3752"/>
    <w:rsid w:val="000F5ABB"/>
    <w:rsid w:val="00105562"/>
    <w:rsid w:val="00112DC7"/>
    <w:rsid w:val="00112FFD"/>
    <w:rsid w:val="0011311B"/>
    <w:rsid w:val="00117D57"/>
    <w:rsid w:val="001258FA"/>
    <w:rsid w:val="00126515"/>
    <w:rsid w:val="001318A4"/>
    <w:rsid w:val="00140CC1"/>
    <w:rsid w:val="00141B58"/>
    <w:rsid w:val="001426DF"/>
    <w:rsid w:val="001434FC"/>
    <w:rsid w:val="00144131"/>
    <w:rsid w:val="001445BF"/>
    <w:rsid w:val="00144B4E"/>
    <w:rsid w:val="00147570"/>
    <w:rsid w:val="001530FF"/>
    <w:rsid w:val="00153798"/>
    <w:rsid w:val="00153D23"/>
    <w:rsid w:val="00154B60"/>
    <w:rsid w:val="0016274F"/>
    <w:rsid w:val="00164357"/>
    <w:rsid w:val="00171061"/>
    <w:rsid w:val="001747A1"/>
    <w:rsid w:val="00181336"/>
    <w:rsid w:val="001818F2"/>
    <w:rsid w:val="00182B8B"/>
    <w:rsid w:val="0019079C"/>
    <w:rsid w:val="00190D01"/>
    <w:rsid w:val="00192FA5"/>
    <w:rsid w:val="00193BEE"/>
    <w:rsid w:val="00195CDE"/>
    <w:rsid w:val="00196361"/>
    <w:rsid w:val="00197CE5"/>
    <w:rsid w:val="00197F30"/>
    <w:rsid w:val="001A0DC7"/>
    <w:rsid w:val="001B0B24"/>
    <w:rsid w:val="001B0BEB"/>
    <w:rsid w:val="001B1E23"/>
    <w:rsid w:val="001B70FB"/>
    <w:rsid w:val="001C0939"/>
    <w:rsid w:val="001C345B"/>
    <w:rsid w:val="001C3CB3"/>
    <w:rsid w:val="001C541A"/>
    <w:rsid w:val="001C541F"/>
    <w:rsid w:val="001D478A"/>
    <w:rsid w:val="001D6651"/>
    <w:rsid w:val="001E3441"/>
    <w:rsid w:val="001E5CB6"/>
    <w:rsid w:val="001F4BE1"/>
    <w:rsid w:val="001F5520"/>
    <w:rsid w:val="00200BF3"/>
    <w:rsid w:val="00202110"/>
    <w:rsid w:val="00206522"/>
    <w:rsid w:val="002068E8"/>
    <w:rsid w:val="00212F19"/>
    <w:rsid w:val="0021399D"/>
    <w:rsid w:val="002210E0"/>
    <w:rsid w:val="00225062"/>
    <w:rsid w:val="00227928"/>
    <w:rsid w:val="00231877"/>
    <w:rsid w:val="00232354"/>
    <w:rsid w:val="002329A7"/>
    <w:rsid w:val="002336FC"/>
    <w:rsid w:val="00234648"/>
    <w:rsid w:val="00240BDE"/>
    <w:rsid w:val="00241884"/>
    <w:rsid w:val="00242ED6"/>
    <w:rsid w:val="002442CF"/>
    <w:rsid w:val="0024537A"/>
    <w:rsid w:val="002457FD"/>
    <w:rsid w:val="0024616A"/>
    <w:rsid w:val="002501E6"/>
    <w:rsid w:val="00250D41"/>
    <w:rsid w:val="00255284"/>
    <w:rsid w:val="0025581F"/>
    <w:rsid w:val="00255CC8"/>
    <w:rsid w:val="00256EE7"/>
    <w:rsid w:val="002572E7"/>
    <w:rsid w:val="00262D12"/>
    <w:rsid w:val="00265C4B"/>
    <w:rsid w:val="00266486"/>
    <w:rsid w:val="00266EF7"/>
    <w:rsid w:val="0027155A"/>
    <w:rsid w:val="0027427E"/>
    <w:rsid w:val="00274CEE"/>
    <w:rsid w:val="00276A7A"/>
    <w:rsid w:val="00277B8C"/>
    <w:rsid w:val="002816FB"/>
    <w:rsid w:val="00281BBF"/>
    <w:rsid w:val="00283430"/>
    <w:rsid w:val="00283F14"/>
    <w:rsid w:val="00284F67"/>
    <w:rsid w:val="002903ED"/>
    <w:rsid w:val="002940AC"/>
    <w:rsid w:val="002944F2"/>
    <w:rsid w:val="00295CB0"/>
    <w:rsid w:val="002968C2"/>
    <w:rsid w:val="002A012F"/>
    <w:rsid w:val="002A5771"/>
    <w:rsid w:val="002A626D"/>
    <w:rsid w:val="002B05C7"/>
    <w:rsid w:val="002B3578"/>
    <w:rsid w:val="002B65ED"/>
    <w:rsid w:val="002B7224"/>
    <w:rsid w:val="002B7936"/>
    <w:rsid w:val="002C1EF3"/>
    <w:rsid w:val="002C2C06"/>
    <w:rsid w:val="002C519E"/>
    <w:rsid w:val="002D11F3"/>
    <w:rsid w:val="002D177C"/>
    <w:rsid w:val="002D198D"/>
    <w:rsid w:val="002D2340"/>
    <w:rsid w:val="002D2D46"/>
    <w:rsid w:val="002D3169"/>
    <w:rsid w:val="002D3D71"/>
    <w:rsid w:val="002D4314"/>
    <w:rsid w:val="002D46D6"/>
    <w:rsid w:val="002D7955"/>
    <w:rsid w:val="002E0402"/>
    <w:rsid w:val="002E60E1"/>
    <w:rsid w:val="002E67C4"/>
    <w:rsid w:val="002E690E"/>
    <w:rsid w:val="002F035A"/>
    <w:rsid w:val="002F297C"/>
    <w:rsid w:val="002F4533"/>
    <w:rsid w:val="002F4D15"/>
    <w:rsid w:val="002F61A6"/>
    <w:rsid w:val="002F6CB6"/>
    <w:rsid w:val="00300423"/>
    <w:rsid w:val="003046BC"/>
    <w:rsid w:val="00304D70"/>
    <w:rsid w:val="00305204"/>
    <w:rsid w:val="003057EC"/>
    <w:rsid w:val="00307CC1"/>
    <w:rsid w:val="00322F3C"/>
    <w:rsid w:val="00326700"/>
    <w:rsid w:val="00332660"/>
    <w:rsid w:val="00333BFA"/>
    <w:rsid w:val="003348AF"/>
    <w:rsid w:val="003421C9"/>
    <w:rsid w:val="00342287"/>
    <w:rsid w:val="00345200"/>
    <w:rsid w:val="003465A4"/>
    <w:rsid w:val="003475AD"/>
    <w:rsid w:val="00351472"/>
    <w:rsid w:val="00353847"/>
    <w:rsid w:val="0035530A"/>
    <w:rsid w:val="00355DF8"/>
    <w:rsid w:val="003578B1"/>
    <w:rsid w:val="00363EA7"/>
    <w:rsid w:val="00364A4E"/>
    <w:rsid w:val="00365F36"/>
    <w:rsid w:val="00366FC8"/>
    <w:rsid w:val="00373141"/>
    <w:rsid w:val="0037450D"/>
    <w:rsid w:val="00374936"/>
    <w:rsid w:val="003767AB"/>
    <w:rsid w:val="00376953"/>
    <w:rsid w:val="00377414"/>
    <w:rsid w:val="00381ACC"/>
    <w:rsid w:val="00382592"/>
    <w:rsid w:val="0038415A"/>
    <w:rsid w:val="00384F93"/>
    <w:rsid w:val="00385AF5"/>
    <w:rsid w:val="003864B4"/>
    <w:rsid w:val="00387147"/>
    <w:rsid w:val="00387D09"/>
    <w:rsid w:val="0039129F"/>
    <w:rsid w:val="00392E79"/>
    <w:rsid w:val="003955B4"/>
    <w:rsid w:val="003968E7"/>
    <w:rsid w:val="003A05B2"/>
    <w:rsid w:val="003A1708"/>
    <w:rsid w:val="003A3F22"/>
    <w:rsid w:val="003A4902"/>
    <w:rsid w:val="003A7E34"/>
    <w:rsid w:val="003B06E3"/>
    <w:rsid w:val="003B087E"/>
    <w:rsid w:val="003B1834"/>
    <w:rsid w:val="003B31C6"/>
    <w:rsid w:val="003B4B88"/>
    <w:rsid w:val="003B5167"/>
    <w:rsid w:val="003C0846"/>
    <w:rsid w:val="003C2E31"/>
    <w:rsid w:val="003C4E87"/>
    <w:rsid w:val="003C57E0"/>
    <w:rsid w:val="003C7593"/>
    <w:rsid w:val="003C7B4F"/>
    <w:rsid w:val="003C7F3F"/>
    <w:rsid w:val="003D0273"/>
    <w:rsid w:val="003D0DB6"/>
    <w:rsid w:val="003D3327"/>
    <w:rsid w:val="003D49A0"/>
    <w:rsid w:val="003D4CEC"/>
    <w:rsid w:val="003D5680"/>
    <w:rsid w:val="003E1586"/>
    <w:rsid w:val="003E1F45"/>
    <w:rsid w:val="003E5297"/>
    <w:rsid w:val="003E62F5"/>
    <w:rsid w:val="003F26E6"/>
    <w:rsid w:val="003F3829"/>
    <w:rsid w:val="003F3E0C"/>
    <w:rsid w:val="003F4888"/>
    <w:rsid w:val="004025A2"/>
    <w:rsid w:val="004113A3"/>
    <w:rsid w:val="00412F84"/>
    <w:rsid w:val="00414112"/>
    <w:rsid w:val="004245E1"/>
    <w:rsid w:val="00431425"/>
    <w:rsid w:val="00433AE0"/>
    <w:rsid w:val="00437301"/>
    <w:rsid w:val="00440C38"/>
    <w:rsid w:val="00440FCF"/>
    <w:rsid w:val="00441915"/>
    <w:rsid w:val="00446BFC"/>
    <w:rsid w:val="00450B64"/>
    <w:rsid w:val="00454132"/>
    <w:rsid w:val="00455617"/>
    <w:rsid w:val="00456F5E"/>
    <w:rsid w:val="004577EC"/>
    <w:rsid w:val="00461D93"/>
    <w:rsid w:val="00462198"/>
    <w:rsid w:val="00462DAA"/>
    <w:rsid w:val="004663FB"/>
    <w:rsid w:val="00470CD8"/>
    <w:rsid w:val="0047117F"/>
    <w:rsid w:val="00475653"/>
    <w:rsid w:val="004825D8"/>
    <w:rsid w:val="004839C9"/>
    <w:rsid w:val="00485988"/>
    <w:rsid w:val="00485A5F"/>
    <w:rsid w:val="0049101E"/>
    <w:rsid w:val="00494368"/>
    <w:rsid w:val="004950BA"/>
    <w:rsid w:val="00496A63"/>
    <w:rsid w:val="004A2829"/>
    <w:rsid w:val="004A48DC"/>
    <w:rsid w:val="004A55E7"/>
    <w:rsid w:val="004A7035"/>
    <w:rsid w:val="004A71C5"/>
    <w:rsid w:val="004B0C1C"/>
    <w:rsid w:val="004B1554"/>
    <w:rsid w:val="004B50D8"/>
    <w:rsid w:val="004B5E44"/>
    <w:rsid w:val="004B700A"/>
    <w:rsid w:val="004B7903"/>
    <w:rsid w:val="004C0C5A"/>
    <w:rsid w:val="004C7651"/>
    <w:rsid w:val="004D3088"/>
    <w:rsid w:val="004D4C87"/>
    <w:rsid w:val="004E236A"/>
    <w:rsid w:val="004E2EB4"/>
    <w:rsid w:val="004E469A"/>
    <w:rsid w:val="004E6B29"/>
    <w:rsid w:val="004E765A"/>
    <w:rsid w:val="004F4273"/>
    <w:rsid w:val="004F46EB"/>
    <w:rsid w:val="004F54BB"/>
    <w:rsid w:val="004F79B6"/>
    <w:rsid w:val="005069B7"/>
    <w:rsid w:val="00507E3E"/>
    <w:rsid w:val="00512352"/>
    <w:rsid w:val="00512E32"/>
    <w:rsid w:val="00512E54"/>
    <w:rsid w:val="005161DB"/>
    <w:rsid w:val="00516B04"/>
    <w:rsid w:val="005233FD"/>
    <w:rsid w:val="00534474"/>
    <w:rsid w:val="00534AE3"/>
    <w:rsid w:val="00535594"/>
    <w:rsid w:val="00545F32"/>
    <w:rsid w:val="00546011"/>
    <w:rsid w:val="005510BC"/>
    <w:rsid w:val="00551FA9"/>
    <w:rsid w:val="00566A6D"/>
    <w:rsid w:val="00567A66"/>
    <w:rsid w:val="00580495"/>
    <w:rsid w:val="00584317"/>
    <w:rsid w:val="00586618"/>
    <w:rsid w:val="00586BE7"/>
    <w:rsid w:val="00593C47"/>
    <w:rsid w:val="005A2F26"/>
    <w:rsid w:val="005A4ACF"/>
    <w:rsid w:val="005A6255"/>
    <w:rsid w:val="005B2342"/>
    <w:rsid w:val="005B2E0D"/>
    <w:rsid w:val="005B2E9A"/>
    <w:rsid w:val="005B357B"/>
    <w:rsid w:val="005B5DE9"/>
    <w:rsid w:val="005B6145"/>
    <w:rsid w:val="005B645E"/>
    <w:rsid w:val="005C0091"/>
    <w:rsid w:val="005C0E3B"/>
    <w:rsid w:val="005C26CD"/>
    <w:rsid w:val="005C3BD6"/>
    <w:rsid w:val="005C3F31"/>
    <w:rsid w:val="005C6978"/>
    <w:rsid w:val="005C7D12"/>
    <w:rsid w:val="005D0173"/>
    <w:rsid w:val="005D02B7"/>
    <w:rsid w:val="005D1BA9"/>
    <w:rsid w:val="005D2D3A"/>
    <w:rsid w:val="005D3174"/>
    <w:rsid w:val="005D6C24"/>
    <w:rsid w:val="005D6EAB"/>
    <w:rsid w:val="005E068E"/>
    <w:rsid w:val="005E2684"/>
    <w:rsid w:val="005E327F"/>
    <w:rsid w:val="005E3ECF"/>
    <w:rsid w:val="005F50D0"/>
    <w:rsid w:val="005F5327"/>
    <w:rsid w:val="005F7E0D"/>
    <w:rsid w:val="00603215"/>
    <w:rsid w:val="00610BB3"/>
    <w:rsid w:val="006113AC"/>
    <w:rsid w:val="00612006"/>
    <w:rsid w:val="00615239"/>
    <w:rsid w:val="00615CB9"/>
    <w:rsid w:val="006163F7"/>
    <w:rsid w:val="00617444"/>
    <w:rsid w:val="00627B0C"/>
    <w:rsid w:val="00630EFA"/>
    <w:rsid w:val="0064115E"/>
    <w:rsid w:val="00643170"/>
    <w:rsid w:val="00646138"/>
    <w:rsid w:val="00647F16"/>
    <w:rsid w:val="00651414"/>
    <w:rsid w:val="00654F9D"/>
    <w:rsid w:val="0065649B"/>
    <w:rsid w:val="00661647"/>
    <w:rsid w:val="006657A3"/>
    <w:rsid w:val="00665AE2"/>
    <w:rsid w:val="006669B3"/>
    <w:rsid w:val="00667D55"/>
    <w:rsid w:val="00671E81"/>
    <w:rsid w:val="0067777C"/>
    <w:rsid w:val="006820BD"/>
    <w:rsid w:val="00683509"/>
    <w:rsid w:val="006850F0"/>
    <w:rsid w:val="00687434"/>
    <w:rsid w:val="0069024A"/>
    <w:rsid w:val="006918BF"/>
    <w:rsid w:val="00695B9B"/>
    <w:rsid w:val="00695EC5"/>
    <w:rsid w:val="00697051"/>
    <w:rsid w:val="006A0D3E"/>
    <w:rsid w:val="006A2A1B"/>
    <w:rsid w:val="006A3280"/>
    <w:rsid w:val="006A50DC"/>
    <w:rsid w:val="006B00CA"/>
    <w:rsid w:val="006B514E"/>
    <w:rsid w:val="006C199E"/>
    <w:rsid w:val="006C3B59"/>
    <w:rsid w:val="006C3F0D"/>
    <w:rsid w:val="006D2200"/>
    <w:rsid w:val="006D23C4"/>
    <w:rsid w:val="006E243E"/>
    <w:rsid w:val="006E3B0C"/>
    <w:rsid w:val="006E475B"/>
    <w:rsid w:val="006E48AA"/>
    <w:rsid w:val="006E5991"/>
    <w:rsid w:val="006E5FD2"/>
    <w:rsid w:val="006F0753"/>
    <w:rsid w:val="006F0B0F"/>
    <w:rsid w:val="006F49E6"/>
    <w:rsid w:val="006F5FD9"/>
    <w:rsid w:val="006F720C"/>
    <w:rsid w:val="00701C3E"/>
    <w:rsid w:val="0070745A"/>
    <w:rsid w:val="007102DE"/>
    <w:rsid w:val="00710915"/>
    <w:rsid w:val="00711054"/>
    <w:rsid w:val="0071121E"/>
    <w:rsid w:val="00714370"/>
    <w:rsid w:val="00715479"/>
    <w:rsid w:val="0071636B"/>
    <w:rsid w:val="00720510"/>
    <w:rsid w:val="00721E6A"/>
    <w:rsid w:val="007223F7"/>
    <w:rsid w:val="0072456A"/>
    <w:rsid w:val="007310CB"/>
    <w:rsid w:val="00732AA4"/>
    <w:rsid w:val="0073440F"/>
    <w:rsid w:val="00735D46"/>
    <w:rsid w:val="007370EC"/>
    <w:rsid w:val="00740F5A"/>
    <w:rsid w:val="0074522B"/>
    <w:rsid w:val="0074790C"/>
    <w:rsid w:val="00751CBD"/>
    <w:rsid w:val="00752384"/>
    <w:rsid w:val="00752425"/>
    <w:rsid w:val="007548C5"/>
    <w:rsid w:val="007572D2"/>
    <w:rsid w:val="00757FCE"/>
    <w:rsid w:val="007626A4"/>
    <w:rsid w:val="00770EBA"/>
    <w:rsid w:val="00775C64"/>
    <w:rsid w:val="007760FE"/>
    <w:rsid w:val="007774F3"/>
    <w:rsid w:val="0077755A"/>
    <w:rsid w:val="0078069D"/>
    <w:rsid w:val="007823A9"/>
    <w:rsid w:val="007872A6"/>
    <w:rsid w:val="00787568"/>
    <w:rsid w:val="00791520"/>
    <w:rsid w:val="00793685"/>
    <w:rsid w:val="0079368B"/>
    <w:rsid w:val="007976B1"/>
    <w:rsid w:val="007A2153"/>
    <w:rsid w:val="007A2369"/>
    <w:rsid w:val="007A23C5"/>
    <w:rsid w:val="007A2C95"/>
    <w:rsid w:val="007A5528"/>
    <w:rsid w:val="007A69FB"/>
    <w:rsid w:val="007A7D04"/>
    <w:rsid w:val="007B0DDA"/>
    <w:rsid w:val="007B273E"/>
    <w:rsid w:val="007B2CF9"/>
    <w:rsid w:val="007B3393"/>
    <w:rsid w:val="007B407E"/>
    <w:rsid w:val="007B60FA"/>
    <w:rsid w:val="007B6276"/>
    <w:rsid w:val="007B6E19"/>
    <w:rsid w:val="007C2B96"/>
    <w:rsid w:val="007D1AFB"/>
    <w:rsid w:val="007D423C"/>
    <w:rsid w:val="007D5D4D"/>
    <w:rsid w:val="007D766B"/>
    <w:rsid w:val="007E25E4"/>
    <w:rsid w:val="007E2C5E"/>
    <w:rsid w:val="007E4051"/>
    <w:rsid w:val="007E5F2D"/>
    <w:rsid w:val="007E7780"/>
    <w:rsid w:val="007F341B"/>
    <w:rsid w:val="007F3D78"/>
    <w:rsid w:val="00801236"/>
    <w:rsid w:val="00801B7D"/>
    <w:rsid w:val="00803DDB"/>
    <w:rsid w:val="00803E0D"/>
    <w:rsid w:val="0080442D"/>
    <w:rsid w:val="00810407"/>
    <w:rsid w:val="00811C04"/>
    <w:rsid w:val="008171DF"/>
    <w:rsid w:val="008177CC"/>
    <w:rsid w:val="00820174"/>
    <w:rsid w:val="00820752"/>
    <w:rsid w:val="00821625"/>
    <w:rsid w:val="00821DE8"/>
    <w:rsid w:val="00825451"/>
    <w:rsid w:val="008255BB"/>
    <w:rsid w:val="008267E7"/>
    <w:rsid w:val="008277AD"/>
    <w:rsid w:val="00832F2E"/>
    <w:rsid w:val="00834954"/>
    <w:rsid w:val="00835BD6"/>
    <w:rsid w:val="0083617D"/>
    <w:rsid w:val="00837C80"/>
    <w:rsid w:val="00843050"/>
    <w:rsid w:val="0084436D"/>
    <w:rsid w:val="00844F01"/>
    <w:rsid w:val="008464B0"/>
    <w:rsid w:val="00852207"/>
    <w:rsid w:val="00854DA5"/>
    <w:rsid w:val="008567DD"/>
    <w:rsid w:val="00860400"/>
    <w:rsid w:val="00863F67"/>
    <w:rsid w:val="00873176"/>
    <w:rsid w:val="008762FF"/>
    <w:rsid w:val="00876338"/>
    <w:rsid w:val="00881D17"/>
    <w:rsid w:val="00883F07"/>
    <w:rsid w:val="00887C09"/>
    <w:rsid w:val="008912DD"/>
    <w:rsid w:val="00893F55"/>
    <w:rsid w:val="00896BE3"/>
    <w:rsid w:val="00897C33"/>
    <w:rsid w:val="008A3FA3"/>
    <w:rsid w:val="008A5945"/>
    <w:rsid w:val="008A5BB4"/>
    <w:rsid w:val="008A66E0"/>
    <w:rsid w:val="008A6E62"/>
    <w:rsid w:val="008B11EE"/>
    <w:rsid w:val="008B1AA1"/>
    <w:rsid w:val="008B34D6"/>
    <w:rsid w:val="008B3AE1"/>
    <w:rsid w:val="008B6307"/>
    <w:rsid w:val="008B6F9B"/>
    <w:rsid w:val="008C3895"/>
    <w:rsid w:val="008D6F93"/>
    <w:rsid w:val="008D7206"/>
    <w:rsid w:val="008E0CFD"/>
    <w:rsid w:val="008E4099"/>
    <w:rsid w:val="008E43FF"/>
    <w:rsid w:val="008E48EF"/>
    <w:rsid w:val="008E5030"/>
    <w:rsid w:val="008E5710"/>
    <w:rsid w:val="008E6389"/>
    <w:rsid w:val="008E70BD"/>
    <w:rsid w:val="008F2B20"/>
    <w:rsid w:val="008F2F9F"/>
    <w:rsid w:val="009002B8"/>
    <w:rsid w:val="00901FDE"/>
    <w:rsid w:val="00902F19"/>
    <w:rsid w:val="009047FE"/>
    <w:rsid w:val="009061A4"/>
    <w:rsid w:val="00906CB2"/>
    <w:rsid w:val="009110B8"/>
    <w:rsid w:val="00911454"/>
    <w:rsid w:val="00913E11"/>
    <w:rsid w:val="00915842"/>
    <w:rsid w:val="009165A5"/>
    <w:rsid w:val="009177FD"/>
    <w:rsid w:val="00917F42"/>
    <w:rsid w:val="00920DFD"/>
    <w:rsid w:val="009247A9"/>
    <w:rsid w:val="0092624D"/>
    <w:rsid w:val="00932C99"/>
    <w:rsid w:val="00932E6D"/>
    <w:rsid w:val="00934889"/>
    <w:rsid w:val="00934E7D"/>
    <w:rsid w:val="0095096A"/>
    <w:rsid w:val="009516C7"/>
    <w:rsid w:val="00953139"/>
    <w:rsid w:val="00955978"/>
    <w:rsid w:val="00961CD3"/>
    <w:rsid w:val="00971D56"/>
    <w:rsid w:val="0097288B"/>
    <w:rsid w:val="00974810"/>
    <w:rsid w:val="00987222"/>
    <w:rsid w:val="00994A81"/>
    <w:rsid w:val="009A1D40"/>
    <w:rsid w:val="009A319F"/>
    <w:rsid w:val="009B0D25"/>
    <w:rsid w:val="009B1185"/>
    <w:rsid w:val="009B1742"/>
    <w:rsid w:val="009B1ABB"/>
    <w:rsid w:val="009B1E5A"/>
    <w:rsid w:val="009B3659"/>
    <w:rsid w:val="009B6B9E"/>
    <w:rsid w:val="009C3BC5"/>
    <w:rsid w:val="009D383D"/>
    <w:rsid w:val="009D5A0A"/>
    <w:rsid w:val="009D6BCC"/>
    <w:rsid w:val="009D6D0E"/>
    <w:rsid w:val="009D73E2"/>
    <w:rsid w:val="009E0971"/>
    <w:rsid w:val="009E4C18"/>
    <w:rsid w:val="009E603A"/>
    <w:rsid w:val="009E6D68"/>
    <w:rsid w:val="009F1A04"/>
    <w:rsid w:val="009F1DD8"/>
    <w:rsid w:val="009F4D4E"/>
    <w:rsid w:val="009F55E7"/>
    <w:rsid w:val="00A00FB7"/>
    <w:rsid w:val="00A0781E"/>
    <w:rsid w:val="00A12EF4"/>
    <w:rsid w:val="00A1406B"/>
    <w:rsid w:val="00A14484"/>
    <w:rsid w:val="00A1526A"/>
    <w:rsid w:val="00A16DDC"/>
    <w:rsid w:val="00A17D6B"/>
    <w:rsid w:val="00A17EAB"/>
    <w:rsid w:val="00A22227"/>
    <w:rsid w:val="00A22BB5"/>
    <w:rsid w:val="00A2691C"/>
    <w:rsid w:val="00A27048"/>
    <w:rsid w:val="00A27306"/>
    <w:rsid w:val="00A3154C"/>
    <w:rsid w:val="00A31618"/>
    <w:rsid w:val="00A3195D"/>
    <w:rsid w:val="00A3392C"/>
    <w:rsid w:val="00A36C70"/>
    <w:rsid w:val="00A4590F"/>
    <w:rsid w:val="00A45B45"/>
    <w:rsid w:val="00A467BE"/>
    <w:rsid w:val="00A47276"/>
    <w:rsid w:val="00A50401"/>
    <w:rsid w:val="00A5161B"/>
    <w:rsid w:val="00A55FEA"/>
    <w:rsid w:val="00A5672C"/>
    <w:rsid w:val="00A6226D"/>
    <w:rsid w:val="00A62337"/>
    <w:rsid w:val="00A623B4"/>
    <w:rsid w:val="00A62BED"/>
    <w:rsid w:val="00A63841"/>
    <w:rsid w:val="00A63CFD"/>
    <w:rsid w:val="00A66DDD"/>
    <w:rsid w:val="00A71A36"/>
    <w:rsid w:val="00A72333"/>
    <w:rsid w:val="00A72EAC"/>
    <w:rsid w:val="00A752E5"/>
    <w:rsid w:val="00A7567D"/>
    <w:rsid w:val="00A83474"/>
    <w:rsid w:val="00A85B9C"/>
    <w:rsid w:val="00A9111C"/>
    <w:rsid w:val="00A911D0"/>
    <w:rsid w:val="00A9159F"/>
    <w:rsid w:val="00A92F6B"/>
    <w:rsid w:val="00A930EB"/>
    <w:rsid w:val="00A97188"/>
    <w:rsid w:val="00AA59EC"/>
    <w:rsid w:val="00AA6720"/>
    <w:rsid w:val="00AB024A"/>
    <w:rsid w:val="00AB18B7"/>
    <w:rsid w:val="00AB38A9"/>
    <w:rsid w:val="00AB4D38"/>
    <w:rsid w:val="00AC19D3"/>
    <w:rsid w:val="00AC3B28"/>
    <w:rsid w:val="00AC69E4"/>
    <w:rsid w:val="00AF050C"/>
    <w:rsid w:val="00AF306B"/>
    <w:rsid w:val="00AF3D13"/>
    <w:rsid w:val="00AF7252"/>
    <w:rsid w:val="00AF7B8D"/>
    <w:rsid w:val="00B00303"/>
    <w:rsid w:val="00B03ADD"/>
    <w:rsid w:val="00B126A3"/>
    <w:rsid w:val="00B129D9"/>
    <w:rsid w:val="00B15D13"/>
    <w:rsid w:val="00B23F47"/>
    <w:rsid w:val="00B3015E"/>
    <w:rsid w:val="00B316DB"/>
    <w:rsid w:val="00B33B67"/>
    <w:rsid w:val="00B369EC"/>
    <w:rsid w:val="00B40E2F"/>
    <w:rsid w:val="00B42730"/>
    <w:rsid w:val="00B42993"/>
    <w:rsid w:val="00B42A0E"/>
    <w:rsid w:val="00B42CBE"/>
    <w:rsid w:val="00B5166D"/>
    <w:rsid w:val="00B52209"/>
    <w:rsid w:val="00B5470B"/>
    <w:rsid w:val="00B54D9C"/>
    <w:rsid w:val="00B71AD9"/>
    <w:rsid w:val="00B7432E"/>
    <w:rsid w:val="00B77220"/>
    <w:rsid w:val="00B92EEF"/>
    <w:rsid w:val="00B96145"/>
    <w:rsid w:val="00B96C91"/>
    <w:rsid w:val="00BA1DE1"/>
    <w:rsid w:val="00BA2195"/>
    <w:rsid w:val="00BA5253"/>
    <w:rsid w:val="00BA6AE5"/>
    <w:rsid w:val="00BB1D77"/>
    <w:rsid w:val="00BC1945"/>
    <w:rsid w:val="00BC51A3"/>
    <w:rsid w:val="00BC66E9"/>
    <w:rsid w:val="00BD257E"/>
    <w:rsid w:val="00BE4516"/>
    <w:rsid w:val="00BE4A4B"/>
    <w:rsid w:val="00BE5519"/>
    <w:rsid w:val="00BE5A3D"/>
    <w:rsid w:val="00BE67F0"/>
    <w:rsid w:val="00BE748F"/>
    <w:rsid w:val="00BF2D43"/>
    <w:rsid w:val="00BF3BF6"/>
    <w:rsid w:val="00C04EF7"/>
    <w:rsid w:val="00C0701B"/>
    <w:rsid w:val="00C07643"/>
    <w:rsid w:val="00C11771"/>
    <w:rsid w:val="00C11934"/>
    <w:rsid w:val="00C12700"/>
    <w:rsid w:val="00C15085"/>
    <w:rsid w:val="00C1512A"/>
    <w:rsid w:val="00C171EA"/>
    <w:rsid w:val="00C21D53"/>
    <w:rsid w:val="00C21FD7"/>
    <w:rsid w:val="00C24209"/>
    <w:rsid w:val="00C24D7F"/>
    <w:rsid w:val="00C34337"/>
    <w:rsid w:val="00C40253"/>
    <w:rsid w:val="00C40C69"/>
    <w:rsid w:val="00C43BB4"/>
    <w:rsid w:val="00C447E6"/>
    <w:rsid w:val="00C45A81"/>
    <w:rsid w:val="00C45AC0"/>
    <w:rsid w:val="00C51D96"/>
    <w:rsid w:val="00C61AA7"/>
    <w:rsid w:val="00C6340A"/>
    <w:rsid w:val="00C640EE"/>
    <w:rsid w:val="00C64A82"/>
    <w:rsid w:val="00C64C69"/>
    <w:rsid w:val="00C65BC7"/>
    <w:rsid w:val="00C66230"/>
    <w:rsid w:val="00C66B15"/>
    <w:rsid w:val="00C70C99"/>
    <w:rsid w:val="00C7157E"/>
    <w:rsid w:val="00C71D59"/>
    <w:rsid w:val="00C71F12"/>
    <w:rsid w:val="00C738D4"/>
    <w:rsid w:val="00C7437C"/>
    <w:rsid w:val="00C74E19"/>
    <w:rsid w:val="00C77A0E"/>
    <w:rsid w:val="00C77A61"/>
    <w:rsid w:val="00C80329"/>
    <w:rsid w:val="00C818CC"/>
    <w:rsid w:val="00C8793A"/>
    <w:rsid w:val="00C90BD4"/>
    <w:rsid w:val="00C930D4"/>
    <w:rsid w:val="00C932F4"/>
    <w:rsid w:val="00C93A55"/>
    <w:rsid w:val="00CA5EDF"/>
    <w:rsid w:val="00CA79FC"/>
    <w:rsid w:val="00CB00F2"/>
    <w:rsid w:val="00CB4BAD"/>
    <w:rsid w:val="00CC204A"/>
    <w:rsid w:val="00CC3142"/>
    <w:rsid w:val="00CC4F24"/>
    <w:rsid w:val="00CC5593"/>
    <w:rsid w:val="00CC6B4F"/>
    <w:rsid w:val="00CC7601"/>
    <w:rsid w:val="00CC7DA6"/>
    <w:rsid w:val="00CD062E"/>
    <w:rsid w:val="00CD2A0C"/>
    <w:rsid w:val="00CE07A5"/>
    <w:rsid w:val="00CE37D6"/>
    <w:rsid w:val="00CE7883"/>
    <w:rsid w:val="00CE7FF4"/>
    <w:rsid w:val="00CF2A55"/>
    <w:rsid w:val="00D035D2"/>
    <w:rsid w:val="00D06B89"/>
    <w:rsid w:val="00D07482"/>
    <w:rsid w:val="00D07C5A"/>
    <w:rsid w:val="00D07E51"/>
    <w:rsid w:val="00D107C6"/>
    <w:rsid w:val="00D11A36"/>
    <w:rsid w:val="00D1498B"/>
    <w:rsid w:val="00D15489"/>
    <w:rsid w:val="00D20964"/>
    <w:rsid w:val="00D21392"/>
    <w:rsid w:val="00D24044"/>
    <w:rsid w:val="00D2426B"/>
    <w:rsid w:val="00D24457"/>
    <w:rsid w:val="00D306A6"/>
    <w:rsid w:val="00D34B7C"/>
    <w:rsid w:val="00D432DA"/>
    <w:rsid w:val="00D43E02"/>
    <w:rsid w:val="00D4400D"/>
    <w:rsid w:val="00D44730"/>
    <w:rsid w:val="00D50D8F"/>
    <w:rsid w:val="00D5515E"/>
    <w:rsid w:val="00D578AE"/>
    <w:rsid w:val="00D6394C"/>
    <w:rsid w:val="00D63D44"/>
    <w:rsid w:val="00D63E46"/>
    <w:rsid w:val="00D65C98"/>
    <w:rsid w:val="00D66BE5"/>
    <w:rsid w:val="00D6787D"/>
    <w:rsid w:val="00D67E70"/>
    <w:rsid w:val="00D77A72"/>
    <w:rsid w:val="00D8093E"/>
    <w:rsid w:val="00D80D76"/>
    <w:rsid w:val="00D8283F"/>
    <w:rsid w:val="00D8287C"/>
    <w:rsid w:val="00D8538E"/>
    <w:rsid w:val="00D858CC"/>
    <w:rsid w:val="00D85A3F"/>
    <w:rsid w:val="00D86860"/>
    <w:rsid w:val="00D90A0A"/>
    <w:rsid w:val="00D947D2"/>
    <w:rsid w:val="00DA37E4"/>
    <w:rsid w:val="00DA5286"/>
    <w:rsid w:val="00DB30FE"/>
    <w:rsid w:val="00DB3301"/>
    <w:rsid w:val="00DB5E1A"/>
    <w:rsid w:val="00DB68A2"/>
    <w:rsid w:val="00DC3086"/>
    <w:rsid w:val="00DC5AD0"/>
    <w:rsid w:val="00DC7233"/>
    <w:rsid w:val="00DD09A1"/>
    <w:rsid w:val="00DD0C24"/>
    <w:rsid w:val="00DD1B04"/>
    <w:rsid w:val="00DD5936"/>
    <w:rsid w:val="00DE1817"/>
    <w:rsid w:val="00DE27DC"/>
    <w:rsid w:val="00DE3D1E"/>
    <w:rsid w:val="00DE72A0"/>
    <w:rsid w:val="00DE7B9C"/>
    <w:rsid w:val="00DF6AFF"/>
    <w:rsid w:val="00DF77F5"/>
    <w:rsid w:val="00E013C9"/>
    <w:rsid w:val="00E03A57"/>
    <w:rsid w:val="00E05058"/>
    <w:rsid w:val="00E05CB7"/>
    <w:rsid w:val="00E10441"/>
    <w:rsid w:val="00E17932"/>
    <w:rsid w:val="00E24227"/>
    <w:rsid w:val="00E26D4F"/>
    <w:rsid w:val="00E30492"/>
    <w:rsid w:val="00E307A7"/>
    <w:rsid w:val="00E32015"/>
    <w:rsid w:val="00E33EF0"/>
    <w:rsid w:val="00E374BA"/>
    <w:rsid w:val="00E374FE"/>
    <w:rsid w:val="00E43620"/>
    <w:rsid w:val="00E47517"/>
    <w:rsid w:val="00E5274D"/>
    <w:rsid w:val="00E5311C"/>
    <w:rsid w:val="00E56887"/>
    <w:rsid w:val="00E56E7B"/>
    <w:rsid w:val="00E61543"/>
    <w:rsid w:val="00E6439D"/>
    <w:rsid w:val="00E67B63"/>
    <w:rsid w:val="00E70C03"/>
    <w:rsid w:val="00E734EC"/>
    <w:rsid w:val="00E80897"/>
    <w:rsid w:val="00E83C1B"/>
    <w:rsid w:val="00E85BAE"/>
    <w:rsid w:val="00E86B3C"/>
    <w:rsid w:val="00E86F24"/>
    <w:rsid w:val="00E92103"/>
    <w:rsid w:val="00E950CF"/>
    <w:rsid w:val="00E97BDE"/>
    <w:rsid w:val="00EA5005"/>
    <w:rsid w:val="00EA52A6"/>
    <w:rsid w:val="00EA5568"/>
    <w:rsid w:val="00EA7D5F"/>
    <w:rsid w:val="00EB062D"/>
    <w:rsid w:val="00EB2109"/>
    <w:rsid w:val="00EB2227"/>
    <w:rsid w:val="00EB3259"/>
    <w:rsid w:val="00EB3A58"/>
    <w:rsid w:val="00EC0AAC"/>
    <w:rsid w:val="00EC0CFD"/>
    <w:rsid w:val="00EC3E81"/>
    <w:rsid w:val="00EC531A"/>
    <w:rsid w:val="00EC5632"/>
    <w:rsid w:val="00EC6A3E"/>
    <w:rsid w:val="00ED13B4"/>
    <w:rsid w:val="00ED18A1"/>
    <w:rsid w:val="00ED20F5"/>
    <w:rsid w:val="00ED2835"/>
    <w:rsid w:val="00ED637D"/>
    <w:rsid w:val="00ED6ABE"/>
    <w:rsid w:val="00ED6D8F"/>
    <w:rsid w:val="00EE02A6"/>
    <w:rsid w:val="00EE2435"/>
    <w:rsid w:val="00EE2CD8"/>
    <w:rsid w:val="00EE2D8A"/>
    <w:rsid w:val="00EE2EBD"/>
    <w:rsid w:val="00EE3EA7"/>
    <w:rsid w:val="00EE552B"/>
    <w:rsid w:val="00EE5F6A"/>
    <w:rsid w:val="00EF13D4"/>
    <w:rsid w:val="00EF4790"/>
    <w:rsid w:val="00EF4FBE"/>
    <w:rsid w:val="00F00522"/>
    <w:rsid w:val="00F012CF"/>
    <w:rsid w:val="00F01A44"/>
    <w:rsid w:val="00F0246F"/>
    <w:rsid w:val="00F0268D"/>
    <w:rsid w:val="00F05139"/>
    <w:rsid w:val="00F10C87"/>
    <w:rsid w:val="00F12008"/>
    <w:rsid w:val="00F128C1"/>
    <w:rsid w:val="00F13234"/>
    <w:rsid w:val="00F15533"/>
    <w:rsid w:val="00F16156"/>
    <w:rsid w:val="00F23223"/>
    <w:rsid w:val="00F23BA1"/>
    <w:rsid w:val="00F24BB1"/>
    <w:rsid w:val="00F25535"/>
    <w:rsid w:val="00F26147"/>
    <w:rsid w:val="00F32384"/>
    <w:rsid w:val="00F3271B"/>
    <w:rsid w:val="00F419DC"/>
    <w:rsid w:val="00F4261B"/>
    <w:rsid w:val="00F43B68"/>
    <w:rsid w:val="00F46130"/>
    <w:rsid w:val="00F52CE0"/>
    <w:rsid w:val="00F56D99"/>
    <w:rsid w:val="00F56FB9"/>
    <w:rsid w:val="00F62CA5"/>
    <w:rsid w:val="00F63BE9"/>
    <w:rsid w:val="00F63FAE"/>
    <w:rsid w:val="00F645FC"/>
    <w:rsid w:val="00F64D2B"/>
    <w:rsid w:val="00F70E12"/>
    <w:rsid w:val="00F72082"/>
    <w:rsid w:val="00F7250E"/>
    <w:rsid w:val="00F738AB"/>
    <w:rsid w:val="00F74EB0"/>
    <w:rsid w:val="00F77886"/>
    <w:rsid w:val="00F83FB7"/>
    <w:rsid w:val="00F8429A"/>
    <w:rsid w:val="00F856A0"/>
    <w:rsid w:val="00F869BB"/>
    <w:rsid w:val="00F901F9"/>
    <w:rsid w:val="00F90427"/>
    <w:rsid w:val="00F927FF"/>
    <w:rsid w:val="00F9600D"/>
    <w:rsid w:val="00F9797C"/>
    <w:rsid w:val="00F97C2C"/>
    <w:rsid w:val="00FA05F6"/>
    <w:rsid w:val="00FA256B"/>
    <w:rsid w:val="00FA3966"/>
    <w:rsid w:val="00FA3DDA"/>
    <w:rsid w:val="00FA4820"/>
    <w:rsid w:val="00FA571F"/>
    <w:rsid w:val="00FB11C4"/>
    <w:rsid w:val="00FB14AD"/>
    <w:rsid w:val="00FB1A33"/>
    <w:rsid w:val="00FB4F0F"/>
    <w:rsid w:val="00FB6AFD"/>
    <w:rsid w:val="00FC262D"/>
    <w:rsid w:val="00FC539B"/>
    <w:rsid w:val="00FD3F6F"/>
    <w:rsid w:val="00FD40B1"/>
    <w:rsid w:val="00FD546D"/>
    <w:rsid w:val="00FE117A"/>
    <w:rsid w:val="00FE5AEE"/>
    <w:rsid w:val="00FE6507"/>
    <w:rsid w:val="00FE727A"/>
    <w:rsid w:val="00FE7F59"/>
    <w:rsid w:val="00FF179D"/>
    <w:rsid w:val="00FF3D65"/>
    <w:rsid w:val="00FF5C24"/>
    <w:rsid w:val="00FF6E4A"/>
    <w:rsid w:val="275F061D"/>
    <w:rsid w:val="2FF74815"/>
    <w:rsid w:val="368DF572"/>
    <w:rsid w:val="3DFDB527"/>
    <w:rsid w:val="3EF7125D"/>
    <w:rsid w:val="3F708879"/>
    <w:rsid w:val="3FFF9A6E"/>
    <w:rsid w:val="4BDD23DE"/>
    <w:rsid w:val="4ECFF5EB"/>
    <w:rsid w:val="563FB1BB"/>
    <w:rsid w:val="5BDF9833"/>
    <w:rsid w:val="5F377EE6"/>
    <w:rsid w:val="5FFA2926"/>
    <w:rsid w:val="5FFF86B5"/>
    <w:rsid w:val="68DE03D5"/>
    <w:rsid w:val="69E2BC65"/>
    <w:rsid w:val="6F65FA7B"/>
    <w:rsid w:val="6FD6EE7F"/>
    <w:rsid w:val="6FDEAC28"/>
    <w:rsid w:val="6FDF7760"/>
    <w:rsid w:val="77FF0CBF"/>
    <w:rsid w:val="789F1AC3"/>
    <w:rsid w:val="79FE45CD"/>
    <w:rsid w:val="7BCFC712"/>
    <w:rsid w:val="7DFD5AA2"/>
    <w:rsid w:val="7FAFA482"/>
    <w:rsid w:val="7FFBF037"/>
    <w:rsid w:val="7FFF5FD1"/>
    <w:rsid w:val="9E5F93BA"/>
    <w:rsid w:val="A1BFA099"/>
    <w:rsid w:val="AFD7A122"/>
    <w:rsid w:val="B63E3CFA"/>
    <w:rsid w:val="BF1F7E17"/>
    <w:rsid w:val="BFCF069C"/>
    <w:rsid w:val="BFE3C2EC"/>
    <w:rsid w:val="D8E60FC7"/>
    <w:rsid w:val="DBD71EB2"/>
    <w:rsid w:val="DDFB7B95"/>
    <w:rsid w:val="DECFC81B"/>
    <w:rsid w:val="EF951A81"/>
    <w:rsid w:val="F12F9286"/>
    <w:rsid w:val="F7F7F1D6"/>
    <w:rsid w:val="F94DEE2D"/>
    <w:rsid w:val="FAEF49C0"/>
    <w:rsid w:val="FBD56C18"/>
    <w:rsid w:val="FD7FD647"/>
    <w:rsid w:val="FEFB5D35"/>
    <w:rsid w:val="FFDA7549"/>
    <w:rsid w:val="FFFF3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600" w:firstLineChars="200"/>
      <w:jc w:val="both"/>
    </w:pPr>
    <w:rPr>
      <w:rFonts w:ascii="Times New Roman" w:hAnsi="Times New Roman" w:eastAsia="仿宋" w:cs="Times New Roman"/>
      <w:sz w:val="30"/>
      <w:szCs w:val="30"/>
      <w:lang w:val="en-US" w:eastAsia="zh-CN" w:bidi="ar-SA"/>
    </w:rPr>
  </w:style>
  <w:style w:type="paragraph" w:styleId="2">
    <w:name w:val="heading 1"/>
    <w:basedOn w:val="1"/>
    <w:next w:val="1"/>
    <w:link w:val="26"/>
    <w:qFormat/>
    <w:uiPriority w:val="9"/>
    <w:pPr>
      <w:spacing w:line="360" w:lineRule="auto"/>
      <w:ind w:firstLine="602"/>
      <w:jc w:val="center"/>
      <w:outlineLvl w:val="0"/>
    </w:pPr>
    <w:rPr>
      <w:rFonts w:eastAsia="黑体"/>
      <w:kern w:val="2"/>
      <w:sz w:val="32"/>
    </w:rPr>
  </w:style>
  <w:style w:type="paragraph" w:styleId="3">
    <w:name w:val="heading 2"/>
    <w:basedOn w:val="1"/>
    <w:next w:val="1"/>
    <w:link w:val="30"/>
    <w:unhideWhenUsed/>
    <w:qFormat/>
    <w:uiPriority w:val="9"/>
    <w:pPr>
      <w:keepNext/>
      <w:keepLines/>
      <w:spacing w:before="260" w:after="260" w:line="416" w:lineRule="atLeast"/>
      <w:jc w:val="center"/>
      <w:outlineLvl w:val="1"/>
    </w:pPr>
    <w:rPr>
      <w:rFonts w:eastAsia="楷体_GB2312" w:asciiTheme="majorHAnsi" w:hAnsiTheme="majorHAnsi" w:cstheme="majorBidi"/>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7"/>
    <w:semiHidden/>
    <w:unhideWhenUsed/>
    <w:qFormat/>
    <w:uiPriority w:val="99"/>
    <w:pPr>
      <w:adjustRightInd/>
      <w:snapToGrid/>
      <w:spacing w:line="600" w:lineRule="exact"/>
      <w:ind w:firstLine="200"/>
      <w:jc w:val="left"/>
    </w:pPr>
    <w:rPr>
      <w:rFonts w:eastAsia="方正仿宋简体" w:asciiTheme="minorHAnsi" w:hAnsiTheme="minorHAnsi" w:cstheme="minorBidi"/>
      <w:kern w:val="2"/>
      <w:sz w:val="32"/>
      <w:szCs w:val="22"/>
    </w:rPr>
  </w:style>
  <w:style w:type="paragraph" w:styleId="5">
    <w:name w:val="Balloon Text"/>
    <w:basedOn w:val="1"/>
    <w:link w:val="20"/>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jc w:val="center"/>
    </w:pPr>
    <w:rPr>
      <w:sz w:val="18"/>
      <w:szCs w:val="18"/>
    </w:rPr>
  </w:style>
  <w:style w:type="paragraph" w:styleId="8">
    <w:name w:val="footnote text"/>
    <w:basedOn w:val="1"/>
    <w:link w:val="21"/>
    <w:unhideWhenUsed/>
    <w:qFormat/>
    <w:uiPriority w:val="99"/>
    <w:pPr>
      <w:jc w:val="left"/>
    </w:pPr>
    <w:rPr>
      <w:sz w:val="18"/>
      <w:szCs w:val="18"/>
    </w:rPr>
  </w:style>
  <w:style w:type="paragraph" w:styleId="9">
    <w:name w:val="Normal (Web)"/>
    <w:basedOn w:val="1"/>
    <w:semiHidden/>
    <w:unhideWhenUsed/>
    <w:qFormat/>
    <w:uiPriority w:val="99"/>
    <w:pPr>
      <w:widowControl/>
      <w:adjustRightInd/>
      <w:snapToGrid/>
      <w:spacing w:before="100" w:beforeAutospacing="1" w:after="100" w:afterAutospacing="1" w:line="240" w:lineRule="auto"/>
      <w:ind w:firstLine="0" w:firstLineChars="0"/>
      <w:jc w:val="left"/>
    </w:pPr>
    <w:rPr>
      <w:rFonts w:ascii="宋体" w:hAnsi="宋体" w:eastAsia="宋体" w:cs="宋体"/>
      <w:sz w:val="24"/>
      <w:szCs w:val="24"/>
    </w:rPr>
  </w:style>
  <w:style w:type="paragraph" w:styleId="10">
    <w:name w:val="Title"/>
    <w:basedOn w:val="1"/>
    <w:next w:val="1"/>
    <w:link w:val="25"/>
    <w:qFormat/>
    <w:uiPriority w:val="10"/>
    <w:pPr>
      <w:spacing w:before="240" w:after="60"/>
      <w:jc w:val="center"/>
      <w:outlineLvl w:val="0"/>
    </w:pPr>
    <w:rPr>
      <w:rFonts w:eastAsia="宋体" w:asciiTheme="majorHAnsi" w:hAnsiTheme="majorHAnsi" w:cstheme="majorBidi"/>
      <w:b/>
      <w:bCs/>
      <w:sz w:val="32"/>
      <w:szCs w:val="32"/>
    </w:rPr>
  </w:style>
  <w:style w:type="paragraph" w:styleId="11">
    <w:name w:val="annotation subject"/>
    <w:basedOn w:val="4"/>
    <w:next w:val="4"/>
    <w:link w:val="28"/>
    <w:semiHidden/>
    <w:unhideWhenUsed/>
    <w:qFormat/>
    <w:uiPriority w:val="99"/>
    <w:pPr>
      <w:adjustRightInd w:val="0"/>
      <w:snapToGrid w:val="0"/>
      <w:spacing w:line="560" w:lineRule="exact"/>
      <w:ind w:firstLine="600"/>
    </w:pPr>
    <w:rPr>
      <w:rFonts w:ascii="Times New Roman" w:hAnsi="Times New Roman" w:eastAsia="仿宋" w:cs="Times New Roman"/>
      <w:b/>
      <w:bCs/>
      <w:kern w:val="0"/>
      <w:sz w:val="30"/>
      <w:szCs w:val="30"/>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annotation reference"/>
    <w:basedOn w:val="14"/>
    <w:semiHidden/>
    <w:unhideWhenUsed/>
    <w:qFormat/>
    <w:uiPriority w:val="99"/>
    <w:rPr>
      <w:sz w:val="21"/>
      <w:szCs w:val="21"/>
    </w:rPr>
  </w:style>
  <w:style w:type="character" w:styleId="17">
    <w:name w:val="footnote reference"/>
    <w:basedOn w:val="14"/>
    <w:semiHidden/>
    <w:unhideWhenUsed/>
    <w:qFormat/>
    <w:uiPriority w:val="99"/>
    <w:rPr>
      <w:vertAlign w:val="superscript"/>
    </w:rPr>
  </w:style>
  <w:style w:type="character" w:customStyle="1" w:styleId="18">
    <w:name w:val="页眉 Char"/>
    <w:basedOn w:val="14"/>
    <w:link w:val="7"/>
    <w:qFormat/>
    <w:uiPriority w:val="99"/>
    <w:rPr>
      <w:sz w:val="18"/>
      <w:szCs w:val="18"/>
    </w:rPr>
  </w:style>
  <w:style w:type="character" w:customStyle="1" w:styleId="19">
    <w:name w:val="页脚 Char"/>
    <w:basedOn w:val="14"/>
    <w:link w:val="6"/>
    <w:qFormat/>
    <w:uiPriority w:val="99"/>
    <w:rPr>
      <w:sz w:val="18"/>
      <w:szCs w:val="18"/>
    </w:rPr>
  </w:style>
  <w:style w:type="character" w:customStyle="1" w:styleId="20">
    <w:name w:val="批注框文本 Char"/>
    <w:basedOn w:val="14"/>
    <w:link w:val="5"/>
    <w:semiHidden/>
    <w:qFormat/>
    <w:uiPriority w:val="99"/>
    <w:rPr>
      <w:sz w:val="18"/>
      <w:szCs w:val="18"/>
    </w:rPr>
  </w:style>
  <w:style w:type="character" w:customStyle="1" w:styleId="21">
    <w:name w:val="脚注文本 Char"/>
    <w:basedOn w:val="14"/>
    <w:link w:val="8"/>
    <w:qFormat/>
    <w:uiPriority w:val="99"/>
    <w:rPr>
      <w:sz w:val="18"/>
      <w:szCs w:val="18"/>
    </w:rPr>
  </w:style>
  <w:style w:type="table" w:customStyle="1" w:styleId="22">
    <w:name w:val="网格型1"/>
    <w:basedOn w:val="12"/>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
    <w:name w:val="网格型2"/>
    <w:basedOn w:val="12"/>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4">
    <w:name w:val="List Paragraph"/>
    <w:basedOn w:val="1"/>
    <w:qFormat/>
    <w:uiPriority w:val="34"/>
    <w:pPr>
      <w:ind w:firstLine="420"/>
    </w:pPr>
  </w:style>
  <w:style w:type="character" w:customStyle="1" w:styleId="25">
    <w:name w:val="标题 Char"/>
    <w:basedOn w:val="14"/>
    <w:link w:val="10"/>
    <w:qFormat/>
    <w:uiPriority w:val="10"/>
    <w:rPr>
      <w:rFonts w:eastAsia="宋体" w:asciiTheme="majorHAnsi" w:hAnsiTheme="majorHAnsi" w:cstheme="majorBidi"/>
      <w:b/>
      <w:bCs/>
      <w:kern w:val="0"/>
      <w:sz w:val="32"/>
      <w:szCs w:val="32"/>
    </w:rPr>
  </w:style>
  <w:style w:type="character" w:customStyle="1" w:styleId="26">
    <w:name w:val="标题 1 Char"/>
    <w:basedOn w:val="14"/>
    <w:link w:val="2"/>
    <w:qFormat/>
    <w:uiPriority w:val="9"/>
    <w:rPr>
      <w:rFonts w:ascii="Times New Roman" w:hAnsi="Times New Roman" w:eastAsia="黑体" w:cs="Times New Roman"/>
      <w:sz w:val="32"/>
      <w:szCs w:val="30"/>
    </w:rPr>
  </w:style>
  <w:style w:type="character" w:customStyle="1" w:styleId="27">
    <w:name w:val="批注文字 Char"/>
    <w:basedOn w:val="14"/>
    <w:link w:val="4"/>
    <w:semiHidden/>
    <w:qFormat/>
    <w:uiPriority w:val="99"/>
    <w:rPr>
      <w:rFonts w:eastAsia="方正仿宋简体"/>
      <w:sz w:val="32"/>
    </w:rPr>
  </w:style>
  <w:style w:type="character" w:customStyle="1" w:styleId="28">
    <w:name w:val="批注主题 Char"/>
    <w:basedOn w:val="27"/>
    <w:link w:val="11"/>
    <w:semiHidden/>
    <w:qFormat/>
    <w:uiPriority w:val="99"/>
    <w:rPr>
      <w:rFonts w:ascii="Times New Roman" w:hAnsi="Times New Roman" w:eastAsia="仿宋" w:cs="Times New Roman"/>
      <w:b/>
      <w:bCs/>
      <w:kern w:val="0"/>
      <w:sz w:val="30"/>
      <w:szCs w:val="30"/>
    </w:rPr>
  </w:style>
  <w:style w:type="paragraph" w:styleId="29">
    <w:name w:val="No Spacing"/>
    <w:qFormat/>
    <w:uiPriority w:val="1"/>
    <w:pPr>
      <w:widowControl w:val="0"/>
      <w:adjustRightInd w:val="0"/>
      <w:snapToGrid w:val="0"/>
      <w:ind w:firstLine="600" w:firstLineChars="200"/>
      <w:jc w:val="both"/>
    </w:pPr>
    <w:rPr>
      <w:rFonts w:ascii="Times New Roman" w:hAnsi="Times New Roman" w:eastAsia="仿宋" w:cs="Times New Roman"/>
      <w:sz w:val="30"/>
      <w:szCs w:val="30"/>
      <w:lang w:val="en-US" w:eastAsia="zh-CN" w:bidi="ar-SA"/>
    </w:rPr>
  </w:style>
  <w:style w:type="character" w:customStyle="1" w:styleId="30">
    <w:name w:val="标题 2 Char"/>
    <w:basedOn w:val="14"/>
    <w:link w:val="3"/>
    <w:qFormat/>
    <w:uiPriority w:val="9"/>
    <w:rPr>
      <w:rFonts w:eastAsia="楷体_GB2312" w:asciiTheme="majorHAnsi" w:hAnsiTheme="majorHAnsi" w:cstheme="majorBidi"/>
      <w:bCs/>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442</Words>
  <Characters>2524</Characters>
  <Lines>21</Lines>
  <Paragraphs>5</Paragraphs>
  <TotalTime>1</TotalTime>
  <ScaleCrop>false</ScaleCrop>
  <LinksUpToDate>false</LinksUpToDate>
  <CharactersWithSpaces>2961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2023-12-26T06:10:00Z</dcterms:created>
  <dc:creator>neeq</dc:creator>
  <cp:lastModifiedBy>shejx</cp:lastModifiedBy>
  <cp:lastPrinted>2020-01-09T16:44:00Z</cp:lastPrinted>
  <dcterms:modified xsi:type="dcterms:W3CDTF">2025-03-28T19:06:03Z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