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600" w:lineRule="exact"/>
        <w:ind w:right="5956" w:rightChars="2836"/>
        <w:rPr>
          <w:rFonts w:ascii="Times New Roman" w:hAnsi="Times New Roman" w:eastAsia="方正大标宋简体"/>
          <w:sz w:val="44"/>
          <w:szCs w:val="44"/>
        </w:rPr>
      </w:pPr>
      <w:bookmarkStart w:id="0" w:name="_GoBack"/>
      <w:bookmarkEnd w:id="0"/>
    </w:p>
    <w:p>
      <w:pPr>
        <w:snapToGrid w:val="0"/>
        <w:spacing w:line="600" w:lineRule="exact"/>
        <w:jc w:val="center"/>
        <w:rPr>
          <w:rFonts w:ascii="Times New Roman" w:hAnsi="Times New Roman" w:eastAsia="方正大标宋简体"/>
          <w:color w:val="000000"/>
          <w:sz w:val="44"/>
          <w:szCs w:val="44"/>
        </w:rPr>
      </w:pPr>
      <w:r>
        <w:rPr>
          <w:rFonts w:hint="eastAsia" w:ascii="Times New Roman" w:hAnsi="Times New Roman" w:eastAsia="方正大标宋简体"/>
          <w:color w:val="000000"/>
          <w:sz w:val="44"/>
          <w:szCs w:val="44"/>
        </w:rPr>
        <w:t>退市公司</w:t>
      </w:r>
      <w:r>
        <w:rPr>
          <w:rFonts w:ascii="Times New Roman" w:hAnsi="Times New Roman" w:eastAsia="方正大标宋简体"/>
          <w:color w:val="000000"/>
          <w:sz w:val="44"/>
          <w:szCs w:val="44"/>
        </w:rPr>
        <w:t>可转换公司债券</w:t>
      </w:r>
      <w:r>
        <w:rPr>
          <w:rFonts w:hint="eastAsia" w:ascii="Times New Roman" w:hAnsi="Times New Roman" w:eastAsia="方正大标宋简体"/>
          <w:color w:val="000000"/>
          <w:sz w:val="44"/>
          <w:szCs w:val="44"/>
        </w:rPr>
        <w:t>管理</w:t>
      </w:r>
      <w:r>
        <w:rPr>
          <w:rFonts w:ascii="Times New Roman" w:hAnsi="Times New Roman" w:eastAsia="方正大标宋简体"/>
          <w:color w:val="000000"/>
          <w:sz w:val="44"/>
          <w:szCs w:val="44"/>
        </w:rPr>
        <w:t>规定</w:t>
      </w:r>
    </w:p>
    <w:p>
      <w:pPr>
        <w:adjustRightInd w:val="0"/>
        <w:snapToGrid w:val="0"/>
        <w:spacing w:before="240" w:after="240" w:line="600" w:lineRule="exact"/>
        <w:jc w:val="center"/>
        <w:outlineLvl w:val="0"/>
        <w:rPr>
          <w:rFonts w:ascii="Times New Roman" w:hAnsi="Times New Roman" w:eastAsia="黑体"/>
          <w:color w:val="000000" w:themeColor="text1"/>
          <w:sz w:val="32"/>
          <w:szCs w:val="30"/>
          <w14:textFill>
            <w14:solidFill>
              <w14:schemeClr w14:val="tx1"/>
            </w14:solidFill>
          </w14:textFill>
        </w:rPr>
      </w:pPr>
      <w:r>
        <w:rPr>
          <w:rFonts w:ascii="Times New Roman" w:hAnsi="Times New Roman" w:eastAsia="黑体"/>
          <w:color w:val="000000" w:themeColor="text1"/>
          <w:sz w:val="32"/>
          <w:szCs w:val="30"/>
          <w14:textFill>
            <w14:solidFill>
              <w14:schemeClr w14:val="tx1"/>
            </w14:solidFill>
          </w14:textFill>
        </w:rPr>
        <w:t>第一章</w:t>
      </w:r>
      <w:r>
        <w:rPr>
          <w:rFonts w:hint="eastAsia" w:ascii="Times New Roman" w:hAnsi="Times New Roman" w:eastAsia="黑体"/>
          <w:color w:val="000000" w:themeColor="text1"/>
          <w:sz w:val="32"/>
          <w:szCs w:val="30"/>
          <w14:textFill>
            <w14:solidFill>
              <w14:schemeClr w14:val="tx1"/>
            </w14:solidFill>
          </w14:textFill>
        </w:rPr>
        <w:t xml:space="preserve"> </w:t>
      </w:r>
      <w:r>
        <w:rPr>
          <w:rFonts w:ascii="Times New Roman" w:hAnsi="Times New Roman" w:eastAsia="黑体"/>
          <w:color w:val="000000" w:themeColor="text1"/>
          <w:sz w:val="32"/>
          <w:szCs w:val="30"/>
          <w14:textFill>
            <w14:solidFill>
              <w14:schemeClr w14:val="tx1"/>
            </w14:solidFill>
          </w14:textFill>
        </w:rPr>
        <w:t xml:space="preserve"> 总则</w:t>
      </w:r>
    </w:p>
    <w:p>
      <w:pPr>
        <w:snapToGrid w:val="0"/>
        <w:spacing w:line="600" w:lineRule="exact"/>
        <w:ind w:firstLine="642" w:firstLineChars="200"/>
        <w:rPr>
          <w:rFonts w:ascii="Times New Roman" w:hAnsi="Times New Roman" w:eastAsia="仿宋"/>
          <w:sz w:val="32"/>
          <w:szCs w:val="30"/>
        </w:rPr>
      </w:pPr>
      <w:r>
        <w:rPr>
          <w:rFonts w:ascii="Times New Roman" w:hAnsi="Times New Roman" w:eastAsia="仿宋"/>
          <w:b/>
          <w:sz w:val="32"/>
          <w:szCs w:val="30"/>
        </w:rPr>
        <w:t xml:space="preserve">第一条 </w:t>
      </w:r>
      <w:r>
        <w:rPr>
          <w:rFonts w:ascii="Times New Roman" w:hAnsi="Times New Roman" w:eastAsia="仿宋"/>
          <w:sz w:val="32"/>
          <w:szCs w:val="30"/>
        </w:rPr>
        <w:t>为了规范可转换公司债券</w:t>
      </w:r>
      <w:r>
        <w:rPr>
          <w:rFonts w:hint="eastAsia" w:ascii="Times New Roman" w:hAnsi="Times New Roman" w:eastAsia="仿宋"/>
          <w:sz w:val="32"/>
          <w:szCs w:val="30"/>
        </w:rPr>
        <w:t>在</w:t>
      </w:r>
      <w:r>
        <w:rPr>
          <w:rFonts w:ascii="Times New Roman" w:hAnsi="Times New Roman" w:eastAsia="仿宋"/>
          <w:sz w:val="32"/>
          <w:szCs w:val="30"/>
        </w:rPr>
        <w:t>退市板块</w:t>
      </w:r>
      <w:r>
        <w:rPr>
          <w:rFonts w:hint="eastAsia" w:ascii="Times New Roman" w:hAnsi="Times New Roman" w:eastAsia="仿宋"/>
          <w:sz w:val="32"/>
          <w:szCs w:val="30"/>
        </w:rPr>
        <w:t>的挂牌</w:t>
      </w:r>
      <w:r>
        <w:rPr>
          <w:rFonts w:ascii="Times New Roman" w:hAnsi="Times New Roman" w:eastAsia="仿宋"/>
          <w:sz w:val="32"/>
          <w:szCs w:val="30"/>
        </w:rPr>
        <w:t>转让及相关活动，依据《公司法》《证券法》《可转换公司债券管理办法》</w:t>
      </w:r>
      <w:r>
        <w:rPr>
          <w:rFonts w:hint="eastAsia" w:ascii="Times New Roman" w:hAnsi="Times New Roman" w:eastAsia="仿宋"/>
          <w:sz w:val="32"/>
          <w:szCs w:val="30"/>
        </w:rPr>
        <w:t>《非</w:t>
      </w:r>
      <w:r>
        <w:rPr>
          <w:rFonts w:ascii="Times New Roman" w:hAnsi="Times New Roman" w:eastAsia="仿宋"/>
          <w:sz w:val="32"/>
          <w:szCs w:val="30"/>
        </w:rPr>
        <w:t>上市公众公司监督管理办法</w:t>
      </w:r>
      <w:r>
        <w:rPr>
          <w:rFonts w:hint="eastAsia" w:ascii="Times New Roman" w:hAnsi="Times New Roman" w:eastAsia="仿宋"/>
          <w:sz w:val="32"/>
          <w:szCs w:val="30"/>
        </w:rPr>
        <w:t>》等</w:t>
      </w:r>
      <w:r>
        <w:rPr>
          <w:rFonts w:ascii="Times New Roman" w:hAnsi="Times New Roman" w:eastAsia="仿宋"/>
          <w:sz w:val="32"/>
          <w:szCs w:val="30"/>
        </w:rPr>
        <w:t>法律法规、行政规章、规范性文件</w:t>
      </w:r>
      <w:r>
        <w:rPr>
          <w:rFonts w:hint="eastAsia" w:ascii="Times New Roman" w:hAnsi="Times New Roman" w:eastAsia="仿宋"/>
          <w:sz w:val="32"/>
          <w:szCs w:val="30"/>
        </w:rPr>
        <w:t>，</w:t>
      </w:r>
      <w:r>
        <w:rPr>
          <w:rFonts w:ascii="Times New Roman" w:hAnsi="Times New Roman" w:eastAsia="仿宋"/>
          <w:sz w:val="32"/>
          <w:szCs w:val="30"/>
        </w:rPr>
        <w:t>制定本规定。</w:t>
      </w:r>
    </w:p>
    <w:p>
      <w:pPr>
        <w:snapToGrid w:val="0"/>
        <w:spacing w:line="600" w:lineRule="exact"/>
        <w:ind w:firstLine="642" w:firstLineChars="200"/>
        <w:rPr>
          <w:rFonts w:ascii="Times New Roman" w:hAnsi="Times New Roman" w:eastAsia="仿宋"/>
          <w:sz w:val="32"/>
          <w:szCs w:val="30"/>
        </w:rPr>
      </w:pPr>
      <w:r>
        <w:rPr>
          <w:rFonts w:ascii="Times New Roman" w:hAnsi="Times New Roman" w:eastAsia="仿宋"/>
          <w:b/>
          <w:sz w:val="32"/>
          <w:szCs w:val="30"/>
        </w:rPr>
        <w:t xml:space="preserve">第二条 </w:t>
      </w:r>
      <w:r>
        <w:rPr>
          <w:rFonts w:ascii="Times New Roman" w:hAnsi="Times New Roman" w:eastAsia="仿宋"/>
          <w:sz w:val="32"/>
          <w:szCs w:val="30"/>
        </w:rPr>
        <w:t>本规定</w:t>
      </w:r>
      <w:r>
        <w:rPr>
          <w:rFonts w:hint="eastAsia" w:ascii="Times New Roman" w:hAnsi="Times New Roman" w:eastAsia="仿宋"/>
          <w:sz w:val="32"/>
          <w:szCs w:val="30"/>
        </w:rPr>
        <w:t>中</w:t>
      </w:r>
      <w:r>
        <w:rPr>
          <w:rFonts w:ascii="Times New Roman" w:hAnsi="Times New Roman" w:eastAsia="仿宋"/>
          <w:sz w:val="32"/>
          <w:szCs w:val="30"/>
        </w:rPr>
        <w:t>可转换公司债券（以下简称</w:t>
      </w:r>
      <w:r>
        <w:rPr>
          <w:rFonts w:hint="eastAsia" w:ascii="Times New Roman" w:hAnsi="Times New Roman" w:eastAsia="仿宋"/>
          <w:sz w:val="32"/>
          <w:szCs w:val="30"/>
        </w:rPr>
        <w:t>退市</w:t>
      </w:r>
      <w:r>
        <w:rPr>
          <w:rFonts w:ascii="Times New Roman" w:hAnsi="Times New Roman" w:eastAsia="仿宋"/>
          <w:sz w:val="32"/>
          <w:szCs w:val="30"/>
        </w:rPr>
        <w:t>可转债），是指</w:t>
      </w:r>
      <w:r>
        <w:rPr>
          <w:rFonts w:hint="eastAsia" w:ascii="Times New Roman" w:hAnsi="Times New Roman" w:eastAsia="仿宋"/>
          <w:sz w:val="32"/>
          <w:szCs w:val="30"/>
        </w:rPr>
        <w:t>退市公司在</w:t>
      </w:r>
      <w:r>
        <w:rPr>
          <w:rFonts w:ascii="Times New Roman" w:hAnsi="Times New Roman" w:eastAsia="仿宋"/>
          <w:sz w:val="32"/>
          <w:szCs w:val="30"/>
        </w:rPr>
        <w:t>上市公司期间依法发行、在一定期间内依据约定的条件可以转换成</w:t>
      </w:r>
      <w:r>
        <w:rPr>
          <w:rFonts w:hint="eastAsia" w:ascii="Times New Roman" w:hAnsi="Times New Roman" w:eastAsia="仿宋"/>
          <w:sz w:val="32"/>
          <w:szCs w:val="30"/>
        </w:rPr>
        <w:t>本公司</w:t>
      </w:r>
      <w:r>
        <w:rPr>
          <w:rFonts w:ascii="Times New Roman" w:hAnsi="Times New Roman" w:eastAsia="仿宋"/>
          <w:sz w:val="32"/>
          <w:szCs w:val="30"/>
        </w:rPr>
        <w:t>股票的公司债券。</w:t>
      </w:r>
    </w:p>
    <w:p>
      <w:pPr>
        <w:snapToGrid w:val="0"/>
        <w:spacing w:line="600" w:lineRule="exact"/>
        <w:ind w:firstLine="640" w:firstLineChars="200"/>
        <w:rPr>
          <w:rFonts w:ascii="Times New Roman" w:hAnsi="Times New Roman" w:eastAsia="仿宋"/>
          <w:b/>
          <w:sz w:val="32"/>
          <w:szCs w:val="30"/>
        </w:rPr>
      </w:pPr>
      <w:r>
        <w:rPr>
          <w:rFonts w:hint="eastAsia" w:ascii="Times New Roman" w:hAnsi="Times New Roman" w:eastAsia="仿宋"/>
          <w:sz w:val="32"/>
          <w:szCs w:val="30"/>
        </w:rPr>
        <w:t>本</w:t>
      </w:r>
      <w:r>
        <w:rPr>
          <w:rFonts w:ascii="Times New Roman" w:hAnsi="Times New Roman" w:eastAsia="仿宋"/>
          <w:sz w:val="32"/>
          <w:szCs w:val="30"/>
        </w:rPr>
        <w:t>规定所称退市板块，是指</w:t>
      </w:r>
      <w:r>
        <w:rPr>
          <w:rFonts w:hint="eastAsia" w:ascii="Times New Roman" w:hAnsi="Times New Roman" w:eastAsia="仿宋"/>
          <w:sz w:val="32"/>
          <w:szCs w:val="30"/>
        </w:rPr>
        <w:t>全国中小企业股份转让系统有限责任公司（以下简称全国股转公司）依托原证券公司代办股份转让系统设立并代为管理的两网公司及退市公司板块。</w:t>
      </w:r>
    </w:p>
    <w:p>
      <w:pPr>
        <w:snapToGrid w:val="0"/>
        <w:spacing w:line="600" w:lineRule="exact"/>
        <w:ind w:firstLine="642" w:firstLineChars="200"/>
        <w:rPr>
          <w:rFonts w:ascii="Times New Roman" w:hAnsi="Times New Roman" w:eastAsia="仿宋"/>
          <w:b/>
          <w:sz w:val="32"/>
          <w:szCs w:val="30"/>
        </w:rPr>
      </w:pPr>
      <w:r>
        <w:rPr>
          <w:rFonts w:hint="eastAsia" w:ascii="Times New Roman" w:hAnsi="Times New Roman" w:eastAsia="仿宋"/>
          <w:b/>
          <w:sz w:val="32"/>
          <w:szCs w:val="30"/>
        </w:rPr>
        <w:t>第三条</w:t>
      </w:r>
      <w:r>
        <w:rPr>
          <w:rFonts w:ascii="Times New Roman" w:hAnsi="Times New Roman" w:eastAsia="仿宋"/>
          <w:b/>
          <w:sz w:val="32"/>
          <w:szCs w:val="30"/>
        </w:rPr>
        <w:t xml:space="preserve"> </w:t>
      </w:r>
      <w:r>
        <w:rPr>
          <w:rFonts w:hint="eastAsia" w:ascii="Times New Roman" w:hAnsi="Times New Roman" w:eastAsia="仿宋"/>
          <w:bCs/>
          <w:sz w:val="32"/>
          <w:szCs w:val="30"/>
        </w:rPr>
        <w:t>退市</w:t>
      </w:r>
      <w:r>
        <w:rPr>
          <w:rFonts w:ascii="Times New Roman" w:hAnsi="Times New Roman" w:eastAsia="仿宋"/>
          <w:sz w:val="32"/>
          <w:szCs w:val="30"/>
        </w:rPr>
        <w:t>可转债</w:t>
      </w:r>
      <w:r>
        <w:rPr>
          <w:rFonts w:hint="eastAsia" w:ascii="Times New Roman" w:hAnsi="Times New Roman" w:eastAsia="仿宋"/>
          <w:sz w:val="32"/>
          <w:szCs w:val="30"/>
        </w:rPr>
        <w:t>挂牌</w:t>
      </w:r>
      <w:r>
        <w:rPr>
          <w:rFonts w:ascii="Times New Roman" w:hAnsi="Times New Roman" w:eastAsia="仿宋"/>
          <w:sz w:val="32"/>
          <w:szCs w:val="30"/>
        </w:rPr>
        <w:t>、转让、转股、回售、赎回、付息</w:t>
      </w:r>
      <w:r>
        <w:rPr>
          <w:rFonts w:hint="eastAsia" w:ascii="Times New Roman" w:hAnsi="Times New Roman" w:eastAsia="仿宋"/>
          <w:sz w:val="32"/>
          <w:szCs w:val="30"/>
        </w:rPr>
        <w:t>、</w:t>
      </w:r>
      <w:r>
        <w:rPr>
          <w:rFonts w:ascii="Times New Roman" w:hAnsi="Times New Roman" w:eastAsia="仿宋"/>
          <w:sz w:val="32"/>
          <w:szCs w:val="30"/>
        </w:rPr>
        <w:t>本息兑付</w:t>
      </w:r>
      <w:r>
        <w:rPr>
          <w:rFonts w:hint="eastAsia" w:ascii="Times New Roman" w:hAnsi="Times New Roman" w:eastAsia="仿宋"/>
          <w:sz w:val="32"/>
          <w:szCs w:val="30"/>
        </w:rPr>
        <w:t>等业务</w:t>
      </w:r>
      <w:r>
        <w:rPr>
          <w:rFonts w:ascii="Times New Roman" w:hAnsi="Times New Roman" w:eastAsia="仿宋"/>
          <w:sz w:val="32"/>
          <w:szCs w:val="30"/>
        </w:rPr>
        <w:t>适用本规定。</w:t>
      </w:r>
    </w:p>
    <w:p>
      <w:pPr>
        <w:snapToGrid w:val="0"/>
        <w:spacing w:line="600" w:lineRule="exact"/>
        <w:ind w:firstLine="642" w:firstLineChars="200"/>
        <w:rPr>
          <w:rFonts w:ascii="仿宋_GB2312" w:hAnsi="仿宋" w:eastAsia="仿宋_GB2312" w:cs="黑体"/>
          <w:sz w:val="32"/>
          <w:szCs w:val="32"/>
        </w:rPr>
      </w:pPr>
      <w:r>
        <w:rPr>
          <w:rFonts w:hint="eastAsia" w:ascii="Times New Roman" w:hAnsi="Times New Roman" w:eastAsia="仿宋"/>
          <w:b/>
          <w:sz w:val="32"/>
          <w:szCs w:val="30"/>
        </w:rPr>
        <w:t>第四条</w:t>
      </w:r>
      <w:r>
        <w:rPr>
          <w:rFonts w:hint="eastAsia" w:ascii="Times New Roman" w:hAnsi="Times New Roman" w:eastAsia="仿宋"/>
          <w:sz w:val="32"/>
          <w:szCs w:val="30"/>
        </w:rPr>
        <w:t xml:space="preserve"> </w:t>
      </w:r>
      <w:r>
        <w:rPr>
          <w:rFonts w:hint="eastAsia" w:ascii="仿宋_GB2312" w:hAnsi="仿宋" w:eastAsia="仿宋_GB2312" w:cs="黑体"/>
          <w:sz w:val="32"/>
          <w:szCs w:val="32"/>
        </w:rPr>
        <w:t>退市公司应当聘请</w:t>
      </w:r>
      <w:r>
        <w:rPr>
          <w:rFonts w:ascii="仿宋_GB2312" w:hAnsi="仿宋" w:eastAsia="仿宋_GB2312" w:cs="黑体"/>
          <w:sz w:val="32"/>
          <w:szCs w:val="32"/>
        </w:rPr>
        <w:t>主办券商</w:t>
      </w:r>
      <w:r>
        <w:rPr>
          <w:rFonts w:hint="eastAsia" w:ascii="仿宋_GB2312" w:hAnsi="仿宋" w:eastAsia="仿宋_GB2312" w:cs="黑体"/>
          <w:sz w:val="32"/>
          <w:szCs w:val="32"/>
        </w:rPr>
        <w:t>为</w:t>
      </w:r>
      <w:r>
        <w:rPr>
          <w:rFonts w:ascii="仿宋_GB2312" w:hAnsi="仿宋" w:eastAsia="仿宋_GB2312" w:cs="黑体"/>
          <w:sz w:val="32"/>
          <w:szCs w:val="32"/>
        </w:rPr>
        <w:t>受托管理人，履行</w:t>
      </w:r>
      <w:r>
        <w:rPr>
          <w:rFonts w:hint="eastAsia" w:ascii="仿宋_GB2312" w:hAnsi="仿宋" w:eastAsia="仿宋_GB2312" w:cs="黑体"/>
          <w:sz w:val="32"/>
          <w:szCs w:val="32"/>
        </w:rPr>
        <w:t>退市可转债募集说明书</w:t>
      </w:r>
      <w:r>
        <w:rPr>
          <w:rFonts w:ascii="仿宋_GB2312" w:hAnsi="仿宋" w:eastAsia="仿宋_GB2312" w:cs="黑体"/>
          <w:sz w:val="32"/>
          <w:szCs w:val="32"/>
        </w:rPr>
        <w:t>中约定的受托管理</w:t>
      </w:r>
      <w:r>
        <w:rPr>
          <w:rFonts w:hint="eastAsia" w:ascii="仿宋_GB2312" w:hAnsi="仿宋" w:eastAsia="仿宋_GB2312" w:cs="黑体"/>
          <w:sz w:val="32"/>
          <w:szCs w:val="32"/>
        </w:rPr>
        <w:t>职责</w:t>
      </w:r>
      <w:r>
        <w:rPr>
          <w:rFonts w:ascii="仿宋_GB2312" w:hAnsi="仿宋" w:eastAsia="仿宋_GB2312" w:cs="黑体"/>
          <w:sz w:val="32"/>
          <w:szCs w:val="32"/>
        </w:rPr>
        <w:t>。</w:t>
      </w:r>
    </w:p>
    <w:p>
      <w:pPr>
        <w:snapToGrid w:val="0"/>
        <w:spacing w:line="600" w:lineRule="exact"/>
        <w:ind w:firstLine="640" w:firstLineChars="200"/>
        <w:rPr>
          <w:rFonts w:ascii="仿宋_GB2312" w:hAnsi="仿宋" w:eastAsia="仿宋_GB2312" w:cs="黑体"/>
          <w:sz w:val="32"/>
          <w:szCs w:val="32"/>
        </w:rPr>
      </w:pPr>
      <w:r>
        <w:rPr>
          <w:rFonts w:hint="eastAsia" w:ascii="仿宋_GB2312" w:hAnsi="仿宋" w:eastAsia="仿宋_GB2312" w:cs="黑体"/>
          <w:sz w:val="32"/>
          <w:szCs w:val="32"/>
        </w:rPr>
        <w:t>托管退市可转债的证券公司（以下简称托管券商）等其他市场参与主体应按本规定做好退市可转债登记结算、挂牌转让等工作。</w:t>
      </w:r>
    </w:p>
    <w:p>
      <w:pPr>
        <w:snapToGrid w:val="0"/>
        <w:spacing w:line="600" w:lineRule="exact"/>
        <w:ind w:firstLine="642" w:firstLineChars="200"/>
        <w:rPr>
          <w:rFonts w:ascii="Times New Roman" w:hAnsi="Times New Roman" w:eastAsia="仿宋"/>
          <w:sz w:val="32"/>
          <w:szCs w:val="30"/>
        </w:rPr>
      </w:pPr>
      <w:r>
        <w:rPr>
          <w:rFonts w:hint="eastAsia" w:ascii="Times New Roman" w:hAnsi="Times New Roman" w:eastAsia="仿宋"/>
          <w:b/>
          <w:sz w:val="32"/>
          <w:szCs w:val="30"/>
        </w:rPr>
        <w:t>第五条</w:t>
      </w:r>
      <w:r>
        <w:rPr>
          <w:rFonts w:hint="eastAsia" w:ascii="Times New Roman" w:hAnsi="Times New Roman" w:eastAsia="仿宋"/>
          <w:sz w:val="32"/>
          <w:szCs w:val="30"/>
        </w:rPr>
        <w:t xml:space="preserve"> 退市</w:t>
      </w:r>
      <w:r>
        <w:rPr>
          <w:rFonts w:ascii="Times New Roman" w:hAnsi="Times New Roman" w:eastAsia="仿宋"/>
          <w:sz w:val="32"/>
          <w:szCs w:val="30"/>
        </w:rPr>
        <w:t>可转债</w:t>
      </w:r>
      <w:r>
        <w:rPr>
          <w:rFonts w:hint="eastAsia" w:ascii="Times New Roman" w:hAnsi="Times New Roman" w:eastAsia="仿宋"/>
          <w:sz w:val="32"/>
          <w:szCs w:val="30"/>
        </w:rPr>
        <w:t>应与其退市公司</w:t>
      </w:r>
      <w:r>
        <w:rPr>
          <w:rFonts w:ascii="Times New Roman" w:hAnsi="Times New Roman" w:eastAsia="仿宋"/>
          <w:sz w:val="32"/>
          <w:szCs w:val="30"/>
        </w:rPr>
        <w:t>股票</w:t>
      </w:r>
      <w:r>
        <w:rPr>
          <w:rFonts w:hint="eastAsia" w:ascii="Times New Roman" w:hAnsi="Times New Roman" w:eastAsia="仿宋"/>
          <w:sz w:val="32"/>
          <w:szCs w:val="30"/>
        </w:rPr>
        <w:t>在同一交易日进入</w:t>
      </w:r>
      <w:r>
        <w:rPr>
          <w:rFonts w:ascii="Times New Roman" w:hAnsi="Times New Roman" w:eastAsia="仿宋"/>
          <w:sz w:val="32"/>
          <w:szCs w:val="30"/>
        </w:rPr>
        <w:t>退市板块挂牌转让。</w:t>
      </w:r>
    </w:p>
    <w:p>
      <w:pPr>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主办券商应向全国股转公司申请退市可转债证券代码和证券简称，披露挂牌转让相关公告。</w:t>
      </w:r>
    </w:p>
    <w:p>
      <w:pPr>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color w:val="000000" w:themeColor="text1"/>
          <w:sz w:val="32"/>
          <w:szCs w:val="32"/>
          <w14:textFill>
            <w14:solidFill>
              <w14:schemeClr w14:val="tx1"/>
            </w14:solidFill>
          </w14:textFill>
        </w:rPr>
        <w:t>退市可转债进入退市</w:t>
      </w:r>
      <w:r>
        <w:rPr>
          <w:rFonts w:ascii="Times New Roman" w:hAnsi="Times New Roman" w:eastAsia="仿宋"/>
          <w:color w:val="000000" w:themeColor="text1"/>
          <w:sz w:val="32"/>
          <w:szCs w:val="32"/>
          <w14:textFill>
            <w14:solidFill>
              <w14:schemeClr w14:val="tx1"/>
            </w14:solidFill>
          </w14:textFill>
        </w:rPr>
        <w:t>板块挂牌转让</w:t>
      </w:r>
      <w:r>
        <w:rPr>
          <w:rFonts w:hint="eastAsia" w:ascii="Times New Roman" w:hAnsi="Times New Roman" w:eastAsia="仿宋"/>
          <w:color w:val="000000" w:themeColor="text1"/>
          <w:sz w:val="32"/>
          <w:szCs w:val="32"/>
          <w14:textFill>
            <w14:solidFill>
              <w14:schemeClr w14:val="tx1"/>
            </w14:solidFill>
          </w14:textFill>
        </w:rPr>
        <w:t>等相关安排，本规定未作规定的，参照适用《关于退市公司进入退市板块挂牌转让的实施办法》。</w:t>
      </w:r>
    </w:p>
    <w:p>
      <w:pPr>
        <w:snapToGrid w:val="0"/>
        <w:spacing w:line="600" w:lineRule="exact"/>
        <w:ind w:firstLine="642" w:firstLineChars="200"/>
        <w:rPr>
          <w:rFonts w:ascii="Times New Roman" w:hAnsi="Times New Roman" w:eastAsia="仿宋"/>
          <w:sz w:val="32"/>
          <w:szCs w:val="30"/>
        </w:rPr>
      </w:pPr>
      <w:r>
        <w:rPr>
          <w:rFonts w:hint="eastAsia" w:ascii="Times New Roman" w:hAnsi="Times New Roman" w:eastAsia="仿宋"/>
          <w:b/>
          <w:sz w:val="32"/>
          <w:szCs w:val="30"/>
        </w:rPr>
        <w:t xml:space="preserve">第六条 </w:t>
      </w:r>
      <w:r>
        <w:rPr>
          <w:rFonts w:hint="eastAsia" w:ascii="Times New Roman" w:hAnsi="Times New Roman" w:eastAsia="仿宋"/>
          <w:color w:val="000000" w:themeColor="text1"/>
          <w:sz w:val="32"/>
          <w:szCs w:val="32"/>
          <w14:textFill>
            <w14:solidFill>
              <w14:schemeClr w14:val="tx1"/>
            </w14:solidFill>
          </w14:textFill>
        </w:rPr>
        <w:t>退市可转债</w:t>
      </w:r>
      <w:r>
        <w:rPr>
          <w:rFonts w:ascii="Times New Roman" w:hAnsi="Times New Roman" w:eastAsia="仿宋"/>
          <w:color w:val="000000" w:themeColor="text1"/>
          <w:sz w:val="32"/>
          <w:szCs w:val="32"/>
          <w14:textFill>
            <w14:solidFill>
              <w14:schemeClr w14:val="tx1"/>
            </w14:solidFill>
          </w14:textFill>
        </w:rPr>
        <w:t>的登记、存管和结算等业务，按中国证券登记结算有限责任公司（以下简称中国结算）的相关规定办理。</w:t>
      </w:r>
    </w:p>
    <w:p>
      <w:pPr>
        <w:adjustRightInd w:val="0"/>
        <w:snapToGrid w:val="0"/>
        <w:spacing w:before="240" w:after="240" w:line="600" w:lineRule="exact"/>
        <w:jc w:val="center"/>
        <w:outlineLvl w:val="0"/>
        <w:rPr>
          <w:rFonts w:ascii="Times New Roman" w:hAnsi="Times New Roman" w:eastAsia="黑体"/>
          <w:color w:val="000000" w:themeColor="text1"/>
          <w:sz w:val="32"/>
          <w:szCs w:val="30"/>
          <w14:textFill>
            <w14:solidFill>
              <w14:schemeClr w14:val="tx1"/>
            </w14:solidFill>
          </w14:textFill>
        </w:rPr>
      </w:pPr>
      <w:r>
        <w:rPr>
          <w:rFonts w:ascii="Times New Roman" w:hAnsi="Times New Roman" w:eastAsia="黑体"/>
          <w:color w:val="000000" w:themeColor="text1"/>
          <w:sz w:val="32"/>
          <w:szCs w:val="30"/>
          <w14:textFill>
            <w14:solidFill>
              <w14:schemeClr w14:val="tx1"/>
            </w14:solidFill>
          </w14:textFill>
        </w:rPr>
        <w:t>第</w:t>
      </w:r>
      <w:r>
        <w:rPr>
          <w:rFonts w:hint="eastAsia" w:ascii="Times New Roman" w:hAnsi="Times New Roman" w:eastAsia="黑体"/>
          <w:color w:val="000000" w:themeColor="text1"/>
          <w:sz w:val="32"/>
          <w:szCs w:val="30"/>
          <w14:textFill>
            <w14:solidFill>
              <w14:schemeClr w14:val="tx1"/>
            </w14:solidFill>
          </w14:textFill>
        </w:rPr>
        <w:t>二</w:t>
      </w:r>
      <w:r>
        <w:rPr>
          <w:rFonts w:ascii="Times New Roman" w:hAnsi="Times New Roman" w:eastAsia="黑体"/>
          <w:color w:val="000000" w:themeColor="text1"/>
          <w:sz w:val="32"/>
          <w:szCs w:val="30"/>
          <w14:textFill>
            <w14:solidFill>
              <w14:schemeClr w14:val="tx1"/>
            </w14:solidFill>
          </w14:textFill>
        </w:rPr>
        <w:t>章  转让</w:t>
      </w:r>
    </w:p>
    <w:p>
      <w:pPr>
        <w:tabs>
          <w:tab w:val="center" w:pos="4474"/>
          <w:tab w:val="right" w:pos="8306"/>
        </w:tabs>
        <w:snapToGrid w:val="0"/>
        <w:spacing w:line="600" w:lineRule="exact"/>
        <w:ind w:firstLine="642"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b/>
          <w:color w:val="000000" w:themeColor="text1"/>
          <w:sz w:val="32"/>
          <w:szCs w:val="30"/>
          <w14:textFill>
            <w14:solidFill>
              <w14:schemeClr w14:val="tx1"/>
            </w14:solidFill>
          </w14:textFill>
        </w:rPr>
        <w:t>第</w:t>
      </w:r>
      <w:r>
        <w:rPr>
          <w:rFonts w:hint="eastAsia" w:ascii="Times New Roman" w:hAnsi="Times New Roman" w:eastAsia="仿宋"/>
          <w:b/>
          <w:sz w:val="32"/>
          <w:szCs w:val="30"/>
        </w:rPr>
        <w:t>七</w:t>
      </w:r>
      <w:r>
        <w:rPr>
          <w:rFonts w:ascii="Times New Roman" w:hAnsi="Times New Roman" w:eastAsia="仿宋"/>
          <w:b/>
          <w:sz w:val="32"/>
          <w:szCs w:val="30"/>
        </w:rPr>
        <w:t xml:space="preserve">条 </w:t>
      </w:r>
      <w:r>
        <w:rPr>
          <w:rFonts w:ascii="Times New Roman" w:hAnsi="Times New Roman" w:eastAsia="仿宋"/>
          <w:color w:val="000000" w:themeColor="text1"/>
          <w:sz w:val="32"/>
          <w:szCs w:val="32"/>
          <w14:textFill>
            <w14:solidFill>
              <w14:schemeClr w14:val="tx1"/>
            </w14:solidFill>
          </w14:textFill>
        </w:rPr>
        <w:t>参与</w:t>
      </w:r>
      <w:r>
        <w:rPr>
          <w:rFonts w:hint="eastAsia" w:ascii="Times New Roman" w:hAnsi="Times New Roman" w:eastAsia="仿宋"/>
          <w:color w:val="000000" w:themeColor="text1"/>
          <w:sz w:val="32"/>
          <w:szCs w:val="32"/>
          <w14:textFill>
            <w14:solidFill>
              <w14:schemeClr w14:val="tx1"/>
            </w14:solidFill>
          </w14:textFill>
        </w:rPr>
        <w:t>退市可转债</w:t>
      </w:r>
      <w:r>
        <w:rPr>
          <w:rFonts w:ascii="Times New Roman" w:hAnsi="Times New Roman" w:eastAsia="仿宋"/>
          <w:color w:val="000000" w:themeColor="text1"/>
          <w:sz w:val="32"/>
          <w:szCs w:val="32"/>
          <w14:textFill>
            <w14:solidFill>
              <w14:schemeClr w14:val="tx1"/>
            </w14:solidFill>
          </w14:textFill>
        </w:rPr>
        <w:t>转让</w:t>
      </w:r>
      <w:r>
        <w:rPr>
          <w:rFonts w:hint="eastAsia" w:ascii="Times New Roman" w:hAnsi="Times New Roman" w:eastAsia="仿宋"/>
          <w:color w:val="000000" w:themeColor="text1"/>
          <w:sz w:val="32"/>
          <w:szCs w:val="32"/>
          <w14:textFill>
            <w14:solidFill>
              <w14:schemeClr w14:val="tx1"/>
            </w14:solidFill>
          </w14:textFill>
        </w:rPr>
        <w:t>的</w:t>
      </w:r>
      <w:r>
        <w:rPr>
          <w:rFonts w:ascii="Times New Roman" w:hAnsi="Times New Roman" w:eastAsia="仿宋"/>
          <w:sz w:val="32"/>
          <w:szCs w:val="30"/>
        </w:rPr>
        <w:t>投资者</w:t>
      </w:r>
      <w:r>
        <w:rPr>
          <w:rFonts w:hint="eastAsia" w:ascii="Times New Roman" w:hAnsi="Times New Roman" w:eastAsia="仿宋"/>
          <w:sz w:val="32"/>
          <w:szCs w:val="30"/>
        </w:rPr>
        <w:t>应当</w:t>
      </w:r>
      <w:r>
        <w:rPr>
          <w:rFonts w:ascii="Times New Roman" w:hAnsi="Times New Roman" w:eastAsia="仿宋"/>
          <w:color w:val="000000" w:themeColor="text1"/>
          <w:sz w:val="32"/>
          <w:szCs w:val="32"/>
          <w14:textFill>
            <w14:solidFill>
              <w14:schemeClr w14:val="tx1"/>
            </w14:solidFill>
          </w14:textFill>
        </w:rPr>
        <w:t>符合《</w:t>
      </w:r>
      <w:r>
        <w:rPr>
          <w:rFonts w:hint="eastAsia" w:ascii="Times New Roman" w:hAnsi="Times New Roman" w:eastAsia="仿宋"/>
          <w:color w:val="000000" w:themeColor="text1"/>
          <w:sz w:val="32"/>
          <w:szCs w:val="32"/>
          <w14:textFill>
            <w14:solidFill>
              <w14:schemeClr w14:val="tx1"/>
            </w14:solidFill>
          </w14:textFill>
        </w:rPr>
        <w:t>关于退市</w:t>
      </w:r>
      <w:r>
        <w:rPr>
          <w:rFonts w:ascii="Times New Roman" w:hAnsi="Times New Roman" w:eastAsia="仿宋"/>
          <w:color w:val="000000" w:themeColor="text1"/>
          <w:sz w:val="32"/>
          <w:szCs w:val="32"/>
          <w14:textFill>
            <w14:solidFill>
              <w14:schemeClr w14:val="tx1"/>
            </w14:solidFill>
          </w14:textFill>
        </w:rPr>
        <w:t>公司进入退市板块挂牌转让的实施办法》</w:t>
      </w:r>
      <w:r>
        <w:rPr>
          <w:rFonts w:hint="eastAsia" w:ascii="Times New Roman" w:hAnsi="Times New Roman" w:eastAsia="仿宋"/>
          <w:color w:val="000000" w:themeColor="text1"/>
          <w:sz w:val="32"/>
          <w:szCs w:val="32"/>
          <w14:textFill>
            <w14:solidFill>
              <w14:schemeClr w14:val="tx1"/>
            </w14:solidFill>
          </w14:textFill>
        </w:rPr>
        <w:t>规定的</w:t>
      </w:r>
      <w:r>
        <w:rPr>
          <w:rFonts w:ascii="Times New Roman" w:hAnsi="Times New Roman" w:eastAsia="仿宋"/>
          <w:color w:val="000000" w:themeColor="text1"/>
          <w:sz w:val="32"/>
          <w:szCs w:val="32"/>
          <w14:textFill>
            <w14:solidFill>
              <w14:schemeClr w14:val="tx1"/>
            </w14:solidFill>
          </w14:textFill>
        </w:rPr>
        <w:t>股票</w:t>
      </w:r>
      <w:r>
        <w:rPr>
          <w:rFonts w:hint="eastAsia" w:ascii="Times New Roman" w:hAnsi="Times New Roman" w:eastAsia="仿宋"/>
          <w:color w:val="000000" w:themeColor="text1"/>
          <w:sz w:val="32"/>
          <w:szCs w:val="32"/>
          <w14:textFill>
            <w14:solidFill>
              <w14:schemeClr w14:val="tx1"/>
            </w14:solidFill>
          </w14:textFill>
        </w:rPr>
        <w:t>投资者适当性</w:t>
      </w:r>
      <w:r>
        <w:rPr>
          <w:rFonts w:ascii="Times New Roman" w:hAnsi="Times New Roman" w:eastAsia="仿宋"/>
          <w:color w:val="000000" w:themeColor="text1"/>
          <w:sz w:val="32"/>
          <w:szCs w:val="32"/>
          <w14:textFill>
            <w14:solidFill>
              <w14:schemeClr w14:val="tx1"/>
            </w14:solidFill>
          </w14:textFill>
        </w:rPr>
        <w:t>要求</w:t>
      </w:r>
      <w:r>
        <w:rPr>
          <w:rFonts w:hint="eastAsia" w:ascii="Times New Roman" w:hAnsi="Times New Roman" w:eastAsia="仿宋"/>
          <w:color w:val="000000" w:themeColor="text1"/>
          <w:sz w:val="32"/>
          <w:szCs w:val="32"/>
          <w14:textFill>
            <w14:solidFill>
              <w14:schemeClr w14:val="tx1"/>
            </w14:solidFill>
          </w14:textFill>
        </w:rPr>
        <w:t>。</w:t>
      </w:r>
    </w:p>
    <w:p>
      <w:pPr>
        <w:tabs>
          <w:tab w:val="center" w:pos="4474"/>
          <w:tab w:val="right" w:pos="8306"/>
        </w:tabs>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不符合上述要求的债券持有人，只能卖出其持有的退市可转债。</w:t>
      </w:r>
    </w:p>
    <w:p>
      <w:pPr>
        <w:snapToGrid w:val="0"/>
        <w:spacing w:line="600" w:lineRule="exact"/>
        <w:ind w:firstLine="642" w:firstLineChars="200"/>
        <w:rPr>
          <w:rFonts w:ascii="Times New Roman" w:hAnsi="Times New Roman" w:eastAsia="仿宋"/>
          <w:sz w:val="32"/>
          <w:szCs w:val="30"/>
        </w:rPr>
      </w:pPr>
      <w:r>
        <w:rPr>
          <w:rFonts w:ascii="Times New Roman" w:hAnsi="Times New Roman" w:eastAsia="仿宋"/>
          <w:b/>
          <w:color w:val="000000" w:themeColor="text1"/>
          <w:sz w:val="32"/>
          <w:szCs w:val="30"/>
          <w14:textFill>
            <w14:solidFill>
              <w14:schemeClr w14:val="tx1"/>
            </w14:solidFill>
          </w14:textFill>
        </w:rPr>
        <w:t>第</w:t>
      </w:r>
      <w:r>
        <w:rPr>
          <w:rFonts w:hint="eastAsia" w:ascii="Times New Roman" w:hAnsi="Times New Roman" w:eastAsia="仿宋"/>
          <w:b/>
          <w:sz w:val="32"/>
          <w:szCs w:val="30"/>
        </w:rPr>
        <w:t>八</w:t>
      </w:r>
      <w:r>
        <w:rPr>
          <w:rFonts w:ascii="Times New Roman" w:hAnsi="Times New Roman" w:eastAsia="仿宋"/>
          <w:b/>
          <w:sz w:val="32"/>
          <w:szCs w:val="30"/>
        </w:rPr>
        <w:t xml:space="preserve">条 </w:t>
      </w:r>
      <w:r>
        <w:rPr>
          <w:rFonts w:hint="eastAsia" w:ascii="Times New Roman" w:hAnsi="Times New Roman" w:eastAsia="仿宋"/>
          <w:sz w:val="32"/>
          <w:szCs w:val="30"/>
        </w:rPr>
        <w:t>退市可转债</w:t>
      </w:r>
      <w:r>
        <w:rPr>
          <w:rFonts w:ascii="Times New Roman" w:hAnsi="Times New Roman" w:eastAsia="仿宋"/>
          <w:sz w:val="32"/>
          <w:szCs w:val="30"/>
        </w:rPr>
        <w:t>以100元面</w:t>
      </w:r>
      <w:r>
        <w:rPr>
          <w:rFonts w:hint="eastAsia" w:ascii="Times New Roman" w:hAnsi="Times New Roman" w:eastAsia="仿宋"/>
          <w:sz w:val="32"/>
          <w:szCs w:val="30"/>
        </w:rPr>
        <w:t>额</w:t>
      </w:r>
      <w:r>
        <w:rPr>
          <w:rFonts w:ascii="Times New Roman" w:hAnsi="Times New Roman" w:eastAsia="仿宋"/>
          <w:sz w:val="32"/>
          <w:szCs w:val="30"/>
        </w:rPr>
        <w:t>为1张，申报价格最小变动单位为0.001元。</w:t>
      </w:r>
      <w:r>
        <w:rPr>
          <w:rFonts w:hint="eastAsia" w:ascii="Times New Roman" w:hAnsi="Times New Roman" w:eastAsia="仿宋"/>
          <w:sz w:val="32"/>
          <w:szCs w:val="30"/>
        </w:rPr>
        <w:t>因相关业务办理导致面额发生调整的除外。</w:t>
      </w:r>
    </w:p>
    <w:p>
      <w:pPr>
        <w:snapToGrid w:val="0"/>
        <w:spacing w:line="600" w:lineRule="exact"/>
        <w:ind w:firstLine="642" w:firstLineChars="200"/>
        <w:rPr>
          <w:rFonts w:ascii="Times New Roman" w:hAnsi="Times New Roman" w:eastAsia="仿宋"/>
          <w:sz w:val="32"/>
          <w:szCs w:val="30"/>
        </w:rPr>
      </w:pPr>
      <w:r>
        <w:rPr>
          <w:rFonts w:ascii="Times New Roman" w:hAnsi="Times New Roman" w:eastAsia="仿宋"/>
          <w:b/>
          <w:color w:val="000000" w:themeColor="text1"/>
          <w:sz w:val="32"/>
          <w:szCs w:val="30"/>
          <w14:textFill>
            <w14:solidFill>
              <w14:schemeClr w14:val="tx1"/>
            </w14:solidFill>
          </w14:textFill>
        </w:rPr>
        <w:t>第</w:t>
      </w:r>
      <w:r>
        <w:rPr>
          <w:rFonts w:hint="eastAsia" w:ascii="Times New Roman" w:hAnsi="Times New Roman" w:eastAsia="仿宋"/>
          <w:b/>
          <w:sz w:val="32"/>
          <w:szCs w:val="30"/>
        </w:rPr>
        <w:t>九</w:t>
      </w:r>
      <w:r>
        <w:rPr>
          <w:rFonts w:ascii="Times New Roman" w:hAnsi="Times New Roman" w:eastAsia="仿宋"/>
          <w:b/>
          <w:sz w:val="32"/>
          <w:szCs w:val="30"/>
        </w:rPr>
        <w:t xml:space="preserve">条 </w:t>
      </w:r>
      <w:r>
        <w:rPr>
          <w:rFonts w:hint="eastAsia" w:ascii="Times New Roman" w:hAnsi="Times New Roman" w:eastAsia="仿宋"/>
          <w:sz w:val="32"/>
          <w:szCs w:val="30"/>
        </w:rPr>
        <w:t>退市可转债</w:t>
      </w:r>
      <w:r>
        <w:rPr>
          <w:rFonts w:ascii="Times New Roman" w:hAnsi="Times New Roman" w:eastAsia="仿宋"/>
          <w:sz w:val="32"/>
          <w:szCs w:val="30"/>
        </w:rPr>
        <w:t>的转让申报数量应为10张或其整数倍，且单笔转让数量不低于1000张或者转让金额不低于10万元。卖出时余额不足1000张且转让金额低于10万元的，应当一次性申报卖出。</w:t>
      </w:r>
    </w:p>
    <w:p>
      <w:pPr>
        <w:snapToGrid w:val="0"/>
        <w:spacing w:line="600" w:lineRule="exact"/>
        <w:ind w:firstLine="642" w:firstLineChars="200"/>
        <w:rPr>
          <w:rFonts w:ascii="Times New Roman" w:hAnsi="Times New Roman" w:eastAsia="仿宋"/>
          <w:sz w:val="32"/>
          <w:szCs w:val="30"/>
        </w:rPr>
      </w:pPr>
      <w:r>
        <w:rPr>
          <w:rFonts w:hint="eastAsia" w:ascii="Times New Roman" w:hAnsi="Times New Roman" w:eastAsia="仿宋"/>
          <w:b/>
          <w:sz w:val="32"/>
          <w:szCs w:val="30"/>
        </w:rPr>
        <w:t>第十条</w:t>
      </w:r>
      <w:r>
        <w:rPr>
          <w:rFonts w:ascii="Times New Roman" w:hAnsi="Times New Roman" w:eastAsia="仿宋"/>
          <w:b/>
          <w:sz w:val="32"/>
          <w:szCs w:val="30"/>
        </w:rPr>
        <w:t xml:space="preserve"> </w:t>
      </w:r>
      <w:r>
        <w:rPr>
          <w:rFonts w:hint="eastAsia" w:ascii="Times New Roman" w:hAnsi="Times New Roman" w:eastAsia="仿宋"/>
          <w:sz w:val="32"/>
          <w:szCs w:val="30"/>
        </w:rPr>
        <w:t>退市可转债采用全价转让方式并实行当日回转。</w:t>
      </w:r>
    </w:p>
    <w:p>
      <w:pPr>
        <w:snapToGrid w:val="0"/>
        <w:spacing w:line="600" w:lineRule="exact"/>
        <w:ind w:firstLine="642" w:firstLineChars="200"/>
        <w:rPr>
          <w:rFonts w:ascii="Times New Roman" w:hAnsi="Times New Roman" w:eastAsia="仿宋"/>
          <w:sz w:val="32"/>
          <w:szCs w:val="30"/>
        </w:rPr>
      </w:pPr>
      <w:r>
        <w:rPr>
          <w:rFonts w:ascii="Times New Roman" w:hAnsi="Times New Roman" w:eastAsia="仿宋"/>
          <w:b/>
          <w:sz w:val="32"/>
          <w:szCs w:val="30"/>
        </w:rPr>
        <w:t>第</w:t>
      </w:r>
      <w:r>
        <w:rPr>
          <w:rFonts w:hint="eastAsia" w:ascii="Times New Roman" w:hAnsi="Times New Roman" w:eastAsia="仿宋"/>
          <w:b/>
          <w:sz w:val="32"/>
          <w:szCs w:val="30"/>
        </w:rPr>
        <w:t>十一</w:t>
      </w:r>
      <w:r>
        <w:rPr>
          <w:rFonts w:ascii="Times New Roman" w:hAnsi="Times New Roman" w:eastAsia="仿宋"/>
          <w:b/>
          <w:sz w:val="32"/>
          <w:szCs w:val="30"/>
        </w:rPr>
        <w:t xml:space="preserve">条 </w:t>
      </w:r>
      <w:r>
        <w:rPr>
          <w:rFonts w:hint="eastAsia" w:ascii="Times New Roman" w:hAnsi="Times New Roman" w:eastAsia="仿宋"/>
          <w:bCs/>
          <w:sz w:val="32"/>
          <w:szCs w:val="30"/>
        </w:rPr>
        <w:t>退市可转债采用协议转让交易方式，</w:t>
      </w:r>
      <w:r>
        <w:rPr>
          <w:rFonts w:ascii="Times New Roman" w:hAnsi="Times New Roman" w:eastAsia="仿宋"/>
          <w:sz w:val="32"/>
          <w:szCs w:val="30"/>
        </w:rPr>
        <w:t>投资者</w:t>
      </w:r>
      <w:r>
        <w:rPr>
          <w:rFonts w:hint="eastAsia" w:ascii="Times New Roman" w:hAnsi="Times New Roman" w:eastAsia="仿宋"/>
          <w:sz w:val="32"/>
          <w:szCs w:val="30"/>
        </w:rPr>
        <w:t>通过</w:t>
      </w:r>
      <w:r>
        <w:rPr>
          <w:rFonts w:ascii="Times New Roman" w:hAnsi="Times New Roman" w:eastAsia="仿宋"/>
          <w:sz w:val="32"/>
          <w:szCs w:val="30"/>
        </w:rPr>
        <w:t>成交确认委托方式委托</w:t>
      </w:r>
      <w:r>
        <w:rPr>
          <w:rFonts w:hint="eastAsia" w:ascii="Times New Roman" w:hAnsi="Times New Roman" w:eastAsia="仿宋"/>
          <w:sz w:val="32"/>
          <w:szCs w:val="30"/>
        </w:rPr>
        <w:t>托管</w:t>
      </w:r>
      <w:r>
        <w:rPr>
          <w:rFonts w:ascii="Times New Roman" w:hAnsi="Times New Roman" w:eastAsia="仿宋"/>
          <w:sz w:val="32"/>
          <w:szCs w:val="30"/>
        </w:rPr>
        <w:t>券商买卖</w:t>
      </w:r>
      <w:r>
        <w:rPr>
          <w:rFonts w:hint="eastAsia" w:ascii="Times New Roman" w:hAnsi="Times New Roman" w:eastAsia="仿宋"/>
          <w:sz w:val="32"/>
          <w:szCs w:val="30"/>
        </w:rPr>
        <w:t>退市可转债</w:t>
      </w:r>
      <w:r>
        <w:rPr>
          <w:rFonts w:ascii="Times New Roman" w:hAnsi="Times New Roman" w:eastAsia="仿宋"/>
          <w:sz w:val="32"/>
          <w:szCs w:val="30"/>
        </w:rPr>
        <w:t>。</w:t>
      </w:r>
    </w:p>
    <w:p>
      <w:pPr>
        <w:snapToGrid w:val="0"/>
        <w:spacing w:line="600" w:lineRule="exact"/>
        <w:ind w:firstLine="640" w:firstLineChars="200"/>
        <w:rPr>
          <w:rFonts w:ascii="Times New Roman" w:hAnsi="Times New Roman" w:eastAsia="仿宋"/>
          <w:sz w:val="32"/>
          <w:szCs w:val="30"/>
        </w:rPr>
      </w:pPr>
      <w:r>
        <w:rPr>
          <w:rFonts w:ascii="Times New Roman" w:hAnsi="Times New Roman" w:eastAsia="仿宋"/>
          <w:sz w:val="32"/>
          <w:szCs w:val="30"/>
        </w:rPr>
        <w:t>成交确认委托是指投资者买卖双方达成成交协议</w:t>
      </w:r>
      <w:r>
        <w:rPr>
          <w:rFonts w:hint="eastAsia" w:ascii="Times New Roman" w:hAnsi="Times New Roman" w:eastAsia="仿宋"/>
          <w:sz w:val="32"/>
          <w:szCs w:val="30"/>
        </w:rPr>
        <w:t>，委托托管券商按其指定的价格和数量与指定对手方确认成交的指令。</w:t>
      </w:r>
      <w:r>
        <w:rPr>
          <w:rFonts w:ascii="Times New Roman" w:hAnsi="Times New Roman" w:eastAsia="仿宋"/>
          <w:sz w:val="32"/>
          <w:szCs w:val="30"/>
        </w:rPr>
        <w:t>成交确认委托指令应当包括：证券账户号码、证券代码、买卖方向、委托数量、委托价格、成交约定号</w:t>
      </w:r>
      <w:r>
        <w:rPr>
          <w:rFonts w:hint="eastAsia" w:ascii="Times New Roman" w:hAnsi="Times New Roman" w:eastAsia="仿宋"/>
          <w:sz w:val="32"/>
          <w:szCs w:val="30"/>
        </w:rPr>
        <w:t>、</w:t>
      </w:r>
      <w:r>
        <w:rPr>
          <w:rFonts w:ascii="Times New Roman" w:hAnsi="Times New Roman" w:eastAsia="仿宋"/>
          <w:sz w:val="32"/>
          <w:szCs w:val="30"/>
        </w:rPr>
        <w:t>对手方交易单元代码和对手方证券账户号码</w:t>
      </w:r>
      <w:r>
        <w:rPr>
          <w:rFonts w:hint="eastAsia" w:ascii="Times New Roman" w:hAnsi="Times New Roman" w:eastAsia="仿宋"/>
          <w:sz w:val="32"/>
          <w:szCs w:val="30"/>
        </w:rPr>
        <w:t>等内容</w:t>
      </w:r>
      <w:r>
        <w:rPr>
          <w:rFonts w:ascii="Times New Roman" w:hAnsi="Times New Roman" w:eastAsia="仿宋"/>
          <w:sz w:val="32"/>
          <w:szCs w:val="30"/>
        </w:rPr>
        <w:t>。</w:t>
      </w:r>
    </w:p>
    <w:p>
      <w:pPr>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投资者</w:t>
      </w:r>
      <w:r>
        <w:rPr>
          <w:rFonts w:ascii="Times New Roman" w:hAnsi="Times New Roman" w:eastAsia="仿宋"/>
          <w:sz w:val="32"/>
          <w:szCs w:val="30"/>
        </w:rPr>
        <w:t>可以撤销未匹配成交的委托。</w:t>
      </w:r>
    </w:p>
    <w:p>
      <w:pPr>
        <w:snapToGrid w:val="0"/>
        <w:spacing w:line="600" w:lineRule="exact"/>
        <w:ind w:firstLine="642" w:firstLineChars="200"/>
        <w:rPr>
          <w:rFonts w:ascii="Times New Roman" w:hAnsi="Times New Roman" w:eastAsia="仿宋"/>
          <w:bCs/>
          <w:sz w:val="32"/>
          <w:szCs w:val="30"/>
        </w:rPr>
      </w:pPr>
      <w:r>
        <w:rPr>
          <w:rFonts w:ascii="Times New Roman" w:hAnsi="Times New Roman" w:eastAsia="仿宋"/>
          <w:b/>
          <w:sz w:val="32"/>
          <w:szCs w:val="30"/>
        </w:rPr>
        <w:t>第</w:t>
      </w:r>
      <w:r>
        <w:rPr>
          <w:rFonts w:hint="eastAsia" w:ascii="Times New Roman" w:hAnsi="Times New Roman" w:eastAsia="仿宋"/>
          <w:b/>
          <w:sz w:val="32"/>
          <w:szCs w:val="30"/>
        </w:rPr>
        <w:t>十二</w:t>
      </w:r>
      <w:r>
        <w:rPr>
          <w:rFonts w:ascii="Times New Roman" w:hAnsi="Times New Roman" w:eastAsia="仿宋"/>
          <w:b/>
          <w:sz w:val="32"/>
          <w:szCs w:val="30"/>
        </w:rPr>
        <w:t xml:space="preserve">条 </w:t>
      </w:r>
      <w:r>
        <w:rPr>
          <w:rFonts w:hint="eastAsia" w:ascii="Times New Roman" w:hAnsi="Times New Roman" w:eastAsia="仿宋"/>
          <w:bCs/>
          <w:sz w:val="32"/>
          <w:szCs w:val="30"/>
        </w:rPr>
        <w:t>退市可转债应与其退市公司股票交易频次保持一致。</w:t>
      </w:r>
    </w:p>
    <w:p>
      <w:pPr>
        <w:snapToGrid w:val="0"/>
        <w:spacing w:line="600" w:lineRule="exact"/>
        <w:ind w:firstLine="640" w:firstLineChars="200"/>
        <w:rPr>
          <w:rFonts w:ascii="Times New Roman" w:hAnsi="Times New Roman" w:eastAsia="仿宋"/>
          <w:sz w:val="32"/>
          <w:szCs w:val="30"/>
        </w:rPr>
      </w:pPr>
      <w:r>
        <w:rPr>
          <w:rFonts w:ascii="Times New Roman" w:hAnsi="Times New Roman" w:eastAsia="仿宋"/>
          <w:sz w:val="32"/>
          <w:szCs w:val="30"/>
        </w:rPr>
        <w:t>全国股转</w:t>
      </w:r>
      <w:r>
        <w:rPr>
          <w:rFonts w:hint="eastAsia" w:ascii="Times New Roman" w:hAnsi="Times New Roman" w:eastAsia="仿宋"/>
          <w:sz w:val="32"/>
          <w:szCs w:val="30"/>
        </w:rPr>
        <w:t>公司</w:t>
      </w:r>
      <w:r>
        <w:rPr>
          <w:rFonts w:ascii="Times New Roman" w:hAnsi="Times New Roman" w:eastAsia="仿宋"/>
          <w:sz w:val="32"/>
          <w:szCs w:val="30"/>
        </w:rPr>
        <w:t>接受</w:t>
      </w:r>
      <w:r>
        <w:rPr>
          <w:rFonts w:hint="eastAsia" w:ascii="Times New Roman" w:hAnsi="Times New Roman" w:eastAsia="仿宋"/>
          <w:sz w:val="32"/>
          <w:szCs w:val="30"/>
        </w:rPr>
        <w:t>托管</w:t>
      </w:r>
      <w:r>
        <w:rPr>
          <w:rFonts w:ascii="Times New Roman" w:hAnsi="Times New Roman" w:eastAsia="仿宋"/>
          <w:sz w:val="32"/>
          <w:szCs w:val="30"/>
        </w:rPr>
        <w:t>券商</w:t>
      </w:r>
      <w:r>
        <w:rPr>
          <w:rFonts w:hint="eastAsia" w:ascii="Times New Roman" w:hAnsi="Times New Roman" w:eastAsia="仿宋"/>
          <w:sz w:val="32"/>
          <w:szCs w:val="30"/>
        </w:rPr>
        <w:t>退市可转债</w:t>
      </w:r>
      <w:r>
        <w:rPr>
          <w:rFonts w:ascii="Times New Roman" w:hAnsi="Times New Roman" w:eastAsia="仿宋"/>
          <w:sz w:val="32"/>
          <w:szCs w:val="30"/>
        </w:rPr>
        <w:t>转让申报的时间为每个交易日的9</w:t>
      </w:r>
      <w:r>
        <w:rPr>
          <w:rFonts w:hint="eastAsia" w:ascii="Times New Roman" w:hAnsi="Times New Roman" w:eastAsia="仿宋"/>
          <w:sz w:val="32"/>
          <w:szCs w:val="30"/>
        </w:rPr>
        <w:t>:</w:t>
      </w:r>
      <w:r>
        <w:rPr>
          <w:rFonts w:ascii="Times New Roman" w:hAnsi="Times New Roman" w:eastAsia="仿宋"/>
          <w:sz w:val="32"/>
          <w:szCs w:val="30"/>
        </w:rPr>
        <w:t>30至11</w:t>
      </w:r>
      <w:r>
        <w:rPr>
          <w:rFonts w:hint="eastAsia" w:ascii="Times New Roman" w:hAnsi="Times New Roman" w:eastAsia="仿宋"/>
          <w:sz w:val="32"/>
          <w:szCs w:val="30"/>
        </w:rPr>
        <w:t>:</w:t>
      </w:r>
      <w:r>
        <w:rPr>
          <w:rFonts w:ascii="Times New Roman" w:hAnsi="Times New Roman" w:eastAsia="仿宋"/>
          <w:sz w:val="32"/>
          <w:szCs w:val="30"/>
        </w:rPr>
        <w:t>30</w:t>
      </w:r>
      <w:r>
        <w:rPr>
          <w:rFonts w:hint="eastAsia" w:ascii="Times New Roman" w:hAnsi="Times New Roman" w:eastAsia="仿宋"/>
          <w:sz w:val="32"/>
          <w:szCs w:val="30"/>
        </w:rPr>
        <w:t>、</w:t>
      </w:r>
      <w:r>
        <w:rPr>
          <w:rFonts w:ascii="Times New Roman" w:hAnsi="Times New Roman" w:eastAsia="仿宋"/>
          <w:sz w:val="32"/>
          <w:szCs w:val="30"/>
        </w:rPr>
        <w:t>13</w:t>
      </w:r>
      <w:r>
        <w:rPr>
          <w:rFonts w:hint="eastAsia" w:ascii="Times New Roman" w:hAnsi="Times New Roman" w:eastAsia="仿宋"/>
          <w:sz w:val="32"/>
          <w:szCs w:val="30"/>
        </w:rPr>
        <w:t>:</w:t>
      </w:r>
      <w:r>
        <w:rPr>
          <w:rFonts w:ascii="Times New Roman" w:hAnsi="Times New Roman" w:eastAsia="仿宋"/>
          <w:sz w:val="32"/>
          <w:szCs w:val="30"/>
        </w:rPr>
        <w:t>00至15</w:t>
      </w:r>
      <w:r>
        <w:rPr>
          <w:rFonts w:hint="eastAsia" w:ascii="Times New Roman" w:hAnsi="Times New Roman" w:eastAsia="仿宋"/>
          <w:sz w:val="32"/>
          <w:szCs w:val="30"/>
        </w:rPr>
        <w:t>:</w:t>
      </w:r>
      <w:r>
        <w:rPr>
          <w:rFonts w:ascii="Times New Roman" w:hAnsi="Times New Roman" w:eastAsia="仿宋"/>
          <w:sz w:val="32"/>
          <w:szCs w:val="30"/>
        </w:rPr>
        <w:t>00，转让申报当日有效。</w:t>
      </w:r>
    </w:p>
    <w:p>
      <w:pPr>
        <w:snapToGrid w:val="0"/>
        <w:spacing w:line="600" w:lineRule="exact"/>
        <w:ind w:firstLine="642" w:firstLineChars="200"/>
        <w:rPr>
          <w:rFonts w:ascii="Times New Roman" w:hAnsi="Times New Roman" w:eastAsia="仿宋"/>
          <w:sz w:val="32"/>
          <w:szCs w:val="30"/>
        </w:rPr>
      </w:pPr>
      <w:r>
        <w:rPr>
          <w:rFonts w:ascii="Times New Roman" w:hAnsi="Times New Roman" w:eastAsia="仿宋"/>
          <w:b/>
          <w:sz w:val="32"/>
          <w:szCs w:val="30"/>
        </w:rPr>
        <w:t>第</w:t>
      </w:r>
      <w:r>
        <w:rPr>
          <w:rFonts w:hint="eastAsia" w:ascii="Times New Roman" w:hAnsi="Times New Roman" w:eastAsia="仿宋"/>
          <w:b/>
          <w:sz w:val="32"/>
          <w:szCs w:val="30"/>
        </w:rPr>
        <w:t>十三</w:t>
      </w:r>
      <w:r>
        <w:rPr>
          <w:rFonts w:ascii="Times New Roman" w:hAnsi="Times New Roman" w:eastAsia="仿宋"/>
          <w:b/>
          <w:sz w:val="32"/>
          <w:szCs w:val="30"/>
        </w:rPr>
        <w:t xml:space="preserve">条 </w:t>
      </w:r>
      <w:r>
        <w:rPr>
          <w:rFonts w:hint="eastAsia" w:ascii="Times New Roman" w:hAnsi="Times New Roman" w:eastAsia="仿宋"/>
          <w:sz w:val="32"/>
          <w:szCs w:val="30"/>
        </w:rPr>
        <w:t>托管</w:t>
      </w:r>
      <w:r>
        <w:rPr>
          <w:rFonts w:ascii="Times New Roman" w:hAnsi="Times New Roman" w:eastAsia="仿宋"/>
          <w:sz w:val="32"/>
          <w:szCs w:val="30"/>
        </w:rPr>
        <w:t>券商应按照接受投资者委托的时间先后顺序及时向全国股转</w:t>
      </w:r>
      <w:r>
        <w:rPr>
          <w:rFonts w:hint="eastAsia" w:ascii="Times New Roman" w:hAnsi="Times New Roman" w:eastAsia="仿宋"/>
          <w:sz w:val="32"/>
          <w:szCs w:val="30"/>
        </w:rPr>
        <w:t>公司</w:t>
      </w:r>
      <w:r>
        <w:rPr>
          <w:rFonts w:ascii="Times New Roman" w:hAnsi="Times New Roman" w:eastAsia="仿宋"/>
          <w:sz w:val="32"/>
          <w:szCs w:val="30"/>
        </w:rPr>
        <w:t>申报，并按有关规定妥善保管委托和申报记录。</w:t>
      </w:r>
    </w:p>
    <w:p>
      <w:pPr>
        <w:snapToGrid w:val="0"/>
        <w:spacing w:line="600" w:lineRule="exact"/>
        <w:ind w:firstLine="642" w:firstLineChars="200"/>
        <w:rPr>
          <w:rFonts w:ascii="Times New Roman" w:hAnsi="Times New Roman" w:eastAsia="仿宋"/>
          <w:sz w:val="32"/>
          <w:szCs w:val="30"/>
        </w:rPr>
      </w:pPr>
      <w:r>
        <w:rPr>
          <w:rFonts w:ascii="Times New Roman" w:hAnsi="Times New Roman" w:eastAsia="仿宋"/>
          <w:b/>
          <w:sz w:val="32"/>
          <w:szCs w:val="30"/>
        </w:rPr>
        <w:t>第</w:t>
      </w:r>
      <w:r>
        <w:rPr>
          <w:rFonts w:hint="eastAsia" w:ascii="Times New Roman" w:hAnsi="Times New Roman" w:eastAsia="仿宋"/>
          <w:b/>
          <w:sz w:val="32"/>
          <w:szCs w:val="30"/>
        </w:rPr>
        <w:t>十四</w:t>
      </w:r>
      <w:r>
        <w:rPr>
          <w:rFonts w:ascii="Times New Roman" w:hAnsi="Times New Roman" w:eastAsia="仿宋"/>
          <w:b/>
          <w:sz w:val="32"/>
          <w:szCs w:val="30"/>
        </w:rPr>
        <w:t xml:space="preserve">条 </w:t>
      </w:r>
      <w:r>
        <w:rPr>
          <w:rFonts w:ascii="Times New Roman" w:hAnsi="Times New Roman" w:eastAsia="仿宋"/>
          <w:sz w:val="32"/>
          <w:szCs w:val="30"/>
        </w:rPr>
        <w:t>全国股转</w:t>
      </w:r>
      <w:r>
        <w:rPr>
          <w:rFonts w:hint="eastAsia" w:ascii="Times New Roman" w:hAnsi="Times New Roman" w:eastAsia="仿宋"/>
          <w:sz w:val="32"/>
          <w:szCs w:val="30"/>
        </w:rPr>
        <w:t>公司</w:t>
      </w:r>
      <w:r>
        <w:rPr>
          <w:rFonts w:ascii="Times New Roman" w:hAnsi="Times New Roman" w:eastAsia="仿宋"/>
          <w:sz w:val="32"/>
          <w:szCs w:val="30"/>
        </w:rPr>
        <w:t>接受</w:t>
      </w:r>
      <w:r>
        <w:rPr>
          <w:rFonts w:hint="eastAsia" w:ascii="Times New Roman" w:hAnsi="Times New Roman" w:eastAsia="仿宋"/>
          <w:sz w:val="32"/>
          <w:szCs w:val="30"/>
        </w:rPr>
        <w:t>托管</w:t>
      </w:r>
      <w:r>
        <w:rPr>
          <w:rFonts w:ascii="Times New Roman" w:hAnsi="Times New Roman" w:eastAsia="仿宋"/>
          <w:sz w:val="32"/>
          <w:szCs w:val="30"/>
        </w:rPr>
        <w:t>券商的成交确认申报。</w:t>
      </w:r>
    </w:p>
    <w:p>
      <w:pPr>
        <w:snapToGrid w:val="0"/>
        <w:spacing w:line="600" w:lineRule="exact"/>
        <w:ind w:firstLine="640" w:firstLineChars="200"/>
        <w:rPr>
          <w:rFonts w:ascii="Times New Roman" w:hAnsi="Times New Roman" w:eastAsia="仿宋"/>
          <w:sz w:val="32"/>
          <w:szCs w:val="30"/>
        </w:rPr>
      </w:pPr>
      <w:r>
        <w:rPr>
          <w:rFonts w:ascii="Times New Roman" w:hAnsi="Times New Roman" w:eastAsia="仿宋"/>
          <w:sz w:val="32"/>
          <w:szCs w:val="30"/>
        </w:rPr>
        <w:t>成交确认申报应当包括：证券账户号码、证券代码、交易单元代码、证券营业部识别码、买卖方向、申报数量、申报价格、成交约定号</w:t>
      </w:r>
      <w:r>
        <w:rPr>
          <w:rFonts w:hint="eastAsia" w:ascii="Times New Roman" w:hAnsi="Times New Roman" w:eastAsia="仿宋"/>
          <w:sz w:val="32"/>
          <w:szCs w:val="30"/>
        </w:rPr>
        <w:t>、</w:t>
      </w:r>
      <w:r>
        <w:rPr>
          <w:rFonts w:ascii="Times New Roman" w:hAnsi="Times New Roman" w:eastAsia="仿宋"/>
          <w:sz w:val="32"/>
          <w:szCs w:val="30"/>
        </w:rPr>
        <w:t>对手方交易单元代码和对手方证券账户号码</w:t>
      </w:r>
      <w:r>
        <w:rPr>
          <w:rFonts w:hint="eastAsia" w:ascii="Times New Roman" w:hAnsi="Times New Roman" w:eastAsia="仿宋"/>
          <w:sz w:val="32"/>
          <w:szCs w:val="30"/>
        </w:rPr>
        <w:t>等内容。</w:t>
      </w:r>
    </w:p>
    <w:p>
      <w:pPr>
        <w:snapToGrid w:val="0"/>
        <w:spacing w:line="600" w:lineRule="exact"/>
        <w:ind w:firstLine="642"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b/>
          <w:sz w:val="32"/>
          <w:szCs w:val="30"/>
        </w:rPr>
        <w:t>第十</w:t>
      </w:r>
      <w:r>
        <w:rPr>
          <w:rFonts w:hint="eastAsia" w:ascii="Times New Roman" w:hAnsi="Times New Roman" w:eastAsia="仿宋"/>
          <w:b/>
          <w:sz w:val="32"/>
          <w:szCs w:val="30"/>
        </w:rPr>
        <w:t>五</w:t>
      </w:r>
      <w:r>
        <w:rPr>
          <w:rFonts w:ascii="Times New Roman" w:hAnsi="Times New Roman" w:eastAsia="仿宋"/>
          <w:b/>
          <w:sz w:val="32"/>
          <w:szCs w:val="30"/>
        </w:rPr>
        <w:t xml:space="preserve">条 </w:t>
      </w:r>
      <w:r>
        <w:rPr>
          <w:rFonts w:ascii="Times New Roman" w:hAnsi="Times New Roman" w:eastAsia="仿宋"/>
          <w:color w:val="000000" w:themeColor="text1"/>
          <w:sz w:val="32"/>
          <w:szCs w:val="32"/>
          <w14:textFill>
            <w14:solidFill>
              <w14:schemeClr w14:val="tx1"/>
            </w14:solidFill>
          </w14:textFill>
        </w:rPr>
        <w:t>每个交易日的9:30至11:30、13:00至15:00为</w:t>
      </w:r>
      <w:r>
        <w:rPr>
          <w:rFonts w:hint="eastAsia" w:ascii="Times New Roman" w:hAnsi="Times New Roman" w:eastAsia="仿宋"/>
          <w:color w:val="000000" w:themeColor="text1"/>
          <w:sz w:val="32"/>
          <w:szCs w:val="32"/>
          <w14:textFill>
            <w14:solidFill>
              <w14:schemeClr w14:val="tx1"/>
            </w14:solidFill>
          </w14:textFill>
        </w:rPr>
        <w:t>退市可转债</w:t>
      </w:r>
      <w:r>
        <w:rPr>
          <w:rFonts w:ascii="Times New Roman" w:hAnsi="Times New Roman" w:eastAsia="仿宋"/>
          <w:color w:val="000000" w:themeColor="text1"/>
          <w:sz w:val="32"/>
          <w:szCs w:val="32"/>
          <w14:textFill>
            <w14:solidFill>
              <w14:schemeClr w14:val="tx1"/>
            </w14:solidFill>
          </w14:textFill>
        </w:rPr>
        <w:t>转让的成交确认时间。</w:t>
      </w:r>
    </w:p>
    <w:p>
      <w:pPr>
        <w:snapToGrid w:val="0"/>
        <w:spacing w:line="600" w:lineRule="exact"/>
        <w:ind w:firstLine="642" w:firstLineChars="200"/>
        <w:rPr>
          <w:rFonts w:ascii="Times New Roman" w:hAnsi="Times New Roman" w:eastAsia="仿宋"/>
          <w:sz w:val="32"/>
          <w:szCs w:val="30"/>
        </w:rPr>
      </w:pPr>
      <w:r>
        <w:rPr>
          <w:rFonts w:ascii="Times New Roman" w:hAnsi="Times New Roman" w:eastAsia="仿宋"/>
          <w:b/>
          <w:sz w:val="32"/>
          <w:szCs w:val="30"/>
        </w:rPr>
        <w:t>第</w:t>
      </w:r>
      <w:r>
        <w:rPr>
          <w:rFonts w:hint="eastAsia" w:ascii="Times New Roman" w:hAnsi="Times New Roman" w:eastAsia="仿宋"/>
          <w:b/>
          <w:sz w:val="32"/>
          <w:szCs w:val="30"/>
        </w:rPr>
        <w:t>十六</w:t>
      </w:r>
      <w:r>
        <w:rPr>
          <w:rFonts w:ascii="Times New Roman" w:hAnsi="Times New Roman" w:eastAsia="仿宋"/>
          <w:b/>
          <w:sz w:val="32"/>
          <w:szCs w:val="30"/>
        </w:rPr>
        <w:t xml:space="preserve">条 </w:t>
      </w:r>
      <w:r>
        <w:rPr>
          <w:rFonts w:ascii="Times New Roman" w:hAnsi="Times New Roman" w:eastAsia="仿宋"/>
          <w:sz w:val="32"/>
          <w:szCs w:val="30"/>
        </w:rPr>
        <w:t>全国股转</w:t>
      </w:r>
      <w:r>
        <w:rPr>
          <w:rFonts w:hint="eastAsia" w:ascii="Times New Roman" w:hAnsi="Times New Roman" w:eastAsia="仿宋"/>
          <w:sz w:val="32"/>
          <w:szCs w:val="30"/>
        </w:rPr>
        <w:t>公司</w:t>
      </w:r>
      <w:r>
        <w:rPr>
          <w:rFonts w:ascii="Times New Roman" w:hAnsi="Times New Roman" w:eastAsia="仿宋"/>
          <w:sz w:val="32"/>
          <w:szCs w:val="30"/>
        </w:rPr>
        <w:t>对证券代码、申报价格和申报数量相同，买卖方向相反，指定对手方交易单元、证券账户号码相符及成交约定号一致的成交确认申报进行确认成交。</w:t>
      </w:r>
    </w:p>
    <w:p>
      <w:pPr>
        <w:snapToGrid w:val="0"/>
        <w:spacing w:line="600" w:lineRule="exact"/>
        <w:ind w:firstLine="642" w:firstLineChars="200"/>
        <w:rPr>
          <w:rFonts w:ascii="Times New Roman" w:hAnsi="Times New Roman" w:eastAsia="仿宋"/>
          <w:sz w:val="32"/>
          <w:szCs w:val="30"/>
        </w:rPr>
      </w:pPr>
      <w:r>
        <w:rPr>
          <w:rFonts w:ascii="Times New Roman" w:hAnsi="Times New Roman" w:eastAsia="仿宋"/>
          <w:b/>
          <w:sz w:val="32"/>
          <w:szCs w:val="30"/>
        </w:rPr>
        <w:t>第</w:t>
      </w:r>
      <w:r>
        <w:rPr>
          <w:rFonts w:hint="eastAsia" w:ascii="Times New Roman" w:hAnsi="Times New Roman" w:eastAsia="仿宋"/>
          <w:b/>
          <w:sz w:val="32"/>
          <w:szCs w:val="30"/>
        </w:rPr>
        <w:t>十七</w:t>
      </w:r>
      <w:r>
        <w:rPr>
          <w:rFonts w:ascii="Times New Roman" w:hAnsi="Times New Roman" w:eastAsia="仿宋"/>
          <w:b/>
          <w:sz w:val="32"/>
          <w:szCs w:val="30"/>
        </w:rPr>
        <w:t xml:space="preserve">条 </w:t>
      </w:r>
      <w:r>
        <w:rPr>
          <w:rFonts w:hint="eastAsia" w:ascii="Times New Roman" w:hAnsi="Times New Roman" w:eastAsia="仿宋"/>
          <w:sz w:val="32"/>
          <w:szCs w:val="30"/>
        </w:rPr>
        <w:t>托管</w:t>
      </w:r>
      <w:r>
        <w:rPr>
          <w:rFonts w:ascii="Times New Roman" w:hAnsi="Times New Roman" w:eastAsia="仿宋"/>
          <w:sz w:val="32"/>
          <w:szCs w:val="30"/>
        </w:rPr>
        <w:t>券商应保证参与</w:t>
      </w:r>
      <w:r>
        <w:rPr>
          <w:rFonts w:hint="eastAsia" w:ascii="Times New Roman" w:hAnsi="Times New Roman" w:eastAsia="仿宋"/>
          <w:sz w:val="32"/>
          <w:szCs w:val="30"/>
        </w:rPr>
        <w:t>退市可转债</w:t>
      </w:r>
      <w:r>
        <w:rPr>
          <w:rFonts w:ascii="Times New Roman" w:hAnsi="Times New Roman" w:eastAsia="仿宋"/>
          <w:sz w:val="32"/>
          <w:szCs w:val="30"/>
        </w:rPr>
        <w:t>转让的投资者账户具备与申报相对应的</w:t>
      </w:r>
      <w:r>
        <w:rPr>
          <w:rFonts w:hint="eastAsia" w:ascii="Times New Roman" w:hAnsi="Times New Roman" w:eastAsia="仿宋"/>
          <w:sz w:val="32"/>
          <w:szCs w:val="30"/>
        </w:rPr>
        <w:t>退市可转债</w:t>
      </w:r>
      <w:r>
        <w:rPr>
          <w:rFonts w:ascii="Times New Roman" w:hAnsi="Times New Roman" w:eastAsia="仿宋"/>
          <w:sz w:val="32"/>
          <w:szCs w:val="30"/>
        </w:rPr>
        <w:t>或资金。</w:t>
      </w:r>
    </w:p>
    <w:p>
      <w:pPr>
        <w:snapToGrid w:val="0"/>
        <w:spacing w:line="600" w:lineRule="exact"/>
        <w:ind w:firstLine="640" w:firstLineChars="200"/>
        <w:rPr>
          <w:rFonts w:ascii="Times New Roman" w:hAnsi="Times New Roman" w:eastAsia="仿宋"/>
          <w:sz w:val="32"/>
          <w:szCs w:val="30"/>
        </w:rPr>
      </w:pPr>
      <w:r>
        <w:rPr>
          <w:rFonts w:ascii="Times New Roman" w:hAnsi="Times New Roman" w:eastAsia="仿宋"/>
          <w:sz w:val="32"/>
          <w:szCs w:val="30"/>
        </w:rPr>
        <w:t>持有或者租用全国股转系统交易单元的机构参与</w:t>
      </w:r>
      <w:r>
        <w:rPr>
          <w:rFonts w:hint="eastAsia" w:ascii="Times New Roman" w:hAnsi="Times New Roman" w:eastAsia="仿宋"/>
          <w:sz w:val="32"/>
          <w:szCs w:val="30"/>
        </w:rPr>
        <w:t>退市可转债</w:t>
      </w:r>
      <w:r>
        <w:rPr>
          <w:rFonts w:ascii="Times New Roman" w:hAnsi="Times New Roman" w:eastAsia="仿宋"/>
          <w:sz w:val="32"/>
          <w:szCs w:val="30"/>
        </w:rPr>
        <w:t>转让，应当通过持有或者租用的交易单元申报，并确保具备与申报相对应的</w:t>
      </w:r>
      <w:r>
        <w:rPr>
          <w:rFonts w:hint="eastAsia" w:ascii="Times New Roman" w:hAnsi="Times New Roman" w:eastAsia="仿宋"/>
          <w:sz w:val="32"/>
          <w:szCs w:val="30"/>
        </w:rPr>
        <w:t>退市可转债</w:t>
      </w:r>
      <w:r>
        <w:rPr>
          <w:rFonts w:ascii="Times New Roman" w:hAnsi="Times New Roman" w:eastAsia="仿宋"/>
          <w:sz w:val="32"/>
          <w:szCs w:val="30"/>
        </w:rPr>
        <w:t>或资金。</w:t>
      </w:r>
    </w:p>
    <w:p>
      <w:pPr>
        <w:snapToGrid w:val="0"/>
        <w:spacing w:line="600" w:lineRule="exact"/>
        <w:ind w:firstLine="640" w:firstLineChars="200"/>
        <w:rPr>
          <w:rFonts w:ascii="Times New Roman" w:hAnsi="Times New Roman" w:eastAsia="仿宋"/>
          <w:sz w:val="32"/>
          <w:szCs w:val="30"/>
        </w:rPr>
      </w:pPr>
      <w:r>
        <w:rPr>
          <w:rFonts w:ascii="Times New Roman" w:hAnsi="Times New Roman" w:eastAsia="仿宋"/>
          <w:sz w:val="32"/>
          <w:szCs w:val="30"/>
        </w:rPr>
        <w:t>被撤销或失效的委托，</w:t>
      </w:r>
      <w:r>
        <w:rPr>
          <w:rFonts w:hint="eastAsia" w:ascii="Times New Roman" w:hAnsi="Times New Roman" w:eastAsia="仿宋"/>
          <w:sz w:val="32"/>
          <w:szCs w:val="30"/>
        </w:rPr>
        <w:t>托管</w:t>
      </w:r>
      <w:r>
        <w:rPr>
          <w:rFonts w:ascii="Times New Roman" w:hAnsi="Times New Roman" w:eastAsia="仿宋"/>
          <w:sz w:val="32"/>
          <w:szCs w:val="30"/>
        </w:rPr>
        <w:t>券商应当在确认后及时向投资者返还相应的资金或</w:t>
      </w:r>
      <w:r>
        <w:rPr>
          <w:rFonts w:hint="eastAsia" w:ascii="Times New Roman" w:hAnsi="Times New Roman" w:eastAsia="仿宋"/>
          <w:sz w:val="32"/>
          <w:szCs w:val="30"/>
        </w:rPr>
        <w:t>退市可转债</w:t>
      </w:r>
      <w:r>
        <w:rPr>
          <w:rFonts w:ascii="Times New Roman" w:hAnsi="Times New Roman" w:eastAsia="仿宋"/>
          <w:sz w:val="32"/>
          <w:szCs w:val="30"/>
        </w:rPr>
        <w:t>。</w:t>
      </w:r>
    </w:p>
    <w:p>
      <w:pPr>
        <w:snapToGrid w:val="0"/>
        <w:spacing w:line="600" w:lineRule="exact"/>
        <w:ind w:firstLine="642" w:firstLineChars="200"/>
        <w:rPr>
          <w:rFonts w:ascii="Times New Roman" w:hAnsi="Times New Roman" w:eastAsia="仿宋"/>
          <w:sz w:val="32"/>
          <w:szCs w:val="30"/>
        </w:rPr>
      </w:pPr>
      <w:r>
        <w:rPr>
          <w:rFonts w:ascii="Times New Roman" w:hAnsi="Times New Roman" w:eastAsia="仿宋"/>
          <w:b/>
          <w:sz w:val="32"/>
          <w:szCs w:val="30"/>
        </w:rPr>
        <w:t>第</w:t>
      </w:r>
      <w:r>
        <w:rPr>
          <w:rFonts w:hint="eastAsia" w:ascii="Times New Roman" w:hAnsi="Times New Roman" w:eastAsia="仿宋"/>
          <w:b/>
          <w:sz w:val="32"/>
          <w:szCs w:val="30"/>
        </w:rPr>
        <w:t>十八</w:t>
      </w:r>
      <w:r>
        <w:rPr>
          <w:rFonts w:ascii="Times New Roman" w:hAnsi="Times New Roman" w:eastAsia="仿宋"/>
          <w:b/>
          <w:sz w:val="32"/>
          <w:szCs w:val="30"/>
        </w:rPr>
        <w:t xml:space="preserve">条 </w:t>
      </w:r>
      <w:r>
        <w:rPr>
          <w:rFonts w:ascii="Times New Roman" w:hAnsi="Times New Roman" w:eastAsia="仿宋"/>
          <w:sz w:val="32"/>
          <w:szCs w:val="30"/>
        </w:rPr>
        <w:t>按照本规定达成的转让，买卖双方必须承认转让结果，履行清算交收义务。</w:t>
      </w:r>
    </w:p>
    <w:p>
      <w:pPr>
        <w:snapToGrid w:val="0"/>
        <w:spacing w:line="600" w:lineRule="exact"/>
        <w:ind w:firstLine="642" w:firstLineChars="200"/>
        <w:rPr>
          <w:rFonts w:ascii="Times New Roman" w:hAnsi="Times New Roman" w:eastAsia="仿宋"/>
          <w:sz w:val="32"/>
          <w:szCs w:val="30"/>
        </w:rPr>
      </w:pPr>
      <w:r>
        <w:rPr>
          <w:rFonts w:ascii="Times New Roman" w:hAnsi="Times New Roman" w:eastAsia="仿宋"/>
          <w:b/>
          <w:sz w:val="32"/>
          <w:szCs w:val="30"/>
        </w:rPr>
        <w:t>第</w:t>
      </w:r>
      <w:r>
        <w:rPr>
          <w:rFonts w:hint="eastAsia" w:ascii="Times New Roman" w:hAnsi="Times New Roman" w:eastAsia="仿宋"/>
          <w:b/>
          <w:sz w:val="32"/>
          <w:szCs w:val="30"/>
        </w:rPr>
        <w:t>十九</w:t>
      </w:r>
      <w:r>
        <w:rPr>
          <w:rFonts w:ascii="Times New Roman" w:hAnsi="Times New Roman" w:eastAsia="仿宋"/>
          <w:b/>
          <w:sz w:val="32"/>
          <w:szCs w:val="30"/>
        </w:rPr>
        <w:t xml:space="preserve">条 </w:t>
      </w:r>
      <w:r>
        <w:rPr>
          <w:rFonts w:ascii="Times New Roman" w:hAnsi="Times New Roman" w:eastAsia="仿宋"/>
          <w:sz w:val="32"/>
          <w:szCs w:val="30"/>
        </w:rPr>
        <w:t>收盘价为当日该</w:t>
      </w:r>
      <w:r>
        <w:rPr>
          <w:rFonts w:hint="eastAsia" w:ascii="Times New Roman" w:hAnsi="Times New Roman" w:eastAsia="仿宋"/>
          <w:sz w:val="32"/>
          <w:szCs w:val="30"/>
        </w:rPr>
        <w:t>退市可转债</w:t>
      </w:r>
      <w:r>
        <w:rPr>
          <w:rFonts w:ascii="Times New Roman" w:hAnsi="Times New Roman" w:eastAsia="仿宋"/>
          <w:sz w:val="32"/>
          <w:szCs w:val="30"/>
        </w:rPr>
        <w:t>所有转让的成交量加权平均价；当日无成交的，以前收盘价为当日收盘价。</w:t>
      </w:r>
      <w:r>
        <w:rPr>
          <w:rFonts w:hint="eastAsia" w:ascii="Times New Roman" w:hAnsi="Times New Roman" w:eastAsia="仿宋"/>
          <w:sz w:val="32"/>
          <w:szCs w:val="30"/>
        </w:rPr>
        <w:t>退市可转债</w:t>
      </w:r>
      <w:r>
        <w:rPr>
          <w:rFonts w:ascii="Times New Roman" w:hAnsi="Times New Roman" w:eastAsia="仿宋"/>
          <w:sz w:val="32"/>
          <w:szCs w:val="30"/>
        </w:rPr>
        <w:t>挂牌首日，以</w:t>
      </w:r>
      <w:r>
        <w:rPr>
          <w:rFonts w:hint="eastAsia" w:ascii="Times New Roman" w:hAnsi="Times New Roman" w:eastAsia="仿宋"/>
          <w:sz w:val="32"/>
          <w:szCs w:val="30"/>
        </w:rPr>
        <w:t>退市可转债在交易所最后一个交易日的收盘价为前收盘价。</w:t>
      </w:r>
    </w:p>
    <w:p>
      <w:pPr>
        <w:snapToGrid w:val="0"/>
        <w:spacing w:line="600" w:lineRule="exact"/>
        <w:ind w:firstLine="642" w:firstLineChars="200"/>
        <w:rPr>
          <w:rFonts w:ascii="Times New Roman" w:hAnsi="Times New Roman" w:eastAsia="仿宋"/>
          <w:sz w:val="32"/>
          <w:szCs w:val="30"/>
        </w:rPr>
      </w:pPr>
      <w:r>
        <w:rPr>
          <w:rFonts w:ascii="Times New Roman" w:hAnsi="Times New Roman" w:eastAsia="仿宋"/>
          <w:b/>
          <w:sz w:val="32"/>
          <w:szCs w:val="30"/>
        </w:rPr>
        <w:t>第</w:t>
      </w:r>
      <w:r>
        <w:rPr>
          <w:rFonts w:hint="eastAsia" w:ascii="Times New Roman" w:hAnsi="Times New Roman" w:eastAsia="仿宋"/>
          <w:b/>
          <w:sz w:val="32"/>
          <w:szCs w:val="30"/>
        </w:rPr>
        <w:t>二十</w:t>
      </w:r>
      <w:r>
        <w:rPr>
          <w:rFonts w:ascii="Times New Roman" w:hAnsi="Times New Roman" w:eastAsia="仿宋"/>
          <w:b/>
          <w:sz w:val="32"/>
          <w:szCs w:val="30"/>
        </w:rPr>
        <w:t xml:space="preserve">条 </w:t>
      </w:r>
      <w:r>
        <w:rPr>
          <w:rFonts w:hint="eastAsia" w:ascii="Times New Roman" w:hAnsi="Times New Roman" w:eastAsia="仿宋"/>
          <w:sz w:val="32"/>
          <w:szCs w:val="30"/>
        </w:rPr>
        <w:t>退市可转债</w:t>
      </w:r>
      <w:r>
        <w:rPr>
          <w:rFonts w:ascii="Times New Roman" w:hAnsi="Times New Roman" w:eastAsia="仿宋"/>
          <w:sz w:val="32"/>
          <w:szCs w:val="30"/>
        </w:rPr>
        <w:t>发生付息时，全国股转</w:t>
      </w:r>
      <w:r>
        <w:rPr>
          <w:rFonts w:hint="eastAsia" w:ascii="Times New Roman" w:hAnsi="Times New Roman" w:eastAsia="仿宋"/>
          <w:sz w:val="32"/>
          <w:szCs w:val="30"/>
        </w:rPr>
        <w:t>公司</w:t>
      </w:r>
      <w:r>
        <w:rPr>
          <w:rFonts w:ascii="Times New Roman" w:hAnsi="Times New Roman" w:eastAsia="仿宋"/>
          <w:sz w:val="32"/>
          <w:szCs w:val="30"/>
        </w:rPr>
        <w:t>在债权登记日的次一交易日对该</w:t>
      </w:r>
      <w:r>
        <w:rPr>
          <w:rFonts w:hint="eastAsia" w:ascii="Times New Roman" w:hAnsi="Times New Roman" w:eastAsia="仿宋"/>
          <w:sz w:val="32"/>
          <w:szCs w:val="30"/>
        </w:rPr>
        <w:t>退市可转债</w:t>
      </w:r>
      <w:r>
        <w:rPr>
          <w:rFonts w:ascii="Times New Roman" w:hAnsi="Times New Roman" w:eastAsia="仿宋"/>
          <w:sz w:val="32"/>
          <w:szCs w:val="30"/>
        </w:rPr>
        <w:t>进行除息处理。除息参考价计算公式为：除息参考价</w:t>
      </w:r>
      <w:r>
        <w:rPr>
          <w:rFonts w:hint="eastAsia" w:ascii="Times New Roman" w:hAnsi="Times New Roman" w:eastAsia="仿宋"/>
          <w:sz w:val="32"/>
          <w:szCs w:val="30"/>
        </w:rPr>
        <w:t>＝</w:t>
      </w:r>
      <w:r>
        <w:rPr>
          <w:rFonts w:ascii="Times New Roman" w:hAnsi="Times New Roman" w:eastAsia="仿宋"/>
          <w:sz w:val="32"/>
          <w:szCs w:val="30"/>
        </w:rPr>
        <w:t>前收盘价</w:t>
      </w:r>
      <w:r>
        <w:rPr>
          <w:rFonts w:hint="eastAsia" w:ascii="Times New Roman" w:hAnsi="Times New Roman" w:eastAsia="仿宋"/>
          <w:sz w:val="32"/>
          <w:szCs w:val="30"/>
        </w:rPr>
        <w:t>－</w:t>
      </w:r>
      <w:r>
        <w:rPr>
          <w:rFonts w:ascii="Times New Roman" w:hAnsi="Times New Roman" w:eastAsia="仿宋"/>
          <w:sz w:val="32"/>
          <w:szCs w:val="30"/>
        </w:rPr>
        <w:t>应付利息。</w:t>
      </w:r>
    </w:p>
    <w:p>
      <w:pPr>
        <w:snapToGrid w:val="0"/>
        <w:spacing w:line="600" w:lineRule="exact"/>
        <w:ind w:firstLine="640" w:firstLineChars="200"/>
        <w:rPr>
          <w:rFonts w:ascii="Times New Roman" w:hAnsi="Times New Roman" w:eastAsia="仿宋"/>
          <w:sz w:val="32"/>
          <w:szCs w:val="30"/>
        </w:rPr>
      </w:pPr>
      <w:r>
        <w:rPr>
          <w:rFonts w:hint="eastAsia" w:ascii="Times New Roman" w:hAnsi="Times New Roman" w:eastAsia="仿宋"/>
          <w:sz w:val="32"/>
          <w:szCs w:val="30"/>
        </w:rPr>
        <w:t>退市可转债</w:t>
      </w:r>
      <w:r>
        <w:rPr>
          <w:rFonts w:ascii="Times New Roman" w:hAnsi="Times New Roman" w:eastAsia="仿宋"/>
          <w:sz w:val="32"/>
          <w:szCs w:val="30"/>
        </w:rPr>
        <w:t>的除息处理独立于普通股进行，并单独公布相应的除息参考价。</w:t>
      </w:r>
    </w:p>
    <w:p>
      <w:pPr>
        <w:snapToGrid w:val="0"/>
        <w:spacing w:line="600" w:lineRule="exact"/>
        <w:ind w:firstLine="642" w:firstLineChars="200"/>
        <w:rPr>
          <w:rFonts w:ascii="Times New Roman" w:hAnsi="Times New Roman" w:eastAsia="仿宋"/>
          <w:sz w:val="32"/>
          <w:szCs w:val="30"/>
        </w:rPr>
      </w:pPr>
      <w:r>
        <w:rPr>
          <w:rFonts w:ascii="Times New Roman" w:hAnsi="Times New Roman" w:eastAsia="仿宋"/>
          <w:b/>
          <w:sz w:val="32"/>
          <w:szCs w:val="30"/>
        </w:rPr>
        <w:t>第</w:t>
      </w:r>
      <w:r>
        <w:rPr>
          <w:rFonts w:hint="eastAsia" w:ascii="Times New Roman" w:hAnsi="Times New Roman" w:eastAsia="仿宋"/>
          <w:b/>
          <w:sz w:val="32"/>
          <w:szCs w:val="30"/>
        </w:rPr>
        <w:t>二</w:t>
      </w:r>
      <w:r>
        <w:rPr>
          <w:rFonts w:ascii="Times New Roman" w:hAnsi="Times New Roman" w:eastAsia="仿宋"/>
          <w:b/>
          <w:sz w:val="32"/>
          <w:szCs w:val="30"/>
        </w:rPr>
        <w:t>十</w:t>
      </w:r>
      <w:r>
        <w:rPr>
          <w:rFonts w:hint="eastAsia" w:ascii="Times New Roman" w:hAnsi="Times New Roman" w:eastAsia="仿宋"/>
          <w:b/>
          <w:sz w:val="32"/>
          <w:szCs w:val="30"/>
        </w:rPr>
        <w:t>一</w:t>
      </w:r>
      <w:r>
        <w:rPr>
          <w:rFonts w:ascii="Times New Roman" w:hAnsi="Times New Roman" w:eastAsia="仿宋"/>
          <w:b/>
          <w:sz w:val="32"/>
          <w:szCs w:val="30"/>
        </w:rPr>
        <w:t xml:space="preserve">条 </w:t>
      </w:r>
      <w:r>
        <w:rPr>
          <w:rFonts w:hint="eastAsia" w:ascii="Times New Roman" w:hAnsi="Times New Roman" w:eastAsia="仿宋"/>
          <w:bCs/>
          <w:sz w:val="32"/>
          <w:szCs w:val="30"/>
        </w:rPr>
        <w:t>退市</w:t>
      </w:r>
      <w:r>
        <w:rPr>
          <w:rFonts w:ascii="Times New Roman" w:hAnsi="Times New Roman" w:eastAsia="仿宋"/>
          <w:sz w:val="32"/>
          <w:szCs w:val="30"/>
        </w:rPr>
        <w:t>公司的普通股</w:t>
      </w:r>
      <w:r>
        <w:rPr>
          <w:rFonts w:hint="eastAsia" w:ascii="Times New Roman" w:hAnsi="Times New Roman" w:eastAsia="仿宋"/>
          <w:sz w:val="32"/>
          <w:szCs w:val="30"/>
        </w:rPr>
        <w:t>暂停</w:t>
      </w:r>
      <w:r>
        <w:rPr>
          <w:rFonts w:ascii="Times New Roman" w:hAnsi="Times New Roman" w:eastAsia="仿宋"/>
          <w:sz w:val="32"/>
          <w:szCs w:val="30"/>
        </w:rPr>
        <w:t>、</w:t>
      </w:r>
      <w:r>
        <w:rPr>
          <w:rFonts w:hint="eastAsia" w:ascii="Times New Roman" w:hAnsi="Times New Roman" w:eastAsia="仿宋"/>
          <w:sz w:val="32"/>
          <w:szCs w:val="30"/>
        </w:rPr>
        <w:t>恢复转让</w:t>
      </w:r>
      <w:r>
        <w:rPr>
          <w:rFonts w:ascii="Times New Roman" w:hAnsi="Times New Roman" w:eastAsia="仿宋"/>
          <w:sz w:val="32"/>
          <w:szCs w:val="30"/>
        </w:rPr>
        <w:t>的，其</w:t>
      </w:r>
      <w:r>
        <w:rPr>
          <w:rFonts w:hint="eastAsia" w:ascii="Times New Roman" w:hAnsi="Times New Roman" w:eastAsia="仿宋"/>
          <w:sz w:val="32"/>
          <w:szCs w:val="30"/>
        </w:rPr>
        <w:t>退市可转债</w:t>
      </w:r>
      <w:r>
        <w:rPr>
          <w:rFonts w:ascii="Times New Roman" w:hAnsi="Times New Roman" w:eastAsia="仿宋"/>
          <w:sz w:val="32"/>
          <w:szCs w:val="30"/>
        </w:rPr>
        <w:t>应当同时暂停、恢复转让</w:t>
      </w:r>
      <w:r>
        <w:rPr>
          <w:rFonts w:hint="eastAsia" w:ascii="Times New Roman" w:hAnsi="Times New Roman" w:eastAsia="仿宋"/>
          <w:sz w:val="32"/>
          <w:szCs w:val="30"/>
        </w:rPr>
        <w:t>并暂停或者恢复转股</w:t>
      </w:r>
      <w:r>
        <w:rPr>
          <w:rFonts w:ascii="Times New Roman" w:hAnsi="Times New Roman" w:eastAsia="仿宋"/>
          <w:sz w:val="32"/>
          <w:szCs w:val="30"/>
        </w:rPr>
        <w:t>，但因特殊原因</w:t>
      </w:r>
      <w:r>
        <w:rPr>
          <w:rFonts w:hint="eastAsia" w:ascii="Times New Roman" w:hAnsi="Times New Roman" w:eastAsia="仿宋"/>
          <w:sz w:val="32"/>
          <w:szCs w:val="30"/>
        </w:rPr>
        <w:t>退市可转债</w:t>
      </w:r>
      <w:r>
        <w:rPr>
          <w:rFonts w:ascii="Times New Roman" w:hAnsi="Times New Roman" w:eastAsia="仿宋"/>
          <w:sz w:val="32"/>
          <w:szCs w:val="30"/>
        </w:rPr>
        <w:t>需单独暂停、恢复转让的除外。</w:t>
      </w:r>
    </w:p>
    <w:p>
      <w:pPr>
        <w:snapToGrid w:val="0"/>
        <w:spacing w:line="600" w:lineRule="exact"/>
        <w:ind w:firstLine="642" w:firstLineChars="200"/>
        <w:rPr>
          <w:rFonts w:ascii="Times New Roman" w:hAnsi="Times New Roman" w:eastAsia="仿宋"/>
          <w:sz w:val="32"/>
          <w:szCs w:val="30"/>
        </w:rPr>
      </w:pPr>
      <w:r>
        <w:rPr>
          <w:rFonts w:ascii="Times New Roman" w:hAnsi="Times New Roman" w:eastAsia="仿宋"/>
          <w:b/>
          <w:sz w:val="32"/>
          <w:szCs w:val="30"/>
        </w:rPr>
        <w:t>第</w:t>
      </w:r>
      <w:r>
        <w:rPr>
          <w:rFonts w:hint="eastAsia" w:ascii="Times New Roman" w:hAnsi="Times New Roman" w:eastAsia="仿宋"/>
          <w:b/>
          <w:sz w:val="32"/>
          <w:szCs w:val="30"/>
        </w:rPr>
        <w:t>二</w:t>
      </w:r>
      <w:r>
        <w:rPr>
          <w:rFonts w:ascii="Times New Roman" w:hAnsi="Times New Roman" w:eastAsia="仿宋"/>
          <w:b/>
          <w:sz w:val="32"/>
          <w:szCs w:val="30"/>
        </w:rPr>
        <w:t>十</w:t>
      </w:r>
      <w:r>
        <w:rPr>
          <w:rFonts w:hint="eastAsia" w:ascii="Times New Roman" w:hAnsi="Times New Roman" w:eastAsia="仿宋"/>
          <w:b/>
          <w:sz w:val="32"/>
          <w:szCs w:val="30"/>
        </w:rPr>
        <w:t>二</w:t>
      </w:r>
      <w:r>
        <w:rPr>
          <w:rFonts w:ascii="Times New Roman" w:hAnsi="Times New Roman" w:eastAsia="仿宋"/>
          <w:b/>
          <w:sz w:val="32"/>
          <w:szCs w:val="30"/>
        </w:rPr>
        <w:t xml:space="preserve">条 </w:t>
      </w:r>
      <w:r>
        <w:rPr>
          <w:rFonts w:hint="eastAsia" w:ascii="Times New Roman" w:hAnsi="Times New Roman" w:eastAsia="仿宋"/>
          <w:sz w:val="32"/>
          <w:szCs w:val="30"/>
        </w:rPr>
        <w:t>退市可转债</w:t>
      </w:r>
      <w:r>
        <w:rPr>
          <w:rFonts w:ascii="Times New Roman" w:hAnsi="Times New Roman" w:eastAsia="仿宋"/>
          <w:sz w:val="32"/>
          <w:szCs w:val="30"/>
        </w:rPr>
        <w:t>出现以下情形之一的，全国股转公司暂停</w:t>
      </w:r>
      <w:r>
        <w:rPr>
          <w:rFonts w:hint="eastAsia" w:ascii="Times New Roman" w:hAnsi="Times New Roman" w:eastAsia="仿宋"/>
          <w:sz w:val="32"/>
          <w:szCs w:val="30"/>
        </w:rPr>
        <w:t>退市可转债</w:t>
      </w:r>
      <w:r>
        <w:rPr>
          <w:rFonts w:ascii="Times New Roman" w:hAnsi="Times New Roman" w:eastAsia="仿宋"/>
          <w:sz w:val="32"/>
          <w:szCs w:val="30"/>
        </w:rPr>
        <w:t>的转让：</w:t>
      </w:r>
    </w:p>
    <w:p>
      <w:pPr>
        <w:snapToGrid w:val="0"/>
        <w:spacing w:line="600" w:lineRule="exact"/>
        <w:ind w:firstLine="640" w:firstLineChars="200"/>
        <w:rPr>
          <w:rFonts w:ascii="Times New Roman" w:hAnsi="Times New Roman" w:eastAsia="仿宋"/>
          <w:sz w:val="32"/>
          <w:szCs w:val="30"/>
        </w:rPr>
      </w:pPr>
      <w:r>
        <w:rPr>
          <w:rFonts w:ascii="Times New Roman" w:hAnsi="Times New Roman" w:eastAsia="仿宋"/>
          <w:sz w:val="32"/>
          <w:szCs w:val="30"/>
        </w:rPr>
        <w:t>（一）转股期结束前10个交易日</w:t>
      </w:r>
      <w:r>
        <w:rPr>
          <w:rFonts w:hint="eastAsia" w:ascii="Times New Roman" w:hAnsi="Times New Roman" w:eastAsia="仿宋"/>
          <w:sz w:val="32"/>
          <w:szCs w:val="30"/>
        </w:rPr>
        <w:t>；</w:t>
      </w:r>
    </w:p>
    <w:p>
      <w:pPr>
        <w:snapToGrid w:val="0"/>
        <w:spacing w:line="600" w:lineRule="exact"/>
        <w:ind w:firstLine="640" w:firstLineChars="200"/>
        <w:rPr>
          <w:rFonts w:ascii="Times New Roman" w:hAnsi="Times New Roman" w:eastAsia="仿宋"/>
          <w:sz w:val="32"/>
          <w:szCs w:val="30"/>
        </w:rPr>
      </w:pPr>
      <w:r>
        <w:rPr>
          <w:rFonts w:ascii="Times New Roman" w:hAnsi="Times New Roman" w:eastAsia="仿宋"/>
          <w:sz w:val="32"/>
          <w:szCs w:val="30"/>
        </w:rPr>
        <w:t>（二）赎回期间；</w:t>
      </w:r>
    </w:p>
    <w:p>
      <w:pPr>
        <w:snapToGrid w:val="0"/>
        <w:spacing w:line="600" w:lineRule="exact"/>
        <w:ind w:firstLine="640" w:firstLineChars="200"/>
        <w:rPr>
          <w:rFonts w:ascii="Times New Roman" w:hAnsi="Times New Roman" w:eastAsia="仿宋"/>
          <w:sz w:val="32"/>
          <w:szCs w:val="30"/>
        </w:rPr>
      </w:pPr>
      <w:r>
        <w:rPr>
          <w:rFonts w:ascii="Times New Roman" w:hAnsi="Times New Roman" w:eastAsia="仿宋"/>
          <w:sz w:val="32"/>
          <w:szCs w:val="30"/>
        </w:rPr>
        <w:t>（三）中国证监会和全国股转公司认为必须暂停转让的其他情况。</w:t>
      </w:r>
    </w:p>
    <w:p>
      <w:pPr>
        <w:snapToGrid w:val="0"/>
        <w:spacing w:line="600" w:lineRule="exact"/>
        <w:ind w:firstLine="640" w:firstLineChars="200"/>
        <w:rPr>
          <w:rFonts w:ascii="Times New Roman" w:hAnsi="Times New Roman" w:eastAsia="仿宋"/>
          <w:sz w:val="32"/>
          <w:szCs w:val="30"/>
        </w:rPr>
      </w:pPr>
      <w:r>
        <w:rPr>
          <w:rFonts w:ascii="Times New Roman" w:hAnsi="Times New Roman" w:eastAsia="仿宋"/>
          <w:sz w:val="32"/>
          <w:szCs w:val="30"/>
        </w:rPr>
        <w:t>暂停转让期间，转股、赎回、回售、付息、到期兑付等事项仍按照约定的时间及方式进行。</w:t>
      </w:r>
    </w:p>
    <w:p>
      <w:pPr>
        <w:snapToGrid w:val="0"/>
        <w:spacing w:line="600" w:lineRule="exact"/>
        <w:ind w:firstLine="642" w:firstLineChars="200"/>
        <w:rPr>
          <w:rFonts w:ascii="Times New Roman" w:hAnsi="Times New Roman" w:eastAsia="仿宋"/>
          <w:sz w:val="32"/>
          <w:szCs w:val="30"/>
        </w:rPr>
      </w:pPr>
      <w:r>
        <w:rPr>
          <w:rFonts w:ascii="Times New Roman" w:hAnsi="Times New Roman" w:eastAsia="仿宋"/>
          <w:b/>
          <w:sz w:val="32"/>
          <w:szCs w:val="30"/>
        </w:rPr>
        <w:t>第</w:t>
      </w:r>
      <w:r>
        <w:rPr>
          <w:rFonts w:hint="eastAsia" w:ascii="Times New Roman" w:hAnsi="Times New Roman" w:eastAsia="仿宋"/>
          <w:b/>
          <w:sz w:val="32"/>
          <w:szCs w:val="30"/>
        </w:rPr>
        <w:t>二</w:t>
      </w:r>
      <w:r>
        <w:rPr>
          <w:rFonts w:ascii="Times New Roman" w:hAnsi="Times New Roman" w:eastAsia="仿宋"/>
          <w:b/>
          <w:sz w:val="32"/>
          <w:szCs w:val="30"/>
        </w:rPr>
        <w:t>十</w:t>
      </w:r>
      <w:r>
        <w:rPr>
          <w:rFonts w:hint="eastAsia" w:ascii="Times New Roman" w:hAnsi="Times New Roman" w:eastAsia="仿宋"/>
          <w:b/>
          <w:sz w:val="32"/>
          <w:szCs w:val="30"/>
        </w:rPr>
        <w:t>三</w:t>
      </w:r>
      <w:r>
        <w:rPr>
          <w:rFonts w:ascii="Times New Roman" w:hAnsi="Times New Roman" w:eastAsia="仿宋"/>
          <w:b/>
          <w:sz w:val="32"/>
          <w:szCs w:val="30"/>
        </w:rPr>
        <w:t xml:space="preserve">条 </w:t>
      </w:r>
      <w:r>
        <w:rPr>
          <w:rFonts w:ascii="Times New Roman" w:hAnsi="Times New Roman" w:eastAsia="仿宋"/>
          <w:sz w:val="32"/>
          <w:szCs w:val="30"/>
        </w:rPr>
        <w:t>全国股转</w:t>
      </w:r>
      <w:r>
        <w:rPr>
          <w:rFonts w:hint="eastAsia" w:ascii="Times New Roman" w:hAnsi="Times New Roman" w:eastAsia="仿宋"/>
          <w:sz w:val="32"/>
          <w:szCs w:val="30"/>
        </w:rPr>
        <w:t>公司</w:t>
      </w:r>
      <w:r>
        <w:rPr>
          <w:rFonts w:ascii="Times New Roman" w:hAnsi="Times New Roman" w:eastAsia="仿宋"/>
          <w:sz w:val="32"/>
          <w:szCs w:val="30"/>
        </w:rPr>
        <w:t>向</w:t>
      </w:r>
      <w:r>
        <w:rPr>
          <w:rFonts w:hint="eastAsia" w:ascii="Times New Roman" w:hAnsi="Times New Roman" w:eastAsia="仿宋"/>
          <w:sz w:val="32"/>
          <w:szCs w:val="30"/>
        </w:rPr>
        <w:t>托管</w:t>
      </w:r>
      <w:r>
        <w:rPr>
          <w:rFonts w:ascii="Times New Roman" w:hAnsi="Times New Roman" w:eastAsia="仿宋"/>
          <w:sz w:val="32"/>
          <w:szCs w:val="30"/>
        </w:rPr>
        <w:t>券商</w:t>
      </w:r>
      <w:r>
        <w:rPr>
          <w:rFonts w:hint="eastAsia" w:ascii="Times New Roman" w:hAnsi="Times New Roman" w:eastAsia="仿宋"/>
          <w:sz w:val="32"/>
          <w:szCs w:val="30"/>
        </w:rPr>
        <w:t>实时</w:t>
      </w:r>
      <w:r>
        <w:rPr>
          <w:rFonts w:ascii="Times New Roman" w:hAnsi="Times New Roman" w:eastAsia="仿宋"/>
          <w:sz w:val="32"/>
          <w:szCs w:val="30"/>
        </w:rPr>
        <w:t>发送</w:t>
      </w:r>
      <w:r>
        <w:rPr>
          <w:rFonts w:hint="eastAsia" w:ascii="Times New Roman" w:hAnsi="Times New Roman" w:eastAsia="仿宋"/>
          <w:sz w:val="32"/>
          <w:szCs w:val="30"/>
        </w:rPr>
        <w:t>回报信息，收盘后发送收盘行情</w:t>
      </w:r>
      <w:r>
        <w:rPr>
          <w:rFonts w:ascii="Times New Roman" w:hAnsi="Times New Roman" w:eastAsia="仿宋"/>
          <w:sz w:val="32"/>
          <w:szCs w:val="30"/>
        </w:rPr>
        <w:t>。</w:t>
      </w:r>
    </w:p>
    <w:p>
      <w:pPr>
        <w:snapToGrid w:val="0"/>
        <w:spacing w:line="600" w:lineRule="exact"/>
        <w:ind w:firstLine="642" w:firstLineChars="200"/>
        <w:rPr>
          <w:rFonts w:ascii="Times New Roman" w:hAnsi="Times New Roman" w:eastAsia="仿宋"/>
          <w:sz w:val="32"/>
          <w:szCs w:val="30"/>
        </w:rPr>
      </w:pPr>
      <w:r>
        <w:rPr>
          <w:rFonts w:ascii="Times New Roman" w:hAnsi="Times New Roman" w:eastAsia="仿宋"/>
          <w:b/>
          <w:sz w:val="32"/>
          <w:szCs w:val="30"/>
        </w:rPr>
        <w:t>第</w:t>
      </w:r>
      <w:r>
        <w:rPr>
          <w:rFonts w:hint="eastAsia" w:ascii="Times New Roman" w:hAnsi="Times New Roman" w:eastAsia="仿宋"/>
          <w:b/>
          <w:sz w:val="32"/>
          <w:szCs w:val="30"/>
        </w:rPr>
        <w:t>二</w:t>
      </w:r>
      <w:r>
        <w:rPr>
          <w:rFonts w:ascii="Times New Roman" w:hAnsi="Times New Roman" w:eastAsia="仿宋"/>
          <w:b/>
          <w:sz w:val="32"/>
          <w:szCs w:val="30"/>
        </w:rPr>
        <w:t>十</w:t>
      </w:r>
      <w:r>
        <w:rPr>
          <w:rFonts w:hint="eastAsia" w:ascii="Times New Roman" w:hAnsi="Times New Roman" w:eastAsia="仿宋"/>
          <w:b/>
          <w:sz w:val="32"/>
          <w:szCs w:val="30"/>
        </w:rPr>
        <w:t>四</w:t>
      </w:r>
      <w:r>
        <w:rPr>
          <w:rFonts w:ascii="Times New Roman" w:hAnsi="Times New Roman" w:eastAsia="仿宋"/>
          <w:b/>
          <w:sz w:val="32"/>
          <w:szCs w:val="30"/>
        </w:rPr>
        <w:t xml:space="preserve">条 </w:t>
      </w:r>
      <w:r>
        <w:rPr>
          <w:rFonts w:ascii="Times New Roman" w:hAnsi="Times New Roman" w:eastAsia="仿宋"/>
          <w:sz w:val="32"/>
          <w:szCs w:val="30"/>
        </w:rPr>
        <w:t>每个交易日结束后，全国股转公司公布当日每笔转让成交信息，内容包括证券代码、证券简称、成交价格、成交数量、买卖双方</w:t>
      </w:r>
      <w:r>
        <w:rPr>
          <w:rFonts w:hint="eastAsia" w:ascii="Times New Roman" w:hAnsi="Times New Roman" w:eastAsia="仿宋"/>
          <w:sz w:val="32"/>
          <w:szCs w:val="30"/>
        </w:rPr>
        <w:t>托管</w:t>
      </w:r>
      <w:r>
        <w:rPr>
          <w:rFonts w:ascii="Times New Roman" w:hAnsi="Times New Roman" w:eastAsia="仿宋"/>
          <w:sz w:val="32"/>
          <w:szCs w:val="30"/>
        </w:rPr>
        <w:t>券商证券营业部或者交易单元的名称等。</w:t>
      </w:r>
    </w:p>
    <w:p>
      <w:pPr>
        <w:snapToGrid w:val="0"/>
        <w:spacing w:line="600" w:lineRule="exact"/>
        <w:ind w:firstLine="640" w:firstLineChars="200"/>
        <w:rPr>
          <w:rFonts w:ascii="Times New Roman" w:hAnsi="Times New Roman" w:eastAsia="仿宋"/>
          <w:sz w:val="32"/>
          <w:szCs w:val="30"/>
        </w:rPr>
      </w:pPr>
      <w:r>
        <w:rPr>
          <w:rFonts w:ascii="Times New Roman" w:hAnsi="Times New Roman" w:eastAsia="仿宋"/>
          <w:sz w:val="32"/>
          <w:szCs w:val="30"/>
        </w:rPr>
        <w:t>转让公开信息涉及机构专用交易单元的，公布名称为</w:t>
      </w:r>
      <w:r>
        <w:rPr>
          <w:rFonts w:hint="eastAsia" w:ascii="Times New Roman" w:hAnsi="Times New Roman" w:eastAsia="仿宋"/>
          <w:sz w:val="32"/>
          <w:szCs w:val="30"/>
        </w:rPr>
        <w:t>“</w:t>
      </w:r>
      <w:r>
        <w:rPr>
          <w:rFonts w:ascii="Times New Roman" w:hAnsi="Times New Roman" w:eastAsia="仿宋"/>
          <w:sz w:val="32"/>
          <w:szCs w:val="30"/>
        </w:rPr>
        <w:t>机构专用</w:t>
      </w:r>
      <w:r>
        <w:rPr>
          <w:rFonts w:hint="eastAsia" w:ascii="Times New Roman" w:hAnsi="Times New Roman" w:eastAsia="仿宋"/>
          <w:sz w:val="32"/>
          <w:szCs w:val="30"/>
        </w:rPr>
        <w:t>”</w:t>
      </w:r>
      <w:r>
        <w:rPr>
          <w:rFonts w:ascii="Times New Roman" w:hAnsi="Times New Roman" w:eastAsia="仿宋"/>
          <w:sz w:val="32"/>
          <w:szCs w:val="30"/>
        </w:rPr>
        <w:t>。</w:t>
      </w:r>
    </w:p>
    <w:p>
      <w:pPr>
        <w:snapToGrid w:val="0"/>
        <w:spacing w:line="600" w:lineRule="exact"/>
        <w:ind w:firstLine="642" w:firstLineChars="200"/>
        <w:rPr>
          <w:rFonts w:ascii="Times New Roman" w:hAnsi="Times New Roman" w:eastAsia="仿宋"/>
          <w:sz w:val="32"/>
          <w:szCs w:val="30"/>
        </w:rPr>
      </w:pPr>
      <w:r>
        <w:rPr>
          <w:rFonts w:ascii="Times New Roman" w:hAnsi="Times New Roman" w:eastAsia="仿宋"/>
          <w:b/>
          <w:sz w:val="32"/>
          <w:szCs w:val="30"/>
        </w:rPr>
        <w:t>第</w:t>
      </w:r>
      <w:r>
        <w:rPr>
          <w:rFonts w:hint="eastAsia" w:ascii="Times New Roman" w:hAnsi="Times New Roman" w:eastAsia="仿宋"/>
          <w:b/>
          <w:sz w:val="32"/>
          <w:szCs w:val="30"/>
        </w:rPr>
        <w:t>二</w:t>
      </w:r>
      <w:r>
        <w:rPr>
          <w:rFonts w:ascii="Times New Roman" w:hAnsi="Times New Roman" w:eastAsia="仿宋"/>
          <w:b/>
          <w:sz w:val="32"/>
          <w:szCs w:val="30"/>
        </w:rPr>
        <w:t>十</w:t>
      </w:r>
      <w:r>
        <w:rPr>
          <w:rFonts w:hint="eastAsia" w:ascii="Times New Roman" w:hAnsi="Times New Roman" w:eastAsia="仿宋"/>
          <w:b/>
          <w:sz w:val="32"/>
          <w:szCs w:val="30"/>
        </w:rPr>
        <w:t>五</w:t>
      </w:r>
      <w:r>
        <w:rPr>
          <w:rFonts w:ascii="Times New Roman" w:hAnsi="Times New Roman" w:eastAsia="仿宋"/>
          <w:b/>
          <w:sz w:val="32"/>
          <w:szCs w:val="30"/>
        </w:rPr>
        <w:t xml:space="preserve">条 </w:t>
      </w:r>
      <w:r>
        <w:rPr>
          <w:rFonts w:hint="eastAsia" w:ascii="Times New Roman" w:hAnsi="Times New Roman" w:eastAsia="仿宋"/>
          <w:sz w:val="32"/>
          <w:szCs w:val="30"/>
        </w:rPr>
        <w:t>退市可转债</w:t>
      </w:r>
      <w:r>
        <w:rPr>
          <w:rFonts w:ascii="Times New Roman" w:hAnsi="Times New Roman" w:eastAsia="仿宋"/>
          <w:sz w:val="32"/>
          <w:szCs w:val="30"/>
        </w:rPr>
        <w:t>出现下列情形之一的，全国股转公司将终止为其提供转让，并予以终止挂牌：</w:t>
      </w:r>
    </w:p>
    <w:p>
      <w:pPr>
        <w:snapToGrid w:val="0"/>
        <w:spacing w:line="600" w:lineRule="exact"/>
        <w:ind w:firstLine="640" w:firstLineChars="200"/>
        <w:rPr>
          <w:rFonts w:ascii="Times New Roman" w:hAnsi="Times New Roman" w:eastAsia="仿宋"/>
          <w:sz w:val="32"/>
          <w:szCs w:val="30"/>
        </w:rPr>
      </w:pPr>
      <w:r>
        <w:rPr>
          <w:rFonts w:ascii="Times New Roman" w:hAnsi="Times New Roman" w:eastAsia="仿宋"/>
          <w:sz w:val="32"/>
          <w:szCs w:val="30"/>
        </w:rPr>
        <w:t>（一）</w:t>
      </w:r>
      <w:r>
        <w:rPr>
          <w:rFonts w:hint="eastAsia" w:ascii="Times New Roman" w:hAnsi="Times New Roman" w:eastAsia="仿宋"/>
          <w:sz w:val="32"/>
          <w:szCs w:val="30"/>
        </w:rPr>
        <w:t>退市可转债</w:t>
      </w:r>
      <w:r>
        <w:rPr>
          <w:rFonts w:ascii="Times New Roman" w:hAnsi="Times New Roman" w:eastAsia="仿宋"/>
          <w:sz w:val="32"/>
          <w:szCs w:val="30"/>
        </w:rPr>
        <w:t>标的股票终止挂牌；</w:t>
      </w:r>
    </w:p>
    <w:p>
      <w:pPr>
        <w:snapToGrid w:val="0"/>
        <w:spacing w:line="600" w:lineRule="exact"/>
        <w:ind w:firstLine="640" w:firstLineChars="200"/>
        <w:rPr>
          <w:rFonts w:ascii="Times New Roman" w:hAnsi="Times New Roman" w:eastAsia="仿宋"/>
          <w:sz w:val="32"/>
          <w:szCs w:val="30"/>
        </w:rPr>
      </w:pPr>
      <w:r>
        <w:rPr>
          <w:rFonts w:ascii="Times New Roman" w:hAnsi="Times New Roman" w:eastAsia="仿宋"/>
          <w:sz w:val="32"/>
          <w:szCs w:val="30"/>
        </w:rPr>
        <w:t>（二）</w:t>
      </w:r>
      <w:r>
        <w:rPr>
          <w:rFonts w:hint="eastAsia" w:ascii="Times New Roman" w:hAnsi="Times New Roman" w:eastAsia="仿宋"/>
          <w:sz w:val="32"/>
          <w:szCs w:val="30"/>
        </w:rPr>
        <w:t>退市可转债到期或全部兑付</w:t>
      </w:r>
      <w:r>
        <w:rPr>
          <w:rFonts w:ascii="Times New Roman" w:hAnsi="Times New Roman" w:eastAsia="仿宋"/>
          <w:sz w:val="32"/>
          <w:szCs w:val="30"/>
        </w:rPr>
        <w:t>；</w:t>
      </w:r>
    </w:p>
    <w:p>
      <w:pPr>
        <w:snapToGrid w:val="0"/>
        <w:spacing w:line="600" w:lineRule="exact"/>
        <w:ind w:firstLine="640" w:firstLineChars="200"/>
        <w:rPr>
          <w:rFonts w:ascii="Times New Roman" w:hAnsi="Times New Roman" w:eastAsia="仿宋"/>
          <w:sz w:val="32"/>
          <w:szCs w:val="30"/>
        </w:rPr>
      </w:pPr>
      <w:r>
        <w:rPr>
          <w:rFonts w:ascii="Times New Roman" w:hAnsi="Times New Roman" w:eastAsia="仿宋"/>
          <w:sz w:val="32"/>
          <w:szCs w:val="30"/>
        </w:rPr>
        <w:t>（三）存续期内</w:t>
      </w:r>
      <w:r>
        <w:rPr>
          <w:rFonts w:hint="eastAsia" w:ascii="Times New Roman" w:hAnsi="Times New Roman" w:eastAsia="仿宋"/>
          <w:sz w:val="32"/>
          <w:szCs w:val="30"/>
        </w:rPr>
        <w:t>退市可转债</w:t>
      </w:r>
      <w:r>
        <w:rPr>
          <w:rFonts w:ascii="Times New Roman" w:hAnsi="Times New Roman" w:eastAsia="仿宋"/>
          <w:sz w:val="32"/>
          <w:szCs w:val="30"/>
        </w:rPr>
        <w:t>全部赎回；</w:t>
      </w:r>
    </w:p>
    <w:p>
      <w:pPr>
        <w:snapToGrid w:val="0"/>
        <w:spacing w:line="600" w:lineRule="exact"/>
        <w:ind w:firstLine="640" w:firstLineChars="200"/>
        <w:rPr>
          <w:rFonts w:ascii="Times New Roman" w:hAnsi="Times New Roman" w:eastAsia="仿宋"/>
          <w:sz w:val="32"/>
          <w:szCs w:val="30"/>
        </w:rPr>
      </w:pPr>
      <w:r>
        <w:rPr>
          <w:rFonts w:ascii="Times New Roman" w:hAnsi="Times New Roman" w:eastAsia="仿宋"/>
          <w:sz w:val="32"/>
          <w:szCs w:val="30"/>
        </w:rPr>
        <w:t>（四）存续期内</w:t>
      </w:r>
      <w:r>
        <w:rPr>
          <w:rFonts w:hint="eastAsia" w:ascii="Times New Roman" w:hAnsi="Times New Roman" w:eastAsia="仿宋"/>
          <w:sz w:val="32"/>
          <w:szCs w:val="30"/>
        </w:rPr>
        <w:t>退市可转债</w:t>
      </w:r>
      <w:r>
        <w:rPr>
          <w:rFonts w:ascii="Times New Roman" w:hAnsi="Times New Roman" w:eastAsia="仿宋"/>
          <w:sz w:val="32"/>
          <w:szCs w:val="30"/>
        </w:rPr>
        <w:t>全部回售；</w:t>
      </w:r>
    </w:p>
    <w:p>
      <w:pPr>
        <w:snapToGrid w:val="0"/>
        <w:spacing w:line="600" w:lineRule="exact"/>
        <w:ind w:firstLine="640" w:firstLineChars="200"/>
        <w:rPr>
          <w:rFonts w:ascii="Times New Roman" w:hAnsi="Times New Roman" w:eastAsia="仿宋"/>
          <w:sz w:val="32"/>
          <w:szCs w:val="30"/>
        </w:rPr>
      </w:pPr>
      <w:r>
        <w:rPr>
          <w:rFonts w:ascii="Times New Roman" w:hAnsi="Times New Roman" w:eastAsia="仿宋"/>
          <w:sz w:val="32"/>
          <w:szCs w:val="30"/>
        </w:rPr>
        <w:t>（五）存续期内</w:t>
      </w:r>
      <w:r>
        <w:rPr>
          <w:rFonts w:hint="eastAsia" w:ascii="Times New Roman" w:hAnsi="Times New Roman" w:eastAsia="仿宋"/>
          <w:sz w:val="32"/>
          <w:szCs w:val="30"/>
        </w:rPr>
        <w:t>退市可转债</w:t>
      </w:r>
      <w:r>
        <w:rPr>
          <w:rFonts w:ascii="Times New Roman" w:hAnsi="Times New Roman" w:eastAsia="仿宋"/>
          <w:sz w:val="32"/>
          <w:szCs w:val="30"/>
        </w:rPr>
        <w:t>全部转股；</w:t>
      </w:r>
    </w:p>
    <w:p>
      <w:pPr>
        <w:snapToGrid w:val="0"/>
        <w:spacing w:line="600" w:lineRule="exact"/>
        <w:ind w:firstLine="640" w:firstLineChars="200"/>
        <w:rPr>
          <w:rFonts w:ascii="Times New Roman" w:hAnsi="Times New Roman" w:eastAsia="仿宋"/>
          <w:sz w:val="32"/>
          <w:szCs w:val="30"/>
        </w:rPr>
      </w:pPr>
      <w:r>
        <w:rPr>
          <w:rFonts w:ascii="Times New Roman" w:hAnsi="Times New Roman" w:eastAsia="仿宋"/>
          <w:sz w:val="32"/>
          <w:szCs w:val="30"/>
        </w:rPr>
        <w:t>（六）中国证监会或者全国股转公司认为应当终止提供转让的其他情形。</w:t>
      </w:r>
    </w:p>
    <w:p>
      <w:pPr>
        <w:tabs>
          <w:tab w:val="center" w:pos="4474"/>
          <w:tab w:val="right" w:pos="8306"/>
        </w:tabs>
        <w:snapToGrid w:val="0"/>
        <w:spacing w:line="600" w:lineRule="exact"/>
        <w:ind w:firstLine="642"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b/>
          <w:color w:val="000000" w:themeColor="text1"/>
          <w:sz w:val="32"/>
          <w:szCs w:val="30"/>
          <w14:textFill>
            <w14:solidFill>
              <w14:schemeClr w14:val="tx1"/>
            </w14:solidFill>
          </w14:textFill>
        </w:rPr>
        <w:t>第</w:t>
      </w:r>
      <w:r>
        <w:rPr>
          <w:rFonts w:hint="eastAsia" w:ascii="Times New Roman" w:hAnsi="Times New Roman" w:eastAsia="仿宋"/>
          <w:b/>
          <w:sz w:val="32"/>
          <w:szCs w:val="30"/>
        </w:rPr>
        <w:t>二十六</w:t>
      </w:r>
      <w:r>
        <w:rPr>
          <w:rFonts w:ascii="Times New Roman" w:hAnsi="Times New Roman" w:eastAsia="仿宋"/>
          <w:b/>
          <w:sz w:val="32"/>
          <w:szCs w:val="30"/>
        </w:rPr>
        <w:t xml:space="preserve">条 </w:t>
      </w:r>
      <w:r>
        <w:rPr>
          <w:rFonts w:hint="eastAsia" w:ascii="Times New Roman" w:hAnsi="Times New Roman" w:eastAsia="仿宋"/>
          <w:color w:val="000000" w:themeColor="text1"/>
          <w:sz w:val="32"/>
          <w:szCs w:val="32"/>
          <w14:textFill>
            <w14:solidFill>
              <w14:schemeClr w14:val="tx1"/>
            </w14:solidFill>
          </w14:textFill>
        </w:rPr>
        <w:t>公募基金、合格境外机构投资者（QFII）、人民币合格境外机构投资者（RQFII）不得买入退市可转债。</w:t>
      </w:r>
    </w:p>
    <w:p>
      <w:pPr>
        <w:tabs>
          <w:tab w:val="center" w:pos="4474"/>
          <w:tab w:val="right" w:pos="8306"/>
        </w:tabs>
        <w:snapToGrid w:val="0"/>
        <w:spacing w:line="600" w:lineRule="exact"/>
        <w:ind w:firstLine="642"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b/>
          <w:sz w:val="32"/>
          <w:szCs w:val="30"/>
        </w:rPr>
        <w:t>第</w:t>
      </w:r>
      <w:r>
        <w:rPr>
          <w:rFonts w:hint="eastAsia" w:ascii="Times New Roman" w:hAnsi="Times New Roman" w:eastAsia="仿宋"/>
          <w:b/>
          <w:color w:val="000000" w:themeColor="text1"/>
          <w:sz w:val="32"/>
          <w:szCs w:val="30"/>
          <w14:textFill>
            <w14:solidFill>
              <w14:schemeClr w14:val="tx1"/>
            </w14:solidFill>
          </w14:textFill>
        </w:rPr>
        <w:t>二十七</w:t>
      </w:r>
      <w:r>
        <w:rPr>
          <w:rFonts w:hint="eastAsia" w:ascii="Times New Roman" w:hAnsi="Times New Roman" w:eastAsia="仿宋"/>
          <w:b/>
          <w:sz w:val="32"/>
          <w:szCs w:val="30"/>
        </w:rPr>
        <w:t>条</w:t>
      </w:r>
      <w:r>
        <w:rPr>
          <w:rFonts w:hint="eastAsia" w:ascii="Times New Roman" w:hAnsi="Times New Roman" w:eastAsia="仿宋"/>
          <w:sz w:val="32"/>
          <w:szCs w:val="30"/>
        </w:rPr>
        <w:t xml:space="preserve"> 在交易所摘牌前，退市可转债限售期未届满的，该部分退市可转债的剩余限售期应连续计算。限售期届满后，退市公司或主办券商可以根据全国股转公司的要求办理解除限售手续。</w:t>
      </w:r>
    </w:p>
    <w:p>
      <w:pPr>
        <w:snapToGrid w:val="0"/>
        <w:spacing w:line="600" w:lineRule="exact"/>
        <w:ind w:firstLine="642" w:firstLineChars="200"/>
        <w:rPr>
          <w:rFonts w:ascii="Times New Roman" w:hAnsi="Times New Roman" w:eastAsia="仿宋"/>
          <w:sz w:val="32"/>
          <w:szCs w:val="30"/>
        </w:rPr>
      </w:pPr>
      <w:r>
        <w:rPr>
          <w:rFonts w:ascii="Times New Roman" w:hAnsi="Times New Roman" w:eastAsia="仿宋"/>
          <w:b/>
          <w:sz w:val="32"/>
          <w:szCs w:val="30"/>
        </w:rPr>
        <w:t>第</w:t>
      </w:r>
      <w:r>
        <w:rPr>
          <w:rFonts w:hint="eastAsia" w:ascii="Times New Roman" w:hAnsi="Times New Roman" w:eastAsia="仿宋"/>
          <w:b/>
          <w:sz w:val="32"/>
          <w:szCs w:val="30"/>
        </w:rPr>
        <w:t>二十八</w:t>
      </w:r>
      <w:r>
        <w:rPr>
          <w:rFonts w:ascii="Times New Roman" w:hAnsi="Times New Roman" w:eastAsia="仿宋"/>
          <w:b/>
          <w:sz w:val="32"/>
          <w:szCs w:val="30"/>
        </w:rPr>
        <w:t xml:space="preserve">条 </w:t>
      </w:r>
      <w:r>
        <w:rPr>
          <w:rFonts w:ascii="Times New Roman" w:hAnsi="Times New Roman" w:eastAsia="仿宋"/>
          <w:sz w:val="32"/>
          <w:szCs w:val="30"/>
        </w:rPr>
        <w:t>全国股转公司可以根据市场发展情况，对</w:t>
      </w:r>
      <w:r>
        <w:rPr>
          <w:rFonts w:hint="eastAsia" w:ascii="Times New Roman" w:hAnsi="Times New Roman" w:eastAsia="仿宋"/>
          <w:sz w:val="32"/>
          <w:szCs w:val="30"/>
        </w:rPr>
        <w:t>退市可转债</w:t>
      </w:r>
      <w:r>
        <w:rPr>
          <w:rFonts w:ascii="Times New Roman" w:hAnsi="Times New Roman" w:eastAsia="仿宋"/>
          <w:sz w:val="32"/>
          <w:szCs w:val="30"/>
        </w:rPr>
        <w:t>转让</w:t>
      </w:r>
      <w:r>
        <w:rPr>
          <w:rFonts w:hint="eastAsia" w:ascii="Times New Roman" w:hAnsi="Times New Roman" w:eastAsia="仿宋"/>
          <w:sz w:val="32"/>
          <w:szCs w:val="30"/>
        </w:rPr>
        <w:t>等相关</w:t>
      </w:r>
      <w:r>
        <w:rPr>
          <w:rFonts w:ascii="Times New Roman" w:hAnsi="Times New Roman" w:eastAsia="仿宋"/>
          <w:sz w:val="32"/>
          <w:szCs w:val="30"/>
        </w:rPr>
        <w:t>安排进行调整。</w:t>
      </w:r>
    </w:p>
    <w:p>
      <w:pPr>
        <w:adjustRightInd w:val="0"/>
        <w:snapToGrid w:val="0"/>
        <w:spacing w:before="240" w:after="240" w:line="600" w:lineRule="exact"/>
        <w:jc w:val="center"/>
        <w:outlineLvl w:val="0"/>
        <w:rPr>
          <w:rFonts w:ascii="Times New Roman" w:hAnsi="Times New Roman" w:eastAsia="黑体"/>
          <w:b/>
          <w:color w:val="000000" w:themeColor="text1"/>
          <w:sz w:val="32"/>
          <w:szCs w:val="32"/>
          <w14:textFill>
            <w14:solidFill>
              <w14:schemeClr w14:val="tx1"/>
            </w14:solidFill>
          </w14:textFill>
        </w:rPr>
      </w:pPr>
      <w:r>
        <w:rPr>
          <w:rFonts w:ascii="Times New Roman" w:hAnsi="Times New Roman" w:eastAsia="黑体"/>
          <w:color w:val="000000" w:themeColor="text1"/>
          <w:sz w:val="32"/>
          <w:szCs w:val="30"/>
          <w14:textFill>
            <w14:solidFill>
              <w14:schemeClr w14:val="tx1"/>
            </w14:solidFill>
          </w14:textFill>
        </w:rPr>
        <w:t>第</w:t>
      </w:r>
      <w:r>
        <w:rPr>
          <w:rFonts w:hint="eastAsia" w:ascii="Times New Roman" w:hAnsi="Times New Roman" w:eastAsia="黑体"/>
          <w:color w:val="000000" w:themeColor="text1"/>
          <w:sz w:val="32"/>
          <w:szCs w:val="30"/>
          <w14:textFill>
            <w14:solidFill>
              <w14:schemeClr w14:val="tx1"/>
            </w14:solidFill>
          </w14:textFill>
        </w:rPr>
        <w:t>三</w:t>
      </w:r>
      <w:r>
        <w:rPr>
          <w:rFonts w:ascii="Times New Roman" w:hAnsi="Times New Roman" w:eastAsia="黑体"/>
          <w:color w:val="000000" w:themeColor="text1"/>
          <w:sz w:val="32"/>
          <w:szCs w:val="30"/>
          <w14:textFill>
            <w14:solidFill>
              <w14:schemeClr w14:val="tx1"/>
            </w14:solidFill>
          </w14:textFill>
        </w:rPr>
        <w:t xml:space="preserve">章  </w:t>
      </w:r>
      <w:r>
        <w:rPr>
          <w:rFonts w:hint="eastAsia" w:ascii="Times New Roman" w:hAnsi="Times New Roman" w:eastAsia="黑体"/>
          <w:color w:val="000000" w:themeColor="text1"/>
          <w:sz w:val="32"/>
          <w:szCs w:val="30"/>
          <w14:textFill>
            <w14:solidFill>
              <w14:schemeClr w14:val="tx1"/>
            </w14:solidFill>
          </w14:textFill>
        </w:rPr>
        <w:t>存续期</w:t>
      </w:r>
      <w:r>
        <w:rPr>
          <w:rFonts w:ascii="Times New Roman" w:hAnsi="Times New Roman" w:eastAsia="黑体"/>
          <w:color w:val="000000" w:themeColor="text1"/>
          <w:sz w:val="32"/>
          <w:szCs w:val="30"/>
          <w14:textFill>
            <w14:solidFill>
              <w14:schemeClr w14:val="tx1"/>
            </w14:solidFill>
          </w14:textFill>
        </w:rPr>
        <w:t>业务</w:t>
      </w:r>
      <w:r>
        <w:rPr>
          <w:rFonts w:hint="eastAsia" w:ascii="Times New Roman" w:hAnsi="Times New Roman" w:eastAsia="黑体"/>
          <w:color w:val="000000" w:themeColor="text1"/>
          <w:sz w:val="32"/>
          <w:szCs w:val="30"/>
          <w14:textFill>
            <w14:solidFill>
              <w14:schemeClr w14:val="tx1"/>
            </w14:solidFill>
          </w14:textFill>
        </w:rPr>
        <w:t>管理</w:t>
      </w:r>
    </w:p>
    <w:p>
      <w:pPr>
        <w:snapToGrid w:val="0"/>
        <w:spacing w:line="600" w:lineRule="exact"/>
        <w:ind w:firstLine="642"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b/>
          <w:color w:val="000000" w:themeColor="text1"/>
          <w:sz w:val="32"/>
          <w:szCs w:val="30"/>
          <w14:textFill>
            <w14:solidFill>
              <w14:schemeClr w14:val="tx1"/>
            </w14:solidFill>
          </w14:textFill>
        </w:rPr>
        <w:t>第</w:t>
      </w:r>
      <w:r>
        <w:rPr>
          <w:rFonts w:hint="eastAsia" w:ascii="Times New Roman" w:hAnsi="Times New Roman" w:eastAsia="仿宋"/>
          <w:b/>
          <w:color w:val="000000" w:themeColor="text1"/>
          <w:sz w:val="32"/>
          <w:szCs w:val="30"/>
          <w14:textFill>
            <w14:solidFill>
              <w14:schemeClr w14:val="tx1"/>
            </w14:solidFill>
          </w14:textFill>
        </w:rPr>
        <w:t>二十九</w:t>
      </w:r>
      <w:r>
        <w:rPr>
          <w:rFonts w:ascii="Times New Roman" w:hAnsi="Times New Roman" w:eastAsia="仿宋"/>
          <w:b/>
          <w:color w:val="000000" w:themeColor="text1"/>
          <w:sz w:val="32"/>
          <w:szCs w:val="30"/>
          <w14:textFill>
            <w14:solidFill>
              <w14:schemeClr w14:val="tx1"/>
            </w14:solidFill>
          </w14:textFill>
        </w:rPr>
        <w:t>条</w:t>
      </w:r>
      <w:r>
        <w:rPr>
          <w:rFonts w:ascii="Times New Roman" w:hAnsi="Times New Roman" w:eastAsia="仿宋"/>
          <w:color w:val="000000" w:themeColor="text1"/>
          <w:sz w:val="32"/>
          <w:szCs w:val="30"/>
          <w14:textFill>
            <w14:solidFill>
              <w14:schemeClr w14:val="tx1"/>
            </w14:solidFill>
          </w14:textFill>
        </w:rPr>
        <w:t xml:space="preserve"> </w:t>
      </w:r>
      <w:r>
        <w:rPr>
          <w:rFonts w:hint="eastAsia" w:ascii="Times New Roman" w:hAnsi="Times New Roman" w:eastAsia="仿宋"/>
          <w:color w:val="000000" w:themeColor="text1"/>
          <w:sz w:val="32"/>
          <w:szCs w:val="30"/>
          <w14:textFill>
            <w14:solidFill>
              <w14:schemeClr w14:val="tx1"/>
            </w14:solidFill>
          </w14:textFill>
        </w:rPr>
        <w:t>退市公司应当按照退市可转债募集说明书的约定实施转股</w:t>
      </w:r>
      <w:r>
        <w:rPr>
          <w:rFonts w:ascii="Times New Roman" w:hAnsi="Times New Roman" w:eastAsia="仿宋"/>
          <w:color w:val="000000" w:themeColor="text1"/>
          <w:sz w:val="32"/>
          <w:szCs w:val="30"/>
          <w14:textFill>
            <w14:solidFill>
              <w14:schemeClr w14:val="tx1"/>
            </w14:solidFill>
          </w14:textFill>
        </w:rPr>
        <w:t>、</w:t>
      </w:r>
      <w:r>
        <w:rPr>
          <w:rFonts w:hint="eastAsia" w:ascii="Times New Roman" w:hAnsi="Times New Roman" w:eastAsia="仿宋"/>
          <w:color w:val="000000" w:themeColor="text1"/>
          <w:sz w:val="32"/>
          <w:szCs w:val="30"/>
          <w14:textFill>
            <w14:solidFill>
              <w14:schemeClr w14:val="tx1"/>
            </w14:solidFill>
          </w14:textFill>
        </w:rPr>
        <w:t>赎回</w:t>
      </w:r>
      <w:r>
        <w:rPr>
          <w:rFonts w:ascii="Times New Roman" w:hAnsi="Times New Roman" w:eastAsia="仿宋"/>
          <w:color w:val="000000" w:themeColor="text1"/>
          <w:sz w:val="32"/>
          <w:szCs w:val="30"/>
          <w14:textFill>
            <w14:solidFill>
              <w14:schemeClr w14:val="tx1"/>
            </w14:solidFill>
          </w14:textFill>
        </w:rPr>
        <w:t>、</w:t>
      </w:r>
      <w:r>
        <w:rPr>
          <w:rFonts w:hint="eastAsia" w:ascii="Times New Roman" w:hAnsi="Times New Roman" w:eastAsia="仿宋"/>
          <w:color w:val="000000" w:themeColor="text1"/>
          <w:sz w:val="32"/>
          <w:szCs w:val="30"/>
          <w14:textFill>
            <w14:solidFill>
              <w14:schemeClr w14:val="tx1"/>
            </w14:solidFill>
          </w14:textFill>
        </w:rPr>
        <w:t>回售</w:t>
      </w:r>
      <w:r>
        <w:rPr>
          <w:rFonts w:ascii="Times New Roman" w:hAnsi="Times New Roman" w:eastAsia="仿宋"/>
          <w:color w:val="000000" w:themeColor="text1"/>
          <w:sz w:val="32"/>
          <w:szCs w:val="30"/>
          <w14:textFill>
            <w14:solidFill>
              <w14:schemeClr w14:val="tx1"/>
            </w14:solidFill>
          </w14:textFill>
        </w:rPr>
        <w:t>、</w:t>
      </w:r>
      <w:r>
        <w:rPr>
          <w:rFonts w:hint="eastAsia" w:ascii="Times New Roman" w:hAnsi="Times New Roman" w:eastAsia="仿宋"/>
          <w:color w:val="000000" w:themeColor="text1"/>
          <w:sz w:val="32"/>
          <w:szCs w:val="30"/>
          <w14:textFill>
            <w14:solidFill>
              <w14:schemeClr w14:val="tx1"/>
            </w14:solidFill>
          </w14:textFill>
        </w:rPr>
        <w:t>付息</w:t>
      </w:r>
      <w:r>
        <w:rPr>
          <w:rFonts w:ascii="Times New Roman" w:hAnsi="Times New Roman" w:eastAsia="仿宋"/>
          <w:color w:val="000000" w:themeColor="text1"/>
          <w:sz w:val="32"/>
          <w:szCs w:val="30"/>
          <w14:textFill>
            <w14:solidFill>
              <w14:schemeClr w14:val="tx1"/>
            </w14:solidFill>
          </w14:textFill>
        </w:rPr>
        <w:t>及本息兑付</w:t>
      </w:r>
      <w:r>
        <w:rPr>
          <w:rFonts w:hint="eastAsia" w:ascii="Times New Roman" w:hAnsi="Times New Roman" w:eastAsia="仿宋"/>
          <w:color w:val="000000" w:themeColor="text1"/>
          <w:sz w:val="32"/>
          <w:szCs w:val="30"/>
          <w14:textFill>
            <w14:solidFill>
              <w14:schemeClr w14:val="tx1"/>
            </w14:solidFill>
          </w14:textFill>
        </w:rPr>
        <w:t>，</w:t>
      </w:r>
      <w:r>
        <w:rPr>
          <w:rFonts w:ascii="Times New Roman" w:hAnsi="Times New Roman" w:eastAsia="仿宋"/>
          <w:color w:val="000000" w:themeColor="text1"/>
          <w:sz w:val="32"/>
          <w:szCs w:val="30"/>
          <w14:textFill>
            <w14:solidFill>
              <w14:schemeClr w14:val="tx1"/>
            </w14:solidFill>
          </w14:textFill>
        </w:rPr>
        <w:t>并</w:t>
      </w:r>
      <w:r>
        <w:rPr>
          <w:rFonts w:hint="eastAsia" w:ascii="Times New Roman" w:hAnsi="Times New Roman" w:eastAsia="仿宋"/>
          <w:color w:val="000000" w:themeColor="text1"/>
          <w:sz w:val="32"/>
          <w:szCs w:val="32"/>
          <w14:textFill>
            <w14:solidFill>
              <w14:schemeClr w14:val="tx1"/>
            </w14:solidFill>
          </w14:textFill>
        </w:rPr>
        <w:t>及时履行审议程序和信息</w:t>
      </w:r>
      <w:r>
        <w:rPr>
          <w:rFonts w:ascii="Times New Roman" w:hAnsi="Times New Roman" w:eastAsia="仿宋"/>
          <w:color w:val="000000" w:themeColor="text1"/>
          <w:sz w:val="32"/>
          <w:szCs w:val="32"/>
          <w14:textFill>
            <w14:solidFill>
              <w14:schemeClr w14:val="tx1"/>
            </w14:solidFill>
          </w14:textFill>
        </w:rPr>
        <w:t>披露义务</w:t>
      </w:r>
      <w:r>
        <w:rPr>
          <w:rFonts w:hint="eastAsia" w:ascii="Times New Roman" w:hAnsi="Times New Roman" w:eastAsia="仿宋"/>
          <w:color w:val="000000" w:themeColor="text1"/>
          <w:sz w:val="32"/>
          <w:szCs w:val="32"/>
          <w14:textFill>
            <w14:solidFill>
              <w14:schemeClr w14:val="tx1"/>
            </w14:solidFill>
          </w14:textFill>
        </w:rPr>
        <w:t>。</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color w:val="000000" w:themeColor="text1"/>
          <w:sz w:val="32"/>
          <w:szCs w:val="32"/>
          <w14:textFill>
            <w14:solidFill>
              <w14:schemeClr w14:val="tx1"/>
            </w14:solidFill>
          </w14:textFill>
        </w:rPr>
        <w:t>退市</w:t>
      </w:r>
      <w:r>
        <w:rPr>
          <w:rFonts w:ascii="Times New Roman" w:hAnsi="Times New Roman" w:eastAsia="仿宋"/>
          <w:color w:val="000000" w:themeColor="text1"/>
          <w:sz w:val="32"/>
          <w:szCs w:val="32"/>
          <w14:textFill>
            <w14:solidFill>
              <w14:schemeClr w14:val="tx1"/>
            </w14:solidFill>
          </w14:textFill>
        </w:rPr>
        <w:t>公司</w:t>
      </w:r>
      <w:r>
        <w:rPr>
          <w:rFonts w:hint="eastAsia" w:ascii="Times New Roman" w:hAnsi="Times New Roman" w:eastAsia="仿宋"/>
          <w:color w:val="000000" w:themeColor="text1"/>
          <w:sz w:val="32"/>
          <w:szCs w:val="32"/>
          <w14:textFill>
            <w14:solidFill>
              <w14:schemeClr w14:val="tx1"/>
            </w14:solidFill>
          </w14:textFill>
        </w:rPr>
        <w:t>可</w:t>
      </w:r>
      <w:r>
        <w:rPr>
          <w:rFonts w:ascii="Times New Roman" w:hAnsi="Times New Roman" w:eastAsia="仿宋"/>
          <w:color w:val="000000" w:themeColor="text1"/>
          <w:sz w:val="32"/>
          <w:szCs w:val="32"/>
          <w14:textFill>
            <w14:solidFill>
              <w14:schemeClr w14:val="tx1"/>
            </w14:solidFill>
          </w14:textFill>
        </w:rPr>
        <w:t>选择是否</w:t>
      </w:r>
      <w:r>
        <w:rPr>
          <w:rFonts w:hint="eastAsia" w:ascii="Times New Roman" w:hAnsi="Times New Roman" w:eastAsia="仿宋"/>
          <w:color w:val="000000" w:themeColor="text1"/>
          <w:sz w:val="32"/>
          <w:szCs w:val="32"/>
          <w14:textFill>
            <w14:solidFill>
              <w14:schemeClr w14:val="tx1"/>
            </w14:solidFill>
          </w14:textFill>
        </w:rPr>
        <w:t>实施</w:t>
      </w:r>
      <w:r>
        <w:rPr>
          <w:rFonts w:ascii="Times New Roman" w:hAnsi="Times New Roman" w:eastAsia="仿宋"/>
          <w:color w:val="000000" w:themeColor="text1"/>
          <w:sz w:val="32"/>
          <w:szCs w:val="32"/>
          <w14:textFill>
            <w14:solidFill>
              <w14:schemeClr w14:val="tx1"/>
            </w14:solidFill>
          </w14:textFill>
        </w:rPr>
        <w:t>赎回</w:t>
      </w:r>
      <w:r>
        <w:rPr>
          <w:rFonts w:hint="eastAsia" w:ascii="Times New Roman" w:hAnsi="Times New Roman" w:eastAsia="仿宋"/>
          <w:color w:val="000000" w:themeColor="text1"/>
          <w:sz w:val="32"/>
          <w:szCs w:val="32"/>
          <w14:textFill>
            <w14:solidFill>
              <w14:schemeClr w14:val="tx1"/>
            </w14:solidFill>
          </w14:textFill>
        </w:rPr>
        <w:t>，</w:t>
      </w:r>
      <w:r>
        <w:rPr>
          <w:rFonts w:ascii="Times New Roman" w:hAnsi="Times New Roman" w:eastAsia="仿宋"/>
          <w:color w:val="000000" w:themeColor="text1"/>
          <w:sz w:val="32"/>
          <w:szCs w:val="32"/>
          <w14:textFill>
            <w14:solidFill>
              <w14:schemeClr w14:val="tx1"/>
            </w14:solidFill>
          </w14:textFill>
        </w:rPr>
        <w:t>债券持有人</w:t>
      </w:r>
      <w:r>
        <w:rPr>
          <w:rFonts w:hint="eastAsia" w:ascii="Times New Roman" w:hAnsi="Times New Roman" w:eastAsia="仿宋"/>
          <w:color w:val="000000" w:themeColor="text1"/>
          <w:sz w:val="32"/>
          <w:szCs w:val="32"/>
          <w14:textFill>
            <w14:solidFill>
              <w14:schemeClr w14:val="tx1"/>
            </w14:solidFill>
          </w14:textFill>
        </w:rPr>
        <w:t>可</w:t>
      </w:r>
      <w:r>
        <w:rPr>
          <w:rFonts w:ascii="Times New Roman" w:hAnsi="Times New Roman" w:eastAsia="仿宋"/>
          <w:color w:val="000000" w:themeColor="text1"/>
          <w:sz w:val="32"/>
          <w:szCs w:val="32"/>
          <w14:textFill>
            <w14:solidFill>
              <w14:schemeClr w14:val="tx1"/>
            </w14:solidFill>
          </w14:textFill>
        </w:rPr>
        <w:t>选择</w:t>
      </w:r>
      <w:r>
        <w:rPr>
          <w:rFonts w:hint="eastAsia" w:ascii="Times New Roman" w:hAnsi="Times New Roman" w:eastAsia="仿宋"/>
          <w:color w:val="000000" w:themeColor="text1"/>
          <w:sz w:val="32"/>
          <w:szCs w:val="32"/>
          <w14:textFill>
            <w14:solidFill>
              <w14:schemeClr w14:val="tx1"/>
            </w14:solidFill>
          </w14:textFill>
        </w:rPr>
        <w:t>是否</w:t>
      </w:r>
      <w:r>
        <w:rPr>
          <w:rFonts w:ascii="Times New Roman" w:hAnsi="Times New Roman" w:eastAsia="仿宋"/>
          <w:color w:val="000000" w:themeColor="text1"/>
          <w:sz w:val="32"/>
          <w:szCs w:val="32"/>
          <w14:textFill>
            <w14:solidFill>
              <w14:schemeClr w14:val="tx1"/>
            </w14:solidFill>
          </w14:textFill>
        </w:rPr>
        <w:t>行使转股、回售</w:t>
      </w:r>
      <w:r>
        <w:rPr>
          <w:rFonts w:hint="eastAsia" w:ascii="Times New Roman" w:hAnsi="Times New Roman" w:eastAsia="仿宋"/>
          <w:color w:val="000000" w:themeColor="text1"/>
          <w:sz w:val="32"/>
          <w:szCs w:val="32"/>
          <w14:textFill>
            <w14:solidFill>
              <w14:schemeClr w14:val="tx1"/>
            </w14:solidFill>
          </w14:textFill>
        </w:rPr>
        <w:t>的权利</w:t>
      </w:r>
      <w:r>
        <w:rPr>
          <w:rFonts w:ascii="Times New Roman" w:hAnsi="Times New Roman" w:eastAsia="仿宋"/>
          <w:color w:val="000000" w:themeColor="text1"/>
          <w:sz w:val="32"/>
          <w:szCs w:val="32"/>
          <w14:textFill>
            <w14:solidFill>
              <w14:schemeClr w14:val="tx1"/>
            </w14:solidFill>
          </w14:textFill>
        </w:rPr>
        <w:t>。</w:t>
      </w:r>
    </w:p>
    <w:p>
      <w:pPr>
        <w:tabs>
          <w:tab w:val="center" w:pos="4474"/>
          <w:tab w:val="right" w:pos="8306"/>
        </w:tabs>
        <w:snapToGrid w:val="0"/>
        <w:spacing w:line="600" w:lineRule="exact"/>
        <w:ind w:firstLine="642"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b/>
          <w:sz w:val="32"/>
          <w:szCs w:val="30"/>
        </w:rPr>
        <w:t>第三十条</w:t>
      </w:r>
      <w:r>
        <w:rPr>
          <w:rFonts w:hint="eastAsia" w:ascii="Times New Roman" w:hAnsi="Times New Roman" w:eastAsia="仿宋"/>
          <w:sz w:val="32"/>
          <w:szCs w:val="30"/>
        </w:rPr>
        <w:t xml:space="preserve"> 退市可转债</w:t>
      </w:r>
      <w:r>
        <w:rPr>
          <w:rFonts w:ascii="Times New Roman" w:hAnsi="Times New Roman" w:eastAsia="仿宋"/>
          <w:sz w:val="32"/>
          <w:szCs w:val="30"/>
        </w:rPr>
        <w:t>自交易所摘牌后</w:t>
      </w:r>
      <w:r>
        <w:rPr>
          <w:rFonts w:hint="eastAsia" w:ascii="Times New Roman" w:hAnsi="Times New Roman" w:eastAsia="仿宋"/>
          <w:sz w:val="32"/>
          <w:szCs w:val="30"/>
        </w:rPr>
        <w:t>至挂牌期间不得实施转股、赎回、回售等操作，挂牌后需重新提交转股、赎回、回售等相关信息。</w:t>
      </w:r>
    </w:p>
    <w:p>
      <w:pPr>
        <w:snapToGrid w:val="0"/>
        <w:spacing w:line="600" w:lineRule="exact"/>
        <w:ind w:firstLine="642"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b/>
          <w:color w:val="000000" w:themeColor="text1"/>
          <w:sz w:val="32"/>
          <w:szCs w:val="32"/>
          <w14:textFill>
            <w14:solidFill>
              <w14:schemeClr w14:val="tx1"/>
            </w14:solidFill>
          </w14:textFill>
        </w:rPr>
        <w:t xml:space="preserve">第三十一条 </w:t>
      </w:r>
      <w:r>
        <w:rPr>
          <w:rFonts w:ascii="Times New Roman" w:hAnsi="Times New Roman" w:eastAsia="仿宋"/>
          <w:color w:val="000000" w:themeColor="text1"/>
          <w:sz w:val="32"/>
          <w:szCs w:val="32"/>
          <w14:textFill>
            <w14:solidFill>
              <w14:schemeClr w14:val="tx1"/>
            </w14:solidFill>
          </w14:textFill>
        </w:rPr>
        <w:t>在符合</w:t>
      </w:r>
      <w:r>
        <w:rPr>
          <w:rFonts w:hint="eastAsia" w:ascii="Times New Roman" w:hAnsi="Times New Roman" w:eastAsia="仿宋"/>
          <w:color w:val="000000" w:themeColor="text1"/>
          <w:sz w:val="32"/>
          <w:szCs w:val="32"/>
          <w14:textFill>
            <w14:solidFill>
              <w14:schemeClr w14:val="tx1"/>
            </w14:solidFill>
          </w14:textFill>
        </w:rPr>
        <w:t>退市可转债募集说明书</w:t>
      </w:r>
      <w:r>
        <w:rPr>
          <w:rFonts w:ascii="Times New Roman" w:hAnsi="Times New Roman" w:eastAsia="仿宋"/>
          <w:color w:val="000000" w:themeColor="text1"/>
          <w:sz w:val="32"/>
          <w:szCs w:val="32"/>
          <w14:textFill>
            <w14:solidFill>
              <w14:schemeClr w14:val="tx1"/>
            </w14:solidFill>
          </w14:textFill>
        </w:rPr>
        <w:t>约定条件</w:t>
      </w:r>
      <w:r>
        <w:rPr>
          <w:rFonts w:hint="eastAsia" w:ascii="Times New Roman" w:hAnsi="Times New Roman" w:eastAsia="仿宋"/>
          <w:color w:val="000000" w:themeColor="text1"/>
          <w:sz w:val="32"/>
          <w:szCs w:val="32"/>
          <w14:textFill>
            <w14:solidFill>
              <w14:schemeClr w14:val="tx1"/>
            </w14:solidFill>
          </w14:textFill>
        </w:rPr>
        <w:t>时</w:t>
      </w:r>
      <w:r>
        <w:rPr>
          <w:rFonts w:ascii="Times New Roman" w:hAnsi="Times New Roman" w:eastAsia="仿宋"/>
          <w:color w:val="000000" w:themeColor="text1"/>
          <w:sz w:val="32"/>
          <w:szCs w:val="32"/>
          <w14:textFill>
            <w14:solidFill>
              <w14:schemeClr w14:val="tx1"/>
            </w14:solidFill>
          </w14:textFill>
        </w:rPr>
        <w:t>，债券持有人方可通过报盘方式申请将</w:t>
      </w:r>
      <w:r>
        <w:rPr>
          <w:rFonts w:hint="eastAsia" w:ascii="Times New Roman" w:hAnsi="Times New Roman" w:eastAsia="仿宋"/>
          <w:color w:val="000000" w:themeColor="text1"/>
          <w:sz w:val="32"/>
          <w:szCs w:val="32"/>
          <w14:textFill>
            <w14:solidFill>
              <w14:schemeClr w14:val="tx1"/>
            </w14:solidFill>
          </w14:textFill>
        </w:rPr>
        <w:t>退市可转债</w:t>
      </w:r>
      <w:r>
        <w:rPr>
          <w:rFonts w:ascii="Times New Roman" w:hAnsi="Times New Roman" w:eastAsia="仿宋"/>
          <w:color w:val="000000" w:themeColor="text1"/>
          <w:sz w:val="32"/>
          <w:szCs w:val="32"/>
          <w14:textFill>
            <w14:solidFill>
              <w14:schemeClr w14:val="tx1"/>
            </w14:solidFill>
          </w14:textFill>
        </w:rPr>
        <w:t>转换为公司股票。</w:t>
      </w:r>
    </w:p>
    <w:p>
      <w:pPr>
        <w:snapToGrid w:val="0"/>
        <w:spacing w:line="600" w:lineRule="exact"/>
        <w:ind w:firstLine="642"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b/>
          <w:color w:val="000000" w:themeColor="text1"/>
          <w:sz w:val="32"/>
          <w:szCs w:val="32"/>
          <w14:textFill>
            <w14:solidFill>
              <w14:schemeClr w14:val="tx1"/>
            </w14:solidFill>
          </w14:textFill>
        </w:rPr>
        <w:t>第三十二条</w:t>
      </w:r>
      <w:r>
        <w:rPr>
          <w:rFonts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color w:val="000000" w:themeColor="text1"/>
          <w:sz w:val="32"/>
          <w:szCs w:val="32"/>
          <w14:textFill>
            <w14:solidFill>
              <w14:schemeClr w14:val="tx1"/>
            </w14:solidFill>
          </w14:textFill>
        </w:rPr>
        <w:t>投资者可将当日买入的</w:t>
      </w:r>
      <w:r>
        <w:rPr>
          <w:rFonts w:hint="eastAsia" w:ascii="Times New Roman" w:hAnsi="Times New Roman" w:eastAsia="仿宋"/>
          <w:color w:val="000000" w:themeColor="text1"/>
          <w:sz w:val="32"/>
          <w:szCs w:val="32"/>
          <w14:textFill>
            <w14:solidFill>
              <w14:schemeClr w14:val="tx1"/>
            </w14:solidFill>
          </w14:textFill>
        </w:rPr>
        <w:t>退市可转债</w:t>
      </w:r>
      <w:r>
        <w:rPr>
          <w:rFonts w:ascii="Times New Roman" w:hAnsi="Times New Roman" w:eastAsia="仿宋"/>
          <w:color w:val="000000" w:themeColor="text1"/>
          <w:sz w:val="32"/>
          <w:szCs w:val="32"/>
          <w14:textFill>
            <w14:solidFill>
              <w14:schemeClr w14:val="tx1"/>
            </w14:solidFill>
          </w14:textFill>
        </w:rPr>
        <w:t>申报转股，也可于当日转让时间内撤销转股申请。当日申报转股的，所转股票自转股登记完成后的次一交易日起转让。</w:t>
      </w:r>
    </w:p>
    <w:p>
      <w:pPr>
        <w:snapToGrid w:val="0"/>
        <w:spacing w:line="600" w:lineRule="exact"/>
        <w:ind w:firstLine="642" w:firstLineChars="200"/>
        <w:rPr>
          <w:rFonts w:ascii="Times New Roman" w:hAnsi="Times New Roman" w:eastAsia="仿宋"/>
          <w:sz w:val="32"/>
        </w:rPr>
      </w:pPr>
      <w:r>
        <w:rPr>
          <w:rFonts w:hint="eastAsia" w:ascii="Times New Roman" w:hAnsi="Times New Roman" w:eastAsia="仿宋"/>
          <w:b/>
          <w:color w:val="000000" w:themeColor="text1"/>
          <w:sz w:val="32"/>
          <w:szCs w:val="32"/>
          <w14:textFill>
            <w14:solidFill>
              <w14:schemeClr w14:val="tx1"/>
            </w14:solidFill>
          </w14:textFill>
        </w:rPr>
        <w:t>第三十三条</w:t>
      </w:r>
      <w:r>
        <w:rPr>
          <w:rFonts w:ascii="Times New Roman" w:hAnsi="Times New Roman" w:eastAsia="仿宋"/>
          <w:b/>
          <w:color w:val="000000" w:themeColor="text1"/>
          <w:sz w:val="32"/>
          <w:szCs w:val="32"/>
          <w14:textFill>
            <w14:solidFill>
              <w14:schemeClr w14:val="tx1"/>
            </w14:solidFill>
          </w14:textFill>
        </w:rPr>
        <w:t xml:space="preserve"> </w:t>
      </w:r>
      <w:r>
        <w:rPr>
          <w:rFonts w:ascii="Times New Roman" w:hAnsi="Times New Roman" w:eastAsia="仿宋"/>
          <w:sz w:val="32"/>
        </w:rPr>
        <w:t>退市公司涉及下列事项时，应当向全国股转公司申请暂停</w:t>
      </w:r>
      <w:r>
        <w:rPr>
          <w:rFonts w:hint="eastAsia" w:ascii="Times New Roman" w:hAnsi="Times New Roman" w:eastAsia="仿宋"/>
          <w:sz w:val="32"/>
        </w:rPr>
        <w:t>退市可转债</w:t>
      </w:r>
      <w:r>
        <w:rPr>
          <w:rFonts w:ascii="Times New Roman" w:hAnsi="Times New Roman" w:eastAsia="仿宋"/>
          <w:sz w:val="32"/>
        </w:rPr>
        <w:t>的转股：</w:t>
      </w:r>
    </w:p>
    <w:p>
      <w:pPr>
        <w:snapToGrid w:val="0"/>
        <w:spacing w:line="600" w:lineRule="exact"/>
        <w:ind w:firstLine="640" w:firstLineChars="200"/>
        <w:rPr>
          <w:rFonts w:ascii="Times New Roman" w:hAnsi="Times New Roman" w:eastAsia="仿宋"/>
          <w:sz w:val="32"/>
        </w:rPr>
      </w:pPr>
      <w:r>
        <w:rPr>
          <w:rFonts w:ascii="Times New Roman" w:hAnsi="Times New Roman" w:eastAsia="仿宋"/>
          <w:sz w:val="32"/>
        </w:rPr>
        <w:t>（一）进入转股期，</w:t>
      </w:r>
      <w:r>
        <w:rPr>
          <w:rFonts w:hint="eastAsia" w:ascii="Times New Roman" w:hAnsi="Times New Roman" w:eastAsia="仿宋"/>
          <w:sz w:val="32"/>
        </w:rPr>
        <w:t>退市可转债</w:t>
      </w:r>
      <w:r>
        <w:rPr>
          <w:rFonts w:ascii="Times New Roman" w:hAnsi="Times New Roman" w:eastAsia="仿宋"/>
          <w:sz w:val="32"/>
        </w:rPr>
        <w:t>转股价格需要调整的；</w:t>
      </w:r>
    </w:p>
    <w:p>
      <w:pPr>
        <w:snapToGrid w:val="0"/>
        <w:spacing w:line="600" w:lineRule="exact"/>
        <w:ind w:firstLine="640" w:firstLineChars="200"/>
        <w:jc w:val="left"/>
        <w:rPr>
          <w:rFonts w:ascii="Times New Roman" w:hAnsi="Times New Roman" w:eastAsia="仿宋"/>
          <w:sz w:val="32"/>
        </w:rPr>
      </w:pPr>
      <w:r>
        <w:rPr>
          <w:rFonts w:ascii="Times New Roman" w:hAnsi="Times New Roman" w:eastAsia="仿宋"/>
          <w:sz w:val="32"/>
        </w:rPr>
        <w:t>（二）满足赎回条件且公司董事会决议部分或全部赎回</w:t>
      </w:r>
      <w:r>
        <w:rPr>
          <w:rFonts w:hint="eastAsia" w:ascii="Times New Roman" w:hAnsi="Times New Roman" w:eastAsia="仿宋"/>
          <w:sz w:val="32"/>
        </w:rPr>
        <w:t>退市可转债</w:t>
      </w:r>
      <w:r>
        <w:rPr>
          <w:rFonts w:ascii="Times New Roman" w:hAnsi="Times New Roman" w:eastAsia="仿宋"/>
          <w:sz w:val="32"/>
        </w:rPr>
        <w:t>的；</w:t>
      </w:r>
    </w:p>
    <w:p>
      <w:pPr>
        <w:snapToGrid w:val="0"/>
        <w:spacing w:line="600" w:lineRule="exact"/>
        <w:ind w:firstLine="640" w:firstLineChars="200"/>
        <w:jc w:val="left"/>
        <w:rPr>
          <w:rFonts w:ascii="Times New Roman" w:hAnsi="Times New Roman" w:eastAsia="仿宋"/>
          <w:sz w:val="32"/>
        </w:rPr>
      </w:pPr>
      <w:r>
        <w:rPr>
          <w:rFonts w:ascii="Times New Roman" w:hAnsi="Times New Roman" w:eastAsia="仿宋"/>
          <w:sz w:val="32"/>
        </w:rPr>
        <w:t>（</w:t>
      </w:r>
      <w:r>
        <w:rPr>
          <w:rFonts w:hint="eastAsia" w:ascii="Times New Roman" w:hAnsi="Times New Roman" w:eastAsia="仿宋"/>
          <w:sz w:val="32"/>
        </w:rPr>
        <w:t>三</w:t>
      </w:r>
      <w:r>
        <w:rPr>
          <w:rFonts w:ascii="Times New Roman" w:hAnsi="Times New Roman" w:eastAsia="仿宋"/>
          <w:sz w:val="32"/>
        </w:rPr>
        <w:t>）</w:t>
      </w:r>
      <w:r>
        <w:rPr>
          <w:rFonts w:hint="eastAsia" w:ascii="Times New Roman" w:hAnsi="Times New Roman" w:eastAsia="仿宋"/>
          <w:sz w:val="32"/>
        </w:rPr>
        <w:t>退市可转债实施回售</w:t>
      </w:r>
      <w:r>
        <w:rPr>
          <w:rFonts w:ascii="Times New Roman" w:hAnsi="Times New Roman" w:eastAsia="仿宋"/>
          <w:sz w:val="32"/>
        </w:rPr>
        <w:t>；</w:t>
      </w:r>
    </w:p>
    <w:p>
      <w:pPr>
        <w:snapToGrid w:val="0"/>
        <w:spacing w:line="600" w:lineRule="exact"/>
        <w:ind w:firstLine="640" w:firstLineChars="200"/>
        <w:jc w:val="left"/>
        <w:rPr>
          <w:rFonts w:ascii="Times New Roman" w:hAnsi="Times New Roman" w:eastAsia="仿宋"/>
          <w:color w:val="000000" w:themeColor="text1"/>
          <w:sz w:val="32"/>
          <w:szCs w:val="30"/>
          <w14:textFill>
            <w14:solidFill>
              <w14:schemeClr w14:val="tx1"/>
            </w14:solidFill>
          </w14:textFill>
        </w:rPr>
      </w:pPr>
      <w:r>
        <w:rPr>
          <w:rFonts w:ascii="Times New Roman" w:hAnsi="Times New Roman" w:eastAsia="仿宋"/>
          <w:sz w:val="32"/>
        </w:rPr>
        <w:t>（</w:t>
      </w:r>
      <w:r>
        <w:rPr>
          <w:rFonts w:hint="eastAsia" w:ascii="Times New Roman" w:hAnsi="Times New Roman" w:eastAsia="仿宋"/>
          <w:sz w:val="32"/>
        </w:rPr>
        <w:t>四</w:t>
      </w:r>
      <w:r>
        <w:rPr>
          <w:rFonts w:ascii="Times New Roman" w:hAnsi="Times New Roman" w:eastAsia="仿宋"/>
          <w:sz w:val="32"/>
        </w:rPr>
        <w:t>）中国证监会和全国股转公司认为应当暂停转股的其他事项。</w:t>
      </w:r>
    </w:p>
    <w:p>
      <w:pPr>
        <w:snapToGrid w:val="0"/>
        <w:spacing w:line="600" w:lineRule="exact"/>
        <w:ind w:firstLine="642" w:firstLineChars="200"/>
        <w:rPr>
          <w:rFonts w:ascii="Times New Roman" w:hAnsi="Times New Roman" w:eastAsia="仿宋"/>
          <w:color w:val="000000" w:themeColor="text1"/>
          <w:sz w:val="32"/>
          <w:szCs w:val="30"/>
          <w14:textFill>
            <w14:solidFill>
              <w14:schemeClr w14:val="tx1"/>
            </w14:solidFill>
          </w14:textFill>
        </w:rPr>
      </w:pPr>
      <w:r>
        <w:rPr>
          <w:rFonts w:ascii="Times New Roman" w:hAnsi="Times New Roman" w:eastAsia="仿宋"/>
          <w:b/>
          <w:color w:val="000000" w:themeColor="text1"/>
          <w:sz w:val="32"/>
          <w:szCs w:val="30"/>
          <w14:textFill>
            <w14:solidFill>
              <w14:schemeClr w14:val="tx1"/>
            </w14:solidFill>
          </w14:textFill>
        </w:rPr>
        <w:t>第</w:t>
      </w:r>
      <w:r>
        <w:rPr>
          <w:rFonts w:hint="eastAsia" w:ascii="Times New Roman" w:hAnsi="Times New Roman" w:eastAsia="仿宋"/>
          <w:b/>
          <w:color w:val="000000" w:themeColor="text1"/>
          <w:sz w:val="32"/>
          <w:szCs w:val="30"/>
          <w14:textFill>
            <w14:solidFill>
              <w14:schemeClr w14:val="tx1"/>
            </w14:solidFill>
          </w14:textFill>
        </w:rPr>
        <w:t>三十四</w:t>
      </w:r>
      <w:r>
        <w:rPr>
          <w:rFonts w:ascii="Times New Roman" w:hAnsi="Times New Roman" w:eastAsia="仿宋"/>
          <w:b/>
          <w:color w:val="000000" w:themeColor="text1"/>
          <w:sz w:val="32"/>
          <w:szCs w:val="30"/>
          <w14:textFill>
            <w14:solidFill>
              <w14:schemeClr w14:val="tx1"/>
            </w14:solidFill>
          </w14:textFill>
        </w:rPr>
        <w:t xml:space="preserve">条 </w:t>
      </w:r>
      <w:r>
        <w:rPr>
          <w:rFonts w:ascii="Times New Roman" w:hAnsi="Times New Roman" w:eastAsia="仿宋"/>
          <w:color w:val="000000" w:themeColor="text1"/>
          <w:sz w:val="32"/>
          <w:szCs w:val="30"/>
          <w14:textFill>
            <w14:solidFill>
              <w14:schemeClr w14:val="tx1"/>
            </w14:solidFill>
          </w14:textFill>
        </w:rPr>
        <w:t>退市公司行使赎回权的，应当向全国股转公司申请赎回期间暂停该</w:t>
      </w:r>
      <w:r>
        <w:rPr>
          <w:rFonts w:hint="eastAsia" w:ascii="Times New Roman" w:hAnsi="Times New Roman" w:eastAsia="仿宋"/>
          <w:color w:val="000000" w:themeColor="text1"/>
          <w:sz w:val="32"/>
          <w:szCs w:val="30"/>
          <w14:textFill>
            <w14:solidFill>
              <w14:schemeClr w14:val="tx1"/>
            </w14:solidFill>
          </w14:textFill>
        </w:rPr>
        <w:t>退市可转债</w:t>
      </w:r>
      <w:r>
        <w:rPr>
          <w:rFonts w:ascii="Times New Roman" w:hAnsi="Times New Roman" w:eastAsia="仿宋"/>
          <w:color w:val="000000" w:themeColor="text1"/>
          <w:sz w:val="32"/>
          <w:szCs w:val="30"/>
          <w14:textFill>
            <w14:solidFill>
              <w14:schemeClr w14:val="tx1"/>
            </w14:solidFill>
          </w14:textFill>
        </w:rPr>
        <w:t>的转让和转股。</w:t>
      </w:r>
    </w:p>
    <w:p>
      <w:pPr>
        <w:snapToGrid w:val="0"/>
        <w:spacing w:line="600" w:lineRule="exact"/>
        <w:ind w:firstLine="642" w:firstLineChars="200"/>
        <w:rPr>
          <w:rFonts w:ascii="Times New Roman" w:hAnsi="Times New Roman" w:eastAsia="仿宋"/>
          <w:color w:val="000000" w:themeColor="text1"/>
          <w:sz w:val="32"/>
          <w:szCs w:val="30"/>
          <w14:textFill>
            <w14:solidFill>
              <w14:schemeClr w14:val="tx1"/>
            </w14:solidFill>
          </w14:textFill>
        </w:rPr>
      </w:pPr>
      <w:r>
        <w:rPr>
          <w:rFonts w:hint="eastAsia" w:ascii="Times New Roman" w:hAnsi="Times New Roman" w:eastAsia="仿宋"/>
          <w:b/>
          <w:color w:val="000000" w:themeColor="text1"/>
          <w:sz w:val="32"/>
          <w:szCs w:val="30"/>
          <w14:textFill>
            <w14:solidFill>
              <w14:schemeClr w14:val="tx1"/>
            </w14:solidFill>
          </w14:textFill>
        </w:rPr>
        <w:t>第三十五条</w:t>
      </w:r>
      <w:r>
        <w:rPr>
          <w:rFonts w:ascii="Times New Roman" w:hAnsi="Times New Roman" w:eastAsia="仿宋"/>
          <w:b/>
          <w:color w:val="000000" w:themeColor="text1"/>
          <w:sz w:val="32"/>
          <w:szCs w:val="30"/>
          <w14:textFill>
            <w14:solidFill>
              <w14:schemeClr w14:val="tx1"/>
            </w14:solidFill>
          </w14:textFill>
        </w:rPr>
        <w:t xml:space="preserve"> </w:t>
      </w:r>
      <w:r>
        <w:rPr>
          <w:rFonts w:ascii="Times New Roman" w:hAnsi="Times New Roman" w:eastAsia="仿宋"/>
          <w:color w:val="000000" w:themeColor="text1"/>
          <w:sz w:val="32"/>
          <w:szCs w:val="30"/>
          <w14:textFill>
            <w14:solidFill>
              <w14:schemeClr w14:val="tx1"/>
            </w14:solidFill>
          </w14:textFill>
        </w:rPr>
        <w:t>退市公司根据暂停转让后登记在册的</w:t>
      </w:r>
      <w:r>
        <w:rPr>
          <w:rFonts w:hint="eastAsia" w:ascii="Times New Roman" w:hAnsi="Times New Roman" w:eastAsia="仿宋"/>
          <w:color w:val="000000" w:themeColor="text1"/>
          <w:sz w:val="32"/>
          <w:szCs w:val="30"/>
          <w14:textFill>
            <w14:solidFill>
              <w14:schemeClr w14:val="tx1"/>
            </w14:solidFill>
          </w14:textFill>
        </w:rPr>
        <w:t>退市可转债</w:t>
      </w:r>
      <w:r>
        <w:rPr>
          <w:rFonts w:ascii="Times New Roman" w:hAnsi="Times New Roman" w:eastAsia="仿宋"/>
          <w:color w:val="000000" w:themeColor="text1"/>
          <w:sz w:val="32"/>
          <w:szCs w:val="30"/>
          <w14:textFill>
            <w14:solidFill>
              <w14:schemeClr w14:val="tx1"/>
            </w14:solidFill>
          </w14:textFill>
        </w:rPr>
        <w:t>数量，于赎回日结束后的6个交易日内通过中国结算进行赎回资金的划付。</w:t>
      </w:r>
    </w:p>
    <w:p>
      <w:pPr>
        <w:snapToGrid w:val="0"/>
        <w:spacing w:line="600" w:lineRule="exact"/>
        <w:ind w:firstLine="642" w:firstLineChars="200"/>
        <w:rPr>
          <w:rFonts w:ascii="Times New Roman" w:hAnsi="Times New Roman" w:eastAsia="仿宋"/>
          <w:color w:val="000000" w:themeColor="text1"/>
          <w:sz w:val="32"/>
          <w:szCs w:val="30"/>
          <w14:textFill>
            <w14:solidFill>
              <w14:schemeClr w14:val="tx1"/>
            </w14:solidFill>
          </w14:textFill>
        </w:rPr>
      </w:pPr>
      <w:r>
        <w:rPr>
          <w:rFonts w:ascii="Times New Roman" w:hAnsi="Times New Roman" w:eastAsia="仿宋"/>
          <w:b/>
          <w:color w:val="000000" w:themeColor="text1"/>
          <w:sz w:val="32"/>
          <w:szCs w:val="30"/>
          <w14:textFill>
            <w14:solidFill>
              <w14:schemeClr w14:val="tx1"/>
            </w14:solidFill>
          </w14:textFill>
        </w:rPr>
        <w:t>第</w:t>
      </w:r>
      <w:r>
        <w:rPr>
          <w:rFonts w:hint="eastAsia" w:ascii="Times New Roman" w:hAnsi="Times New Roman" w:eastAsia="仿宋"/>
          <w:b/>
          <w:color w:val="000000" w:themeColor="text1"/>
          <w:sz w:val="32"/>
          <w:szCs w:val="30"/>
          <w14:textFill>
            <w14:solidFill>
              <w14:schemeClr w14:val="tx1"/>
            </w14:solidFill>
          </w14:textFill>
        </w:rPr>
        <w:t>三十六</w:t>
      </w:r>
      <w:r>
        <w:rPr>
          <w:rFonts w:ascii="Times New Roman" w:hAnsi="Times New Roman" w:eastAsia="仿宋"/>
          <w:b/>
          <w:color w:val="000000" w:themeColor="text1"/>
          <w:sz w:val="32"/>
          <w:szCs w:val="30"/>
          <w14:textFill>
            <w14:solidFill>
              <w14:schemeClr w14:val="tx1"/>
            </w14:solidFill>
          </w14:textFill>
        </w:rPr>
        <w:t xml:space="preserve">条 </w:t>
      </w:r>
      <w:r>
        <w:rPr>
          <w:rFonts w:ascii="Times New Roman" w:hAnsi="Times New Roman" w:eastAsia="仿宋"/>
          <w:color w:val="000000" w:themeColor="text1"/>
          <w:sz w:val="32"/>
          <w:szCs w:val="30"/>
          <w14:textFill>
            <w14:solidFill>
              <w14:schemeClr w14:val="tx1"/>
            </w14:solidFill>
          </w14:textFill>
        </w:rPr>
        <w:t>在</w:t>
      </w:r>
      <w:r>
        <w:rPr>
          <w:rFonts w:hint="eastAsia" w:ascii="Times New Roman" w:hAnsi="Times New Roman" w:eastAsia="仿宋"/>
          <w:color w:val="000000" w:themeColor="text1"/>
          <w:sz w:val="32"/>
          <w:szCs w:val="30"/>
          <w14:textFill>
            <w14:solidFill>
              <w14:schemeClr w14:val="tx1"/>
            </w14:solidFill>
          </w14:textFill>
        </w:rPr>
        <w:t>退市可转债</w:t>
      </w:r>
      <w:r>
        <w:rPr>
          <w:rFonts w:ascii="Times New Roman" w:hAnsi="Times New Roman" w:eastAsia="仿宋"/>
          <w:color w:val="000000" w:themeColor="text1"/>
          <w:sz w:val="32"/>
          <w:szCs w:val="30"/>
          <w14:textFill>
            <w14:solidFill>
              <w14:schemeClr w14:val="tx1"/>
            </w14:solidFill>
          </w14:textFill>
        </w:rPr>
        <w:t>的回售期内，债券持有人进行回售申报，回售申报当日可以撤单。在回售期结束后的6个交易日内，退市公司通过中国结算进行回售资金的划付。</w:t>
      </w:r>
    </w:p>
    <w:p>
      <w:pPr>
        <w:snapToGrid w:val="0"/>
        <w:spacing w:line="600" w:lineRule="exact"/>
        <w:ind w:firstLine="642" w:firstLineChars="200"/>
        <w:rPr>
          <w:rFonts w:ascii="Times New Roman" w:hAnsi="Times New Roman" w:eastAsia="仿宋"/>
          <w:color w:val="000000" w:themeColor="text1"/>
          <w:sz w:val="32"/>
          <w:szCs w:val="30"/>
          <w14:textFill>
            <w14:solidFill>
              <w14:schemeClr w14:val="tx1"/>
            </w14:solidFill>
          </w14:textFill>
        </w:rPr>
      </w:pPr>
      <w:r>
        <w:rPr>
          <w:rFonts w:ascii="Times New Roman" w:hAnsi="Times New Roman" w:eastAsia="仿宋"/>
          <w:b/>
          <w:color w:val="000000" w:themeColor="text1"/>
          <w:sz w:val="32"/>
          <w:szCs w:val="30"/>
          <w14:textFill>
            <w14:solidFill>
              <w14:schemeClr w14:val="tx1"/>
            </w14:solidFill>
          </w14:textFill>
        </w:rPr>
        <w:t>第</w:t>
      </w:r>
      <w:r>
        <w:rPr>
          <w:rFonts w:hint="eastAsia" w:ascii="Times New Roman" w:hAnsi="Times New Roman" w:eastAsia="仿宋"/>
          <w:b/>
          <w:color w:val="000000" w:themeColor="text1"/>
          <w:sz w:val="32"/>
          <w:szCs w:val="30"/>
          <w14:textFill>
            <w14:solidFill>
              <w14:schemeClr w14:val="tx1"/>
            </w14:solidFill>
          </w14:textFill>
        </w:rPr>
        <w:t>三十七</w:t>
      </w:r>
      <w:r>
        <w:rPr>
          <w:rFonts w:ascii="Times New Roman" w:hAnsi="Times New Roman" w:eastAsia="仿宋"/>
          <w:b/>
          <w:color w:val="000000" w:themeColor="text1"/>
          <w:sz w:val="32"/>
          <w:szCs w:val="30"/>
          <w14:textFill>
            <w14:solidFill>
              <w14:schemeClr w14:val="tx1"/>
            </w14:solidFill>
          </w14:textFill>
        </w:rPr>
        <w:t xml:space="preserve">条 </w:t>
      </w:r>
      <w:r>
        <w:rPr>
          <w:rFonts w:ascii="Times New Roman" w:hAnsi="Times New Roman" w:eastAsia="仿宋"/>
          <w:color w:val="000000" w:themeColor="text1"/>
          <w:sz w:val="32"/>
          <w:szCs w:val="30"/>
          <w14:textFill>
            <w14:solidFill>
              <w14:schemeClr w14:val="tx1"/>
            </w14:solidFill>
          </w14:textFill>
        </w:rPr>
        <w:t>如在同一交易日内分别收到</w:t>
      </w:r>
      <w:r>
        <w:rPr>
          <w:rFonts w:hint="eastAsia" w:ascii="Times New Roman" w:hAnsi="Times New Roman" w:eastAsia="仿宋"/>
          <w:color w:val="000000" w:themeColor="text1"/>
          <w:sz w:val="32"/>
          <w:szCs w:val="30"/>
          <w14:textFill>
            <w14:solidFill>
              <w14:schemeClr w14:val="tx1"/>
            </w14:solidFill>
          </w14:textFill>
        </w:rPr>
        <w:t>退市可转债</w:t>
      </w:r>
      <w:r>
        <w:rPr>
          <w:rFonts w:ascii="Times New Roman" w:hAnsi="Times New Roman" w:eastAsia="仿宋"/>
          <w:color w:val="000000" w:themeColor="text1"/>
          <w:sz w:val="32"/>
          <w:szCs w:val="30"/>
          <w14:textFill>
            <w14:solidFill>
              <w14:schemeClr w14:val="tx1"/>
            </w14:solidFill>
          </w14:textFill>
        </w:rPr>
        <w:t>持有人的转让、转托管、转股、回售等两项或者以上报盘申请的，按以下顺序处理申请：转让、回售、转股、转托管。</w:t>
      </w:r>
    </w:p>
    <w:p>
      <w:pPr>
        <w:snapToGrid w:val="0"/>
        <w:spacing w:line="600" w:lineRule="exact"/>
        <w:ind w:firstLine="642" w:firstLineChars="200"/>
        <w:rPr>
          <w:rFonts w:ascii="Times New Roman" w:hAnsi="Times New Roman" w:eastAsia="仿宋"/>
          <w:color w:val="000000" w:themeColor="text1"/>
          <w:sz w:val="32"/>
          <w:szCs w:val="32"/>
          <w14:textFill>
            <w14:solidFill>
              <w14:schemeClr w14:val="tx1"/>
            </w14:solidFill>
          </w14:textFill>
        </w:rPr>
      </w:pPr>
      <w:r>
        <w:rPr>
          <w:rFonts w:hint="eastAsia" w:ascii="Times New Roman" w:hAnsi="Times New Roman" w:eastAsia="仿宋"/>
          <w:b/>
          <w:color w:val="000000" w:themeColor="text1"/>
          <w:sz w:val="32"/>
          <w:szCs w:val="32"/>
          <w14:textFill>
            <w14:solidFill>
              <w14:schemeClr w14:val="tx1"/>
            </w14:solidFill>
          </w14:textFill>
        </w:rPr>
        <w:t>第</w:t>
      </w:r>
      <w:r>
        <w:rPr>
          <w:rFonts w:hint="eastAsia" w:ascii="Times New Roman" w:hAnsi="Times New Roman" w:eastAsia="仿宋"/>
          <w:b/>
          <w:color w:val="000000" w:themeColor="text1"/>
          <w:sz w:val="32"/>
          <w:szCs w:val="30"/>
          <w14:textFill>
            <w14:solidFill>
              <w14:schemeClr w14:val="tx1"/>
            </w14:solidFill>
          </w14:textFill>
        </w:rPr>
        <w:t>三十八</w:t>
      </w:r>
      <w:r>
        <w:rPr>
          <w:rFonts w:hint="eastAsia" w:ascii="Times New Roman" w:hAnsi="Times New Roman" w:eastAsia="仿宋"/>
          <w:b/>
          <w:color w:val="000000" w:themeColor="text1"/>
          <w:sz w:val="32"/>
          <w:szCs w:val="32"/>
          <w14:textFill>
            <w14:solidFill>
              <w14:schemeClr w14:val="tx1"/>
            </w14:solidFill>
          </w14:textFill>
        </w:rPr>
        <w:t xml:space="preserve">条 </w:t>
      </w:r>
      <w:r>
        <w:rPr>
          <w:rFonts w:hint="eastAsia" w:ascii="Times New Roman" w:hAnsi="Times New Roman" w:eastAsia="仿宋"/>
          <w:color w:val="000000" w:themeColor="text1"/>
          <w:sz w:val="32"/>
          <w:szCs w:val="32"/>
          <w14:textFill>
            <w14:solidFill>
              <w14:schemeClr w14:val="tx1"/>
            </w14:solidFill>
          </w14:textFill>
        </w:rPr>
        <w:t>退市公司原则上应通过中国结算进行付息和本息兑付，并按中国结算相关规定办理。</w:t>
      </w:r>
    </w:p>
    <w:p>
      <w:pPr>
        <w:adjustRightInd w:val="0"/>
        <w:snapToGrid w:val="0"/>
        <w:spacing w:before="240" w:after="240" w:line="600" w:lineRule="exact"/>
        <w:jc w:val="center"/>
        <w:outlineLvl w:val="0"/>
        <w:rPr>
          <w:rFonts w:ascii="Times New Roman" w:hAnsi="Times New Roman" w:eastAsia="仿宋"/>
          <w:b/>
          <w:color w:val="000000" w:themeColor="text1"/>
          <w:sz w:val="32"/>
          <w:szCs w:val="32"/>
          <w14:textFill>
            <w14:solidFill>
              <w14:schemeClr w14:val="tx1"/>
            </w14:solidFill>
          </w14:textFill>
        </w:rPr>
      </w:pPr>
      <w:r>
        <w:rPr>
          <w:rFonts w:ascii="Times New Roman" w:hAnsi="Times New Roman" w:eastAsia="黑体"/>
          <w:color w:val="000000" w:themeColor="text1"/>
          <w:sz w:val="32"/>
          <w:szCs w:val="30"/>
          <w14:textFill>
            <w14:solidFill>
              <w14:schemeClr w14:val="tx1"/>
            </w14:solidFill>
          </w14:textFill>
        </w:rPr>
        <w:t>第</w:t>
      </w:r>
      <w:r>
        <w:rPr>
          <w:rFonts w:hint="eastAsia" w:ascii="Times New Roman" w:hAnsi="Times New Roman" w:eastAsia="黑体"/>
          <w:color w:val="000000" w:themeColor="text1"/>
          <w:sz w:val="32"/>
          <w:szCs w:val="30"/>
          <w14:textFill>
            <w14:solidFill>
              <w14:schemeClr w14:val="tx1"/>
            </w14:solidFill>
          </w14:textFill>
        </w:rPr>
        <w:t>四</w:t>
      </w:r>
      <w:r>
        <w:rPr>
          <w:rFonts w:ascii="Times New Roman" w:hAnsi="Times New Roman" w:eastAsia="黑体"/>
          <w:color w:val="000000" w:themeColor="text1"/>
          <w:sz w:val="32"/>
          <w:szCs w:val="30"/>
          <w14:textFill>
            <w14:solidFill>
              <w14:schemeClr w14:val="tx1"/>
            </w14:solidFill>
          </w14:textFill>
        </w:rPr>
        <w:t>章</w:t>
      </w:r>
      <w:r>
        <w:rPr>
          <w:rFonts w:hint="eastAsia" w:ascii="Times New Roman" w:hAnsi="Times New Roman" w:eastAsia="黑体"/>
          <w:color w:val="000000" w:themeColor="text1"/>
          <w:sz w:val="32"/>
          <w:szCs w:val="30"/>
          <w14:textFill>
            <w14:solidFill>
              <w14:schemeClr w14:val="tx1"/>
            </w14:solidFill>
          </w14:textFill>
        </w:rPr>
        <w:t xml:space="preserve"> </w:t>
      </w:r>
      <w:r>
        <w:rPr>
          <w:rFonts w:ascii="Times New Roman" w:hAnsi="Times New Roman" w:eastAsia="黑体"/>
          <w:color w:val="000000" w:themeColor="text1"/>
          <w:sz w:val="32"/>
          <w:szCs w:val="30"/>
          <w14:textFill>
            <w14:solidFill>
              <w14:schemeClr w14:val="tx1"/>
            </w14:solidFill>
          </w14:textFill>
        </w:rPr>
        <w:t xml:space="preserve"> </w:t>
      </w:r>
      <w:r>
        <w:rPr>
          <w:rFonts w:hint="eastAsia" w:ascii="Times New Roman" w:hAnsi="Times New Roman" w:eastAsia="黑体"/>
          <w:color w:val="000000" w:themeColor="text1"/>
          <w:sz w:val="32"/>
          <w:szCs w:val="30"/>
          <w14:textFill>
            <w14:solidFill>
              <w14:schemeClr w14:val="tx1"/>
            </w14:solidFill>
          </w14:textFill>
        </w:rPr>
        <w:t>持续</w:t>
      </w:r>
      <w:r>
        <w:rPr>
          <w:rFonts w:ascii="Times New Roman" w:hAnsi="Times New Roman" w:eastAsia="黑体"/>
          <w:color w:val="000000" w:themeColor="text1"/>
          <w:sz w:val="32"/>
          <w:szCs w:val="30"/>
          <w14:textFill>
            <w14:solidFill>
              <w14:schemeClr w14:val="tx1"/>
            </w14:solidFill>
          </w14:textFill>
        </w:rPr>
        <w:t>信息披露</w:t>
      </w:r>
    </w:p>
    <w:p>
      <w:pPr>
        <w:snapToGrid w:val="0"/>
        <w:spacing w:line="600" w:lineRule="exact"/>
        <w:ind w:firstLine="642" w:firstLineChars="200"/>
        <w:rPr>
          <w:rFonts w:ascii="Times New Roman" w:hAnsi="Times New Roman" w:eastAsia="仿宋"/>
          <w:b/>
          <w:color w:val="000000" w:themeColor="text1"/>
          <w:sz w:val="32"/>
          <w:szCs w:val="30"/>
          <w14:textFill>
            <w14:solidFill>
              <w14:schemeClr w14:val="tx1"/>
            </w14:solidFill>
          </w14:textFill>
        </w:rPr>
      </w:pPr>
      <w:r>
        <w:rPr>
          <w:rFonts w:ascii="Times New Roman" w:hAnsi="Times New Roman" w:eastAsia="仿宋"/>
          <w:b/>
          <w:color w:val="000000" w:themeColor="text1"/>
          <w:sz w:val="32"/>
          <w:szCs w:val="30"/>
          <w14:textFill>
            <w14:solidFill>
              <w14:schemeClr w14:val="tx1"/>
            </w14:solidFill>
          </w14:textFill>
        </w:rPr>
        <w:t>第</w:t>
      </w:r>
      <w:r>
        <w:rPr>
          <w:rFonts w:hint="eastAsia" w:ascii="Times New Roman" w:hAnsi="Times New Roman" w:eastAsia="仿宋"/>
          <w:b/>
          <w:color w:val="000000" w:themeColor="text1"/>
          <w:sz w:val="32"/>
          <w:szCs w:val="30"/>
          <w14:textFill>
            <w14:solidFill>
              <w14:schemeClr w14:val="tx1"/>
            </w14:solidFill>
          </w14:textFill>
        </w:rPr>
        <w:t>三十九</w:t>
      </w:r>
      <w:r>
        <w:rPr>
          <w:rFonts w:ascii="Times New Roman" w:hAnsi="Times New Roman" w:eastAsia="仿宋"/>
          <w:b/>
          <w:color w:val="000000" w:themeColor="text1"/>
          <w:sz w:val="32"/>
          <w:szCs w:val="30"/>
          <w14:textFill>
            <w14:solidFill>
              <w14:schemeClr w14:val="tx1"/>
            </w14:solidFill>
          </w14:textFill>
        </w:rPr>
        <w:t xml:space="preserve">条 </w:t>
      </w:r>
      <w:r>
        <w:rPr>
          <w:rFonts w:ascii="Times New Roman" w:hAnsi="Times New Roman" w:eastAsia="仿宋"/>
          <w:color w:val="000000" w:themeColor="text1"/>
          <w:sz w:val="32"/>
          <w:szCs w:val="30"/>
          <w14:textFill>
            <w14:solidFill>
              <w14:schemeClr w14:val="tx1"/>
            </w14:solidFill>
          </w14:textFill>
        </w:rPr>
        <w:t>退市公司应当在</w:t>
      </w:r>
      <w:r>
        <w:rPr>
          <w:rFonts w:hint="eastAsia" w:ascii="Times New Roman" w:hAnsi="Times New Roman" w:eastAsia="仿宋"/>
          <w:color w:val="000000" w:themeColor="text1"/>
          <w:sz w:val="32"/>
          <w:szCs w:val="30"/>
          <w14:textFill>
            <w14:solidFill>
              <w14:schemeClr w14:val="tx1"/>
            </w14:solidFill>
          </w14:textFill>
        </w:rPr>
        <w:t>退市可转债</w:t>
      </w:r>
      <w:r>
        <w:rPr>
          <w:rFonts w:ascii="Times New Roman" w:hAnsi="Times New Roman" w:eastAsia="仿宋"/>
          <w:color w:val="000000" w:themeColor="text1"/>
          <w:sz w:val="32"/>
          <w:szCs w:val="30"/>
          <w14:textFill>
            <w14:solidFill>
              <w14:schemeClr w14:val="tx1"/>
            </w14:solidFill>
          </w14:textFill>
        </w:rPr>
        <w:t>开始转股前3个交易日内披露实施转股的公告</w:t>
      </w:r>
      <w:r>
        <w:rPr>
          <w:rFonts w:hint="eastAsia" w:ascii="Times New Roman" w:hAnsi="Times New Roman" w:eastAsia="仿宋"/>
          <w:color w:val="000000" w:themeColor="text1"/>
          <w:sz w:val="32"/>
          <w:szCs w:val="30"/>
          <w14:textFill>
            <w14:solidFill>
              <w14:schemeClr w14:val="tx1"/>
            </w14:solidFill>
          </w14:textFill>
        </w:rPr>
        <w:t>，公告需同时明确债券面额不足转换一股产生的兑付资金相关划付安排</w:t>
      </w:r>
      <w:r>
        <w:rPr>
          <w:rFonts w:ascii="Times New Roman" w:hAnsi="Times New Roman" w:eastAsia="仿宋"/>
          <w:color w:val="000000" w:themeColor="text1"/>
          <w:sz w:val="32"/>
          <w:szCs w:val="30"/>
          <w14:textFill>
            <w14:solidFill>
              <w14:schemeClr w14:val="tx1"/>
            </w14:solidFill>
          </w14:textFill>
        </w:rPr>
        <w:t>。</w:t>
      </w:r>
    </w:p>
    <w:p>
      <w:pPr>
        <w:snapToGrid w:val="0"/>
        <w:spacing w:line="600" w:lineRule="exact"/>
        <w:ind w:firstLine="640" w:firstLineChars="200"/>
        <w:rPr>
          <w:rFonts w:ascii="Times New Roman" w:hAnsi="Times New Roman" w:eastAsia="仿宋"/>
          <w:color w:val="000000" w:themeColor="text1"/>
          <w:sz w:val="32"/>
          <w:szCs w:val="30"/>
          <w14:textFill>
            <w14:solidFill>
              <w14:schemeClr w14:val="tx1"/>
            </w14:solidFill>
          </w14:textFill>
        </w:rPr>
      </w:pPr>
      <w:r>
        <w:rPr>
          <w:rFonts w:hint="eastAsia" w:ascii="Times New Roman" w:hAnsi="Times New Roman" w:eastAsia="仿宋"/>
          <w:color w:val="000000" w:themeColor="text1"/>
          <w:sz w:val="32"/>
          <w:szCs w:val="30"/>
          <w14:textFill>
            <w14:solidFill>
              <w14:schemeClr w14:val="tx1"/>
            </w14:solidFill>
          </w14:textFill>
        </w:rPr>
        <w:t>退市可转债</w:t>
      </w:r>
      <w:r>
        <w:rPr>
          <w:rFonts w:ascii="Times New Roman" w:hAnsi="Times New Roman" w:eastAsia="仿宋"/>
          <w:color w:val="000000" w:themeColor="text1"/>
          <w:sz w:val="32"/>
          <w:szCs w:val="30"/>
          <w14:textFill>
            <w14:solidFill>
              <w14:schemeClr w14:val="tx1"/>
            </w14:solidFill>
          </w14:textFill>
        </w:rPr>
        <w:t>转换为股票的数额累计达到</w:t>
      </w:r>
      <w:r>
        <w:rPr>
          <w:rFonts w:hint="eastAsia" w:ascii="Times New Roman" w:hAnsi="Times New Roman" w:eastAsia="仿宋"/>
          <w:color w:val="000000" w:themeColor="text1"/>
          <w:sz w:val="32"/>
          <w:szCs w:val="30"/>
          <w14:textFill>
            <w14:solidFill>
              <w14:schemeClr w14:val="tx1"/>
            </w14:solidFill>
          </w14:textFill>
        </w:rPr>
        <w:t>退市可转债</w:t>
      </w:r>
      <w:r>
        <w:rPr>
          <w:rFonts w:ascii="Times New Roman" w:hAnsi="Times New Roman" w:eastAsia="仿宋"/>
          <w:color w:val="000000" w:themeColor="text1"/>
          <w:sz w:val="32"/>
          <w:szCs w:val="30"/>
          <w14:textFill>
            <w14:solidFill>
              <w14:schemeClr w14:val="tx1"/>
            </w14:solidFill>
          </w14:textFill>
        </w:rPr>
        <w:t>开始转股前公司股本总额的10%时，退市公司应当及时披露股</w:t>
      </w:r>
      <w:r>
        <w:rPr>
          <w:rFonts w:hint="eastAsia" w:ascii="Times New Roman" w:hAnsi="Times New Roman" w:eastAsia="仿宋"/>
          <w:color w:val="000000" w:themeColor="text1"/>
          <w:sz w:val="32"/>
          <w:szCs w:val="30"/>
          <w14:textFill>
            <w14:solidFill>
              <w14:schemeClr w14:val="tx1"/>
            </w14:solidFill>
          </w14:textFill>
        </w:rPr>
        <w:t>本</w:t>
      </w:r>
      <w:r>
        <w:rPr>
          <w:rFonts w:ascii="Times New Roman" w:hAnsi="Times New Roman" w:eastAsia="仿宋"/>
          <w:color w:val="000000" w:themeColor="text1"/>
          <w:sz w:val="32"/>
          <w:szCs w:val="30"/>
          <w14:textFill>
            <w14:solidFill>
              <w14:schemeClr w14:val="tx1"/>
            </w14:solidFill>
          </w14:textFill>
        </w:rPr>
        <w:t>变动公告。</w:t>
      </w:r>
    </w:p>
    <w:p>
      <w:pPr>
        <w:snapToGrid w:val="0"/>
        <w:spacing w:line="600" w:lineRule="exact"/>
        <w:ind w:firstLine="640" w:firstLineChars="200"/>
        <w:rPr>
          <w:rFonts w:ascii="Times New Roman" w:hAnsi="Times New Roman" w:eastAsia="仿宋"/>
          <w:color w:val="000000" w:themeColor="text1"/>
          <w:sz w:val="32"/>
          <w:szCs w:val="30"/>
          <w14:textFill>
            <w14:solidFill>
              <w14:schemeClr w14:val="tx1"/>
            </w14:solidFill>
          </w14:textFill>
        </w:rPr>
      </w:pPr>
      <w:r>
        <w:rPr>
          <w:rFonts w:ascii="Times New Roman" w:hAnsi="Times New Roman" w:eastAsia="仿宋"/>
          <w:color w:val="000000" w:themeColor="text1"/>
          <w:sz w:val="32"/>
          <w:szCs w:val="30"/>
          <w14:textFill>
            <w14:solidFill>
              <w14:schemeClr w14:val="tx1"/>
            </w14:solidFill>
          </w14:textFill>
        </w:rPr>
        <w:t>退市公司在转股期结束的20个交易日前应当至少发布3次提示公告，提醒投资者有关在</w:t>
      </w:r>
      <w:r>
        <w:rPr>
          <w:rFonts w:hint="eastAsia" w:ascii="Times New Roman" w:hAnsi="Times New Roman" w:eastAsia="仿宋"/>
          <w:color w:val="000000" w:themeColor="text1"/>
          <w:sz w:val="32"/>
          <w:szCs w:val="30"/>
          <w14:textFill>
            <w14:solidFill>
              <w14:schemeClr w14:val="tx1"/>
            </w14:solidFill>
          </w14:textFill>
        </w:rPr>
        <w:t>退市可转债</w:t>
      </w:r>
      <w:r>
        <w:rPr>
          <w:rFonts w:ascii="Times New Roman" w:hAnsi="Times New Roman" w:eastAsia="仿宋"/>
          <w:color w:val="000000" w:themeColor="text1"/>
          <w:sz w:val="32"/>
          <w:szCs w:val="30"/>
          <w14:textFill>
            <w14:solidFill>
              <w14:schemeClr w14:val="tx1"/>
            </w14:solidFill>
          </w14:textFill>
        </w:rPr>
        <w:t>转股期结束前10个交易日暂停转让的事项。</w:t>
      </w:r>
    </w:p>
    <w:p>
      <w:pPr>
        <w:snapToGrid w:val="0"/>
        <w:spacing w:line="600" w:lineRule="exact"/>
        <w:ind w:firstLine="642" w:firstLineChars="200"/>
        <w:rPr>
          <w:rFonts w:ascii="Times New Roman" w:hAnsi="Times New Roman" w:eastAsia="仿宋"/>
          <w:color w:val="000000" w:themeColor="text1"/>
          <w:sz w:val="32"/>
          <w:szCs w:val="30"/>
          <w14:textFill>
            <w14:solidFill>
              <w14:schemeClr w14:val="tx1"/>
            </w14:solidFill>
          </w14:textFill>
        </w:rPr>
      </w:pPr>
      <w:r>
        <w:rPr>
          <w:rFonts w:ascii="Times New Roman" w:hAnsi="Times New Roman" w:eastAsia="仿宋"/>
          <w:b/>
          <w:color w:val="000000" w:themeColor="text1"/>
          <w:sz w:val="32"/>
          <w:szCs w:val="30"/>
          <w14:textFill>
            <w14:solidFill>
              <w14:schemeClr w14:val="tx1"/>
            </w14:solidFill>
          </w14:textFill>
        </w:rPr>
        <w:t>第</w:t>
      </w:r>
      <w:r>
        <w:rPr>
          <w:rFonts w:hint="eastAsia" w:ascii="Times New Roman" w:hAnsi="Times New Roman" w:eastAsia="仿宋"/>
          <w:b/>
          <w:color w:val="000000" w:themeColor="text1"/>
          <w:sz w:val="32"/>
          <w:szCs w:val="30"/>
          <w14:textFill>
            <w14:solidFill>
              <w14:schemeClr w14:val="tx1"/>
            </w14:solidFill>
          </w14:textFill>
        </w:rPr>
        <w:t>四十</w:t>
      </w:r>
      <w:r>
        <w:rPr>
          <w:rFonts w:ascii="Times New Roman" w:hAnsi="Times New Roman" w:eastAsia="仿宋"/>
          <w:b/>
          <w:color w:val="000000" w:themeColor="text1"/>
          <w:sz w:val="32"/>
          <w:szCs w:val="30"/>
          <w14:textFill>
            <w14:solidFill>
              <w14:schemeClr w14:val="tx1"/>
            </w14:solidFill>
          </w14:textFill>
        </w:rPr>
        <w:t xml:space="preserve">条 </w:t>
      </w:r>
      <w:r>
        <w:rPr>
          <w:rFonts w:ascii="Times New Roman" w:hAnsi="Times New Roman" w:eastAsia="仿宋"/>
          <w:kern w:val="0"/>
          <w:sz w:val="32"/>
          <w:szCs w:val="32"/>
        </w:rPr>
        <w:t>在</w:t>
      </w:r>
      <w:r>
        <w:rPr>
          <w:rFonts w:hint="eastAsia" w:ascii="Times New Roman" w:hAnsi="Times New Roman" w:eastAsia="仿宋"/>
          <w:kern w:val="0"/>
          <w:sz w:val="32"/>
          <w:szCs w:val="32"/>
        </w:rPr>
        <w:t>退市可转债</w:t>
      </w:r>
      <w:r>
        <w:rPr>
          <w:rFonts w:ascii="Times New Roman" w:hAnsi="Times New Roman" w:eastAsia="仿宋"/>
          <w:kern w:val="0"/>
          <w:sz w:val="32"/>
          <w:szCs w:val="32"/>
        </w:rPr>
        <w:t>存续期内，预计可能满足赎回条件的，退市公司应当在赎回条件满足的5个交易日前及时披露。</w:t>
      </w:r>
    </w:p>
    <w:p>
      <w:pPr>
        <w:snapToGrid w:val="0"/>
        <w:spacing w:line="600" w:lineRule="exact"/>
        <w:ind w:firstLine="640" w:firstLineChars="200"/>
        <w:rPr>
          <w:rFonts w:ascii="Times New Roman" w:hAnsi="Times New Roman" w:eastAsia="仿宋"/>
          <w:kern w:val="0"/>
          <w:sz w:val="32"/>
          <w:szCs w:val="32"/>
        </w:rPr>
      </w:pPr>
      <w:r>
        <w:rPr>
          <w:rFonts w:ascii="Times New Roman" w:hAnsi="Times New Roman" w:eastAsia="仿宋"/>
          <w:color w:val="000000" w:themeColor="text1"/>
          <w:sz w:val="32"/>
          <w:szCs w:val="30"/>
          <w14:textFill>
            <w14:solidFill>
              <w14:schemeClr w14:val="tx1"/>
            </w14:solidFill>
          </w14:textFill>
        </w:rPr>
        <w:t>退市公司行使赎回权，应当</w:t>
      </w:r>
      <w:r>
        <w:rPr>
          <w:rFonts w:hint="eastAsia" w:ascii="Times New Roman" w:hAnsi="Times New Roman" w:eastAsia="仿宋"/>
          <w:color w:val="000000" w:themeColor="text1"/>
          <w:sz w:val="32"/>
          <w:szCs w:val="30"/>
          <w14:textFill>
            <w14:solidFill>
              <w14:schemeClr w14:val="tx1"/>
            </w14:solidFill>
          </w14:textFill>
        </w:rPr>
        <w:t>履行</w:t>
      </w:r>
      <w:r>
        <w:rPr>
          <w:rFonts w:ascii="Times New Roman" w:hAnsi="Times New Roman" w:eastAsia="仿宋"/>
          <w:color w:val="000000" w:themeColor="text1"/>
          <w:sz w:val="32"/>
          <w:szCs w:val="30"/>
          <w14:textFill>
            <w14:solidFill>
              <w14:schemeClr w14:val="tx1"/>
            </w14:solidFill>
          </w14:textFill>
        </w:rPr>
        <w:t>审议</w:t>
      </w:r>
      <w:r>
        <w:rPr>
          <w:rFonts w:hint="eastAsia" w:ascii="Times New Roman" w:hAnsi="Times New Roman" w:eastAsia="仿宋"/>
          <w:color w:val="000000" w:themeColor="text1"/>
          <w:sz w:val="32"/>
          <w:szCs w:val="30"/>
          <w14:textFill>
            <w14:solidFill>
              <w14:schemeClr w14:val="tx1"/>
            </w14:solidFill>
          </w14:textFill>
        </w:rPr>
        <w:t>程序</w:t>
      </w:r>
      <w:r>
        <w:rPr>
          <w:rFonts w:ascii="Times New Roman" w:hAnsi="Times New Roman" w:eastAsia="仿宋"/>
          <w:color w:val="000000" w:themeColor="text1"/>
          <w:sz w:val="32"/>
          <w:szCs w:val="30"/>
          <w14:textFill>
            <w14:solidFill>
              <w14:schemeClr w14:val="tx1"/>
            </w14:solidFill>
          </w14:textFill>
        </w:rPr>
        <w:t>并予以公告</w:t>
      </w:r>
      <w:r>
        <w:rPr>
          <w:rFonts w:hint="eastAsia" w:ascii="Times New Roman" w:hAnsi="Times New Roman" w:eastAsia="仿宋"/>
          <w:color w:val="000000" w:themeColor="text1"/>
          <w:sz w:val="32"/>
          <w:szCs w:val="30"/>
          <w14:textFill>
            <w14:solidFill>
              <w14:schemeClr w14:val="tx1"/>
            </w14:solidFill>
          </w14:textFill>
        </w:rPr>
        <w:t>；</w:t>
      </w:r>
      <w:r>
        <w:rPr>
          <w:rFonts w:ascii="Times New Roman" w:hAnsi="Times New Roman" w:eastAsia="仿宋"/>
          <w:kern w:val="0"/>
          <w:sz w:val="32"/>
          <w:szCs w:val="32"/>
        </w:rPr>
        <w:t>不行使赎回权的，自董事会决议公告披露之日起6个月内不得再次行使赎回权。</w:t>
      </w:r>
    </w:p>
    <w:p>
      <w:pPr>
        <w:snapToGrid w:val="0"/>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退市公司决定行使或者不行使赎回权的，应当披露其实际控制人、控股股东、持股5%以上的股东、董事、监事、高级管理人员在赎回条件满足前的6个月内转让该</w:t>
      </w:r>
      <w:r>
        <w:rPr>
          <w:rFonts w:hint="eastAsia" w:ascii="Times New Roman" w:hAnsi="Times New Roman" w:eastAsia="仿宋"/>
          <w:kern w:val="0"/>
          <w:sz w:val="32"/>
          <w:szCs w:val="32"/>
        </w:rPr>
        <w:t>退市可转债</w:t>
      </w:r>
      <w:r>
        <w:rPr>
          <w:rFonts w:ascii="Times New Roman" w:hAnsi="Times New Roman" w:eastAsia="仿宋"/>
          <w:kern w:val="0"/>
          <w:sz w:val="32"/>
          <w:szCs w:val="32"/>
        </w:rPr>
        <w:t>的情况，上述主体应当予以配合。</w:t>
      </w:r>
    </w:p>
    <w:p>
      <w:pPr>
        <w:snapToGrid w:val="0"/>
        <w:spacing w:line="600" w:lineRule="exact"/>
        <w:ind w:firstLine="640" w:firstLineChars="200"/>
        <w:rPr>
          <w:rFonts w:ascii="Times New Roman" w:hAnsi="Times New Roman" w:eastAsia="仿宋"/>
          <w:color w:val="000000" w:themeColor="text1"/>
          <w:sz w:val="32"/>
          <w:szCs w:val="30"/>
          <w14:textFill>
            <w14:solidFill>
              <w14:schemeClr w14:val="tx1"/>
            </w14:solidFill>
          </w14:textFill>
        </w:rPr>
      </w:pPr>
      <w:r>
        <w:rPr>
          <w:rFonts w:ascii="Times New Roman" w:hAnsi="Times New Roman" w:eastAsia="仿宋"/>
          <w:color w:val="000000" w:themeColor="text1"/>
          <w:sz w:val="32"/>
          <w:szCs w:val="30"/>
          <w14:textFill>
            <w14:solidFill>
              <w14:schemeClr w14:val="tx1"/>
            </w14:solidFill>
          </w14:textFill>
        </w:rPr>
        <w:t>自赎回</w:t>
      </w:r>
      <w:r>
        <w:rPr>
          <w:rFonts w:hint="eastAsia" w:ascii="Times New Roman" w:hAnsi="Times New Roman" w:eastAsia="仿宋"/>
          <w:color w:val="000000" w:themeColor="text1"/>
          <w:sz w:val="32"/>
          <w:szCs w:val="30"/>
          <w14:textFill>
            <w14:solidFill>
              <w14:schemeClr w14:val="tx1"/>
            </w14:solidFill>
          </w14:textFill>
        </w:rPr>
        <w:t>期</w:t>
      </w:r>
      <w:r>
        <w:rPr>
          <w:rFonts w:ascii="Times New Roman" w:hAnsi="Times New Roman" w:eastAsia="仿宋"/>
          <w:color w:val="000000" w:themeColor="text1"/>
          <w:sz w:val="32"/>
          <w:szCs w:val="30"/>
          <w14:textFill>
            <w14:solidFill>
              <w14:schemeClr w14:val="tx1"/>
            </w14:solidFill>
          </w14:textFill>
        </w:rPr>
        <w:t>结束后的7个交易日内，退市公司披露赎回结果公告</w:t>
      </w:r>
      <w:r>
        <w:rPr>
          <w:rFonts w:hint="eastAsia" w:ascii="Times New Roman" w:hAnsi="Times New Roman" w:eastAsia="仿宋"/>
          <w:color w:val="000000" w:themeColor="text1"/>
          <w:sz w:val="32"/>
          <w:szCs w:val="30"/>
          <w14:textFill>
            <w14:solidFill>
              <w14:schemeClr w14:val="tx1"/>
            </w14:solidFill>
          </w14:textFill>
        </w:rPr>
        <w:t>；</w:t>
      </w:r>
      <w:r>
        <w:rPr>
          <w:rFonts w:ascii="Times New Roman" w:hAnsi="Times New Roman" w:eastAsia="仿宋"/>
          <w:color w:val="000000" w:themeColor="text1"/>
          <w:sz w:val="32"/>
          <w:szCs w:val="30"/>
          <w14:textFill>
            <w14:solidFill>
              <w14:schemeClr w14:val="tx1"/>
            </w14:solidFill>
          </w14:textFill>
        </w:rPr>
        <w:t>退市公司全部赎回的，还应当披露</w:t>
      </w:r>
      <w:r>
        <w:rPr>
          <w:rFonts w:hint="eastAsia" w:ascii="Times New Roman" w:hAnsi="Times New Roman" w:eastAsia="仿宋"/>
          <w:color w:val="000000" w:themeColor="text1"/>
          <w:sz w:val="32"/>
          <w:szCs w:val="30"/>
          <w14:textFill>
            <w14:solidFill>
              <w14:schemeClr w14:val="tx1"/>
            </w14:solidFill>
          </w14:textFill>
        </w:rPr>
        <w:t>退市可转债</w:t>
      </w:r>
      <w:r>
        <w:rPr>
          <w:rFonts w:ascii="Times New Roman" w:hAnsi="Times New Roman" w:eastAsia="仿宋"/>
          <w:color w:val="000000" w:themeColor="text1"/>
          <w:sz w:val="32"/>
          <w:szCs w:val="30"/>
          <w14:textFill>
            <w14:solidFill>
              <w14:schemeClr w14:val="tx1"/>
            </w14:solidFill>
          </w14:textFill>
        </w:rPr>
        <w:t>的终止挂牌公告。</w:t>
      </w:r>
    </w:p>
    <w:p>
      <w:pPr>
        <w:snapToGrid w:val="0"/>
        <w:spacing w:line="600" w:lineRule="exact"/>
        <w:ind w:firstLine="642" w:firstLineChars="200"/>
        <w:rPr>
          <w:rFonts w:ascii="Times New Roman" w:hAnsi="Times New Roman" w:eastAsia="仿宋"/>
          <w:b/>
          <w:color w:val="000000" w:themeColor="text1"/>
          <w:sz w:val="32"/>
          <w:szCs w:val="30"/>
          <w14:textFill>
            <w14:solidFill>
              <w14:schemeClr w14:val="tx1"/>
            </w14:solidFill>
          </w14:textFill>
        </w:rPr>
      </w:pPr>
      <w:r>
        <w:rPr>
          <w:rFonts w:ascii="Times New Roman" w:hAnsi="Times New Roman" w:eastAsia="仿宋"/>
          <w:b/>
          <w:color w:val="000000" w:themeColor="text1"/>
          <w:sz w:val="32"/>
          <w:szCs w:val="30"/>
          <w14:textFill>
            <w14:solidFill>
              <w14:schemeClr w14:val="tx1"/>
            </w14:solidFill>
          </w14:textFill>
        </w:rPr>
        <w:t>第</w:t>
      </w:r>
      <w:r>
        <w:rPr>
          <w:rFonts w:hint="eastAsia" w:ascii="Times New Roman" w:hAnsi="Times New Roman" w:eastAsia="仿宋"/>
          <w:b/>
          <w:color w:val="000000" w:themeColor="text1"/>
          <w:sz w:val="32"/>
          <w:szCs w:val="30"/>
          <w14:textFill>
            <w14:solidFill>
              <w14:schemeClr w14:val="tx1"/>
            </w14:solidFill>
          </w14:textFill>
        </w:rPr>
        <w:t>四十一</w:t>
      </w:r>
      <w:r>
        <w:rPr>
          <w:rFonts w:ascii="Times New Roman" w:hAnsi="Times New Roman" w:eastAsia="仿宋"/>
          <w:b/>
          <w:color w:val="000000" w:themeColor="text1"/>
          <w:sz w:val="32"/>
          <w:szCs w:val="30"/>
          <w14:textFill>
            <w14:solidFill>
              <w14:schemeClr w14:val="tx1"/>
            </w14:solidFill>
          </w14:textFill>
        </w:rPr>
        <w:t xml:space="preserve">条 </w:t>
      </w:r>
      <w:r>
        <w:rPr>
          <w:rFonts w:hint="eastAsia" w:ascii="Times New Roman" w:hAnsi="Times New Roman" w:eastAsia="仿宋"/>
          <w:color w:val="000000" w:themeColor="text1"/>
          <w:sz w:val="32"/>
          <w:szCs w:val="30"/>
          <w14:textFill>
            <w14:solidFill>
              <w14:schemeClr w14:val="tx1"/>
            </w14:solidFill>
          </w14:textFill>
        </w:rPr>
        <w:t>退市公司应在退市可转债满足</w:t>
      </w:r>
      <w:r>
        <w:rPr>
          <w:rFonts w:ascii="Times New Roman" w:hAnsi="Times New Roman" w:eastAsia="仿宋"/>
          <w:color w:val="000000" w:themeColor="text1"/>
          <w:sz w:val="32"/>
          <w:szCs w:val="30"/>
          <w14:textFill>
            <w14:solidFill>
              <w14:schemeClr w14:val="tx1"/>
            </w14:solidFill>
          </w14:textFill>
        </w:rPr>
        <w:t>回售</w:t>
      </w:r>
      <w:r>
        <w:rPr>
          <w:rFonts w:hint="eastAsia" w:ascii="Times New Roman" w:hAnsi="Times New Roman" w:eastAsia="仿宋"/>
          <w:color w:val="000000" w:themeColor="text1"/>
          <w:sz w:val="32"/>
          <w:szCs w:val="30"/>
          <w14:textFill>
            <w14:solidFill>
              <w14:schemeClr w14:val="tx1"/>
            </w14:solidFill>
          </w14:textFill>
        </w:rPr>
        <w:t>条件后，</w:t>
      </w:r>
      <w:r>
        <w:rPr>
          <w:rFonts w:ascii="Times New Roman" w:hAnsi="Times New Roman" w:eastAsia="仿宋"/>
          <w:color w:val="000000" w:themeColor="text1"/>
          <w:sz w:val="32"/>
          <w:szCs w:val="30"/>
          <w14:textFill>
            <w14:solidFill>
              <w14:schemeClr w14:val="tx1"/>
            </w14:solidFill>
          </w14:textFill>
        </w:rPr>
        <w:t>至少发布3次</w:t>
      </w:r>
      <w:r>
        <w:rPr>
          <w:rFonts w:hint="eastAsia" w:ascii="Times New Roman" w:hAnsi="Times New Roman" w:eastAsia="仿宋"/>
          <w:color w:val="000000" w:themeColor="text1"/>
          <w:sz w:val="32"/>
          <w:szCs w:val="30"/>
          <w14:textFill>
            <w14:solidFill>
              <w14:schemeClr w14:val="tx1"/>
            </w14:solidFill>
          </w14:textFill>
        </w:rPr>
        <w:t>回售公告</w:t>
      </w:r>
      <w:r>
        <w:rPr>
          <w:rFonts w:ascii="Times New Roman" w:hAnsi="Times New Roman" w:eastAsia="仿宋"/>
          <w:color w:val="000000" w:themeColor="text1"/>
          <w:sz w:val="32"/>
          <w:szCs w:val="30"/>
          <w14:textFill>
            <w14:solidFill>
              <w14:schemeClr w14:val="tx1"/>
            </w14:solidFill>
          </w14:textFill>
        </w:rPr>
        <w:t>。</w:t>
      </w:r>
    </w:p>
    <w:p>
      <w:pPr>
        <w:snapToGrid w:val="0"/>
        <w:spacing w:line="600" w:lineRule="exact"/>
        <w:ind w:firstLine="640" w:firstLineChars="200"/>
        <w:rPr>
          <w:rFonts w:ascii="Times New Roman" w:hAnsi="Times New Roman" w:eastAsia="仿宋"/>
          <w:color w:val="000000" w:themeColor="text1"/>
          <w:sz w:val="32"/>
          <w:szCs w:val="30"/>
          <w14:textFill>
            <w14:solidFill>
              <w14:schemeClr w14:val="tx1"/>
            </w14:solidFill>
          </w14:textFill>
        </w:rPr>
      </w:pPr>
      <w:r>
        <w:rPr>
          <w:rFonts w:ascii="Times New Roman" w:hAnsi="Times New Roman" w:eastAsia="仿宋"/>
          <w:color w:val="000000" w:themeColor="text1"/>
          <w:sz w:val="32"/>
          <w:szCs w:val="30"/>
          <w14:textFill>
            <w14:solidFill>
              <w14:schemeClr w14:val="tx1"/>
            </w14:solidFill>
          </w14:textFill>
        </w:rPr>
        <w:t>自回售期结束后的7个交易日内，退市公司披露回售结果公告。</w:t>
      </w:r>
    </w:p>
    <w:p>
      <w:pPr>
        <w:snapToGrid w:val="0"/>
        <w:spacing w:line="600" w:lineRule="exact"/>
        <w:ind w:firstLine="640" w:firstLineChars="200"/>
        <w:rPr>
          <w:rFonts w:ascii="Times New Roman" w:hAnsi="Times New Roman" w:eastAsia="仿宋"/>
          <w:color w:val="000000" w:themeColor="text1"/>
          <w:sz w:val="32"/>
          <w:szCs w:val="30"/>
          <w14:textFill>
            <w14:solidFill>
              <w14:schemeClr w14:val="tx1"/>
            </w14:solidFill>
          </w14:textFill>
        </w:rPr>
      </w:pPr>
      <w:r>
        <w:rPr>
          <w:rFonts w:ascii="Times New Roman" w:hAnsi="Times New Roman" w:eastAsia="仿宋"/>
          <w:color w:val="000000" w:themeColor="text1"/>
          <w:sz w:val="32"/>
          <w:szCs w:val="30"/>
          <w14:textFill>
            <w14:solidFill>
              <w14:schemeClr w14:val="tx1"/>
            </w14:solidFill>
          </w14:textFill>
        </w:rPr>
        <w:t>债券持有人全部回售的，退市公司还应当披露</w:t>
      </w:r>
      <w:r>
        <w:rPr>
          <w:rFonts w:hint="eastAsia" w:ascii="Times New Roman" w:hAnsi="Times New Roman" w:eastAsia="仿宋"/>
          <w:color w:val="000000" w:themeColor="text1"/>
          <w:sz w:val="32"/>
          <w:szCs w:val="30"/>
          <w14:textFill>
            <w14:solidFill>
              <w14:schemeClr w14:val="tx1"/>
            </w14:solidFill>
          </w14:textFill>
        </w:rPr>
        <w:t>退市可转债</w:t>
      </w:r>
      <w:r>
        <w:rPr>
          <w:rFonts w:ascii="Times New Roman" w:hAnsi="Times New Roman" w:eastAsia="仿宋"/>
          <w:color w:val="000000" w:themeColor="text1"/>
          <w:sz w:val="32"/>
          <w:szCs w:val="30"/>
          <w14:textFill>
            <w14:solidFill>
              <w14:schemeClr w14:val="tx1"/>
            </w14:solidFill>
          </w14:textFill>
        </w:rPr>
        <w:t>的终止挂牌公告。</w:t>
      </w:r>
    </w:p>
    <w:p>
      <w:pPr>
        <w:snapToGrid w:val="0"/>
        <w:spacing w:line="600" w:lineRule="exact"/>
        <w:ind w:firstLine="642"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b/>
          <w:color w:val="000000" w:themeColor="text1"/>
          <w:sz w:val="32"/>
          <w:szCs w:val="32"/>
          <w14:textFill>
            <w14:solidFill>
              <w14:schemeClr w14:val="tx1"/>
            </w14:solidFill>
          </w14:textFill>
        </w:rPr>
        <w:t>第</w:t>
      </w:r>
      <w:r>
        <w:rPr>
          <w:rFonts w:hint="eastAsia" w:ascii="Times New Roman" w:hAnsi="Times New Roman" w:eastAsia="仿宋"/>
          <w:b/>
          <w:color w:val="000000" w:themeColor="text1"/>
          <w:sz w:val="32"/>
          <w:szCs w:val="30"/>
          <w14:textFill>
            <w14:solidFill>
              <w14:schemeClr w14:val="tx1"/>
            </w14:solidFill>
          </w14:textFill>
        </w:rPr>
        <w:t>四十二</w:t>
      </w:r>
      <w:r>
        <w:rPr>
          <w:rFonts w:ascii="Times New Roman" w:hAnsi="Times New Roman" w:eastAsia="仿宋"/>
          <w:b/>
          <w:color w:val="000000" w:themeColor="text1"/>
          <w:sz w:val="32"/>
          <w:szCs w:val="32"/>
          <w14:textFill>
            <w14:solidFill>
              <w14:schemeClr w14:val="tx1"/>
            </w14:solidFill>
          </w14:textFill>
        </w:rPr>
        <w:t xml:space="preserve">条 </w:t>
      </w:r>
      <w:r>
        <w:rPr>
          <w:rFonts w:ascii="Times New Roman" w:hAnsi="Times New Roman" w:eastAsia="仿宋"/>
          <w:color w:val="000000" w:themeColor="text1"/>
          <w:sz w:val="32"/>
          <w:szCs w:val="32"/>
          <w14:textFill>
            <w14:solidFill>
              <w14:schemeClr w14:val="tx1"/>
            </w14:solidFill>
          </w14:textFill>
        </w:rPr>
        <w:t>退市公司应当在</w:t>
      </w:r>
      <w:r>
        <w:rPr>
          <w:rFonts w:hint="eastAsia" w:ascii="Times New Roman" w:hAnsi="Times New Roman" w:eastAsia="仿宋"/>
          <w:color w:val="000000" w:themeColor="text1"/>
          <w:sz w:val="32"/>
          <w:szCs w:val="32"/>
          <w14:textFill>
            <w14:solidFill>
              <w14:schemeClr w14:val="tx1"/>
            </w14:solidFill>
          </w14:textFill>
        </w:rPr>
        <w:t>退市可转债</w:t>
      </w:r>
      <w:r>
        <w:rPr>
          <w:rFonts w:ascii="Times New Roman" w:hAnsi="Times New Roman" w:eastAsia="仿宋"/>
          <w:color w:val="000000" w:themeColor="text1"/>
          <w:sz w:val="32"/>
          <w:szCs w:val="32"/>
          <w14:textFill>
            <w14:solidFill>
              <w14:schemeClr w14:val="tx1"/>
            </w14:solidFill>
          </w14:textFill>
        </w:rPr>
        <w:t>付息日前，根据全国股转</w:t>
      </w:r>
      <w:r>
        <w:rPr>
          <w:rFonts w:hint="eastAsia" w:ascii="Times New Roman" w:hAnsi="Times New Roman" w:eastAsia="仿宋"/>
          <w:color w:val="000000" w:themeColor="text1"/>
          <w:sz w:val="32"/>
          <w:szCs w:val="32"/>
          <w14:textFill>
            <w14:solidFill>
              <w14:schemeClr w14:val="tx1"/>
            </w14:solidFill>
          </w14:textFill>
        </w:rPr>
        <w:t>公司</w:t>
      </w:r>
      <w:r>
        <w:rPr>
          <w:rFonts w:ascii="Times New Roman" w:hAnsi="Times New Roman" w:eastAsia="仿宋"/>
          <w:color w:val="000000" w:themeColor="text1"/>
          <w:sz w:val="32"/>
          <w:szCs w:val="32"/>
          <w14:textFill>
            <w14:solidFill>
              <w14:schemeClr w14:val="tx1"/>
            </w14:solidFill>
          </w14:textFill>
        </w:rPr>
        <w:t>和中国结算的相关规定披露付息公告。</w:t>
      </w:r>
    </w:p>
    <w:p>
      <w:pPr>
        <w:snapToGrid w:val="0"/>
        <w:spacing w:line="600" w:lineRule="exact"/>
        <w:ind w:firstLine="642" w:firstLineChars="200"/>
        <w:rPr>
          <w:rFonts w:ascii="Times New Roman" w:hAnsi="Times New Roman" w:eastAsia="仿宋"/>
          <w:b/>
          <w:color w:val="000000" w:themeColor="text1"/>
          <w:sz w:val="32"/>
          <w:szCs w:val="32"/>
          <w14:textFill>
            <w14:solidFill>
              <w14:schemeClr w14:val="tx1"/>
            </w14:solidFill>
          </w14:textFill>
        </w:rPr>
      </w:pPr>
      <w:r>
        <w:rPr>
          <w:rFonts w:ascii="Times New Roman" w:hAnsi="Times New Roman" w:eastAsia="仿宋"/>
          <w:b/>
          <w:color w:val="000000" w:themeColor="text1"/>
          <w:sz w:val="32"/>
          <w:szCs w:val="32"/>
          <w14:textFill>
            <w14:solidFill>
              <w14:schemeClr w14:val="tx1"/>
            </w14:solidFill>
          </w14:textFill>
        </w:rPr>
        <w:t>第</w:t>
      </w:r>
      <w:r>
        <w:rPr>
          <w:rFonts w:hint="eastAsia" w:ascii="Times New Roman" w:hAnsi="Times New Roman" w:eastAsia="仿宋"/>
          <w:b/>
          <w:color w:val="000000" w:themeColor="text1"/>
          <w:sz w:val="32"/>
          <w:szCs w:val="32"/>
          <w14:textFill>
            <w14:solidFill>
              <w14:schemeClr w14:val="tx1"/>
            </w14:solidFill>
          </w14:textFill>
        </w:rPr>
        <w:t>四十三</w:t>
      </w:r>
      <w:r>
        <w:rPr>
          <w:rFonts w:ascii="Times New Roman" w:hAnsi="Times New Roman" w:eastAsia="仿宋"/>
          <w:b/>
          <w:color w:val="000000" w:themeColor="text1"/>
          <w:sz w:val="32"/>
          <w:szCs w:val="32"/>
          <w14:textFill>
            <w14:solidFill>
              <w14:schemeClr w14:val="tx1"/>
            </w14:solidFill>
          </w14:textFill>
        </w:rPr>
        <w:t xml:space="preserve">条 </w:t>
      </w:r>
      <w:r>
        <w:rPr>
          <w:rFonts w:ascii="Times New Roman" w:hAnsi="Times New Roman" w:eastAsia="仿宋"/>
          <w:color w:val="000000" w:themeColor="text1"/>
          <w:sz w:val="32"/>
          <w:szCs w:val="32"/>
          <w14:textFill>
            <w14:solidFill>
              <w14:schemeClr w14:val="tx1"/>
            </w14:solidFill>
          </w14:textFill>
        </w:rPr>
        <w:t>退市公司应当在</w:t>
      </w:r>
      <w:r>
        <w:rPr>
          <w:rFonts w:hint="eastAsia" w:ascii="Times New Roman" w:hAnsi="Times New Roman" w:eastAsia="仿宋"/>
          <w:color w:val="000000" w:themeColor="text1"/>
          <w:sz w:val="32"/>
          <w:szCs w:val="32"/>
          <w14:textFill>
            <w14:solidFill>
              <w14:schemeClr w14:val="tx1"/>
            </w14:solidFill>
          </w14:textFill>
        </w:rPr>
        <w:t>退市可转债</w:t>
      </w:r>
      <w:r>
        <w:rPr>
          <w:rFonts w:ascii="Times New Roman" w:hAnsi="Times New Roman" w:eastAsia="仿宋"/>
          <w:color w:val="000000" w:themeColor="text1"/>
          <w:sz w:val="32"/>
          <w:szCs w:val="32"/>
          <w14:textFill>
            <w14:solidFill>
              <w14:schemeClr w14:val="tx1"/>
            </w14:solidFill>
          </w14:textFill>
        </w:rPr>
        <w:t>期满前，根据全国股转</w:t>
      </w:r>
      <w:r>
        <w:rPr>
          <w:rFonts w:hint="eastAsia" w:ascii="Times New Roman" w:hAnsi="Times New Roman" w:eastAsia="仿宋"/>
          <w:color w:val="000000" w:themeColor="text1"/>
          <w:sz w:val="32"/>
          <w:szCs w:val="32"/>
          <w14:textFill>
            <w14:solidFill>
              <w14:schemeClr w14:val="tx1"/>
            </w14:solidFill>
          </w14:textFill>
        </w:rPr>
        <w:t>公司</w:t>
      </w:r>
      <w:r>
        <w:rPr>
          <w:rFonts w:ascii="Times New Roman" w:hAnsi="Times New Roman" w:eastAsia="仿宋"/>
          <w:color w:val="000000" w:themeColor="text1"/>
          <w:sz w:val="32"/>
          <w:szCs w:val="32"/>
          <w14:textFill>
            <w14:solidFill>
              <w14:schemeClr w14:val="tx1"/>
            </w14:solidFill>
          </w14:textFill>
        </w:rPr>
        <w:t>和中国结算的相关规定披露本息兑付公告。</w:t>
      </w:r>
    </w:p>
    <w:p>
      <w:pPr>
        <w:snapToGrid w:val="0"/>
        <w:spacing w:line="600" w:lineRule="exact"/>
        <w:ind w:firstLine="642" w:firstLineChars="200"/>
        <w:rPr>
          <w:rFonts w:ascii="Times New Roman" w:hAnsi="Times New Roman" w:eastAsia="仿宋"/>
          <w:kern w:val="24"/>
          <w:sz w:val="32"/>
          <w:szCs w:val="32"/>
        </w:rPr>
      </w:pPr>
      <w:r>
        <w:rPr>
          <w:rFonts w:ascii="Times New Roman" w:hAnsi="Times New Roman" w:eastAsia="仿宋"/>
          <w:b/>
          <w:color w:val="000000" w:themeColor="text1"/>
          <w:sz w:val="32"/>
          <w:szCs w:val="32"/>
          <w14:textFill>
            <w14:solidFill>
              <w14:schemeClr w14:val="tx1"/>
            </w14:solidFill>
          </w14:textFill>
        </w:rPr>
        <w:t>第</w:t>
      </w:r>
      <w:r>
        <w:rPr>
          <w:rFonts w:hint="eastAsia" w:ascii="Times New Roman" w:hAnsi="Times New Roman" w:eastAsia="仿宋"/>
          <w:b/>
          <w:color w:val="000000" w:themeColor="text1"/>
          <w:sz w:val="32"/>
          <w:szCs w:val="32"/>
          <w14:textFill>
            <w14:solidFill>
              <w14:schemeClr w14:val="tx1"/>
            </w14:solidFill>
          </w14:textFill>
        </w:rPr>
        <w:t>四十四</w:t>
      </w:r>
      <w:r>
        <w:rPr>
          <w:rFonts w:ascii="Times New Roman" w:hAnsi="Times New Roman" w:eastAsia="仿宋"/>
          <w:b/>
          <w:color w:val="000000" w:themeColor="text1"/>
          <w:sz w:val="32"/>
          <w:szCs w:val="32"/>
          <w14:textFill>
            <w14:solidFill>
              <w14:schemeClr w14:val="tx1"/>
            </w14:solidFill>
          </w14:textFill>
        </w:rPr>
        <w:t xml:space="preserve">条 </w:t>
      </w:r>
      <w:r>
        <w:rPr>
          <w:rFonts w:ascii="Times New Roman" w:hAnsi="Times New Roman" w:eastAsia="仿宋"/>
          <w:color w:val="000000" w:themeColor="text1"/>
          <w:sz w:val="32"/>
          <w:szCs w:val="32"/>
          <w14:textFill>
            <w14:solidFill>
              <w14:schemeClr w14:val="tx1"/>
            </w14:solidFill>
          </w14:textFill>
        </w:rPr>
        <w:t>退市公司披露定期报告时，应当披露</w:t>
      </w:r>
      <w:r>
        <w:rPr>
          <w:rFonts w:hint="eastAsia" w:ascii="Times New Roman" w:hAnsi="Times New Roman" w:eastAsia="仿宋"/>
          <w:color w:val="000000" w:themeColor="text1"/>
          <w:sz w:val="32"/>
          <w:szCs w:val="32"/>
          <w14:textFill>
            <w14:solidFill>
              <w14:schemeClr w14:val="tx1"/>
            </w14:solidFill>
          </w14:textFill>
        </w:rPr>
        <w:t>退市可转债</w:t>
      </w:r>
      <w:r>
        <w:rPr>
          <w:rFonts w:ascii="Times New Roman" w:hAnsi="Times New Roman" w:eastAsia="仿宋"/>
          <w:color w:val="000000" w:themeColor="text1"/>
          <w:sz w:val="32"/>
          <w:szCs w:val="32"/>
          <w14:textFill>
            <w14:solidFill>
              <w14:schemeClr w14:val="tx1"/>
            </w14:solidFill>
          </w14:textFill>
        </w:rPr>
        <w:t>的有关情况</w:t>
      </w:r>
      <w:r>
        <w:rPr>
          <w:rFonts w:ascii="Times New Roman" w:hAnsi="Times New Roman" w:eastAsia="仿宋"/>
          <w:kern w:val="24"/>
          <w:sz w:val="32"/>
          <w:szCs w:val="32"/>
        </w:rPr>
        <w:t>，具体包括以下内容：</w:t>
      </w:r>
    </w:p>
    <w:p>
      <w:pPr>
        <w:snapToGrid w:val="0"/>
        <w:spacing w:line="600" w:lineRule="exact"/>
        <w:ind w:firstLine="640" w:firstLineChars="200"/>
        <w:rPr>
          <w:rFonts w:ascii="Times New Roman" w:hAnsi="Times New Roman" w:eastAsia="仿宋"/>
          <w:kern w:val="24"/>
          <w:sz w:val="32"/>
          <w:szCs w:val="32"/>
        </w:rPr>
      </w:pPr>
      <w:r>
        <w:rPr>
          <w:rFonts w:ascii="Times New Roman" w:hAnsi="Times New Roman" w:eastAsia="仿宋"/>
          <w:kern w:val="24"/>
          <w:sz w:val="32"/>
          <w:szCs w:val="32"/>
        </w:rPr>
        <w:t>（</w:t>
      </w:r>
      <w:r>
        <w:rPr>
          <w:rFonts w:hint="eastAsia" w:ascii="Times New Roman" w:hAnsi="Times New Roman" w:eastAsia="仿宋"/>
          <w:kern w:val="24"/>
          <w:sz w:val="32"/>
          <w:szCs w:val="32"/>
        </w:rPr>
        <w:t>一</w:t>
      </w:r>
      <w:r>
        <w:rPr>
          <w:rFonts w:ascii="Times New Roman" w:hAnsi="Times New Roman" w:eastAsia="仿宋"/>
          <w:kern w:val="24"/>
          <w:sz w:val="32"/>
          <w:szCs w:val="32"/>
        </w:rPr>
        <w:t>）转股价格历次调整的情况，经调整后的最新转股价格；</w:t>
      </w:r>
    </w:p>
    <w:p>
      <w:pPr>
        <w:snapToGrid w:val="0"/>
        <w:spacing w:line="600" w:lineRule="exact"/>
        <w:ind w:firstLine="640" w:firstLineChars="200"/>
        <w:rPr>
          <w:rFonts w:ascii="Times New Roman" w:hAnsi="Times New Roman" w:eastAsia="仿宋"/>
          <w:kern w:val="24"/>
          <w:sz w:val="32"/>
          <w:szCs w:val="32"/>
        </w:rPr>
      </w:pPr>
      <w:r>
        <w:rPr>
          <w:rFonts w:ascii="Times New Roman" w:hAnsi="Times New Roman" w:eastAsia="仿宋"/>
          <w:kern w:val="24"/>
          <w:sz w:val="32"/>
          <w:szCs w:val="32"/>
        </w:rPr>
        <w:t>（</w:t>
      </w:r>
      <w:r>
        <w:rPr>
          <w:rFonts w:hint="eastAsia" w:ascii="Times New Roman" w:hAnsi="Times New Roman" w:eastAsia="仿宋"/>
          <w:kern w:val="24"/>
          <w:sz w:val="32"/>
          <w:szCs w:val="32"/>
        </w:rPr>
        <w:t>二</w:t>
      </w:r>
      <w:r>
        <w:rPr>
          <w:rFonts w:ascii="Times New Roman" w:hAnsi="Times New Roman" w:eastAsia="仿宋"/>
          <w:kern w:val="24"/>
          <w:sz w:val="32"/>
          <w:szCs w:val="32"/>
        </w:rPr>
        <w:t>）</w:t>
      </w:r>
      <w:r>
        <w:rPr>
          <w:rFonts w:hint="eastAsia" w:ascii="Times New Roman" w:hAnsi="Times New Roman" w:eastAsia="仿宋"/>
          <w:kern w:val="24"/>
          <w:sz w:val="32"/>
          <w:szCs w:val="32"/>
        </w:rPr>
        <w:t>退市可转债</w:t>
      </w:r>
      <w:r>
        <w:rPr>
          <w:rFonts w:ascii="Times New Roman" w:hAnsi="Times New Roman" w:eastAsia="仿宋"/>
          <w:kern w:val="24"/>
          <w:sz w:val="32"/>
          <w:szCs w:val="32"/>
        </w:rPr>
        <w:t>发行后累计转股的情况；</w:t>
      </w:r>
    </w:p>
    <w:p>
      <w:pPr>
        <w:snapToGrid w:val="0"/>
        <w:spacing w:line="600" w:lineRule="exact"/>
        <w:ind w:firstLine="640" w:firstLineChars="200"/>
        <w:rPr>
          <w:rFonts w:ascii="Times New Roman" w:hAnsi="Times New Roman" w:eastAsia="仿宋"/>
          <w:kern w:val="24"/>
          <w:sz w:val="32"/>
          <w:szCs w:val="32"/>
        </w:rPr>
      </w:pPr>
      <w:r>
        <w:rPr>
          <w:rFonts w:ascii="Times New Roman" w:hAnsi="Times New Roman" w:eastAsia="仿宋"/>
          <w:kern w:val="24"/>
          <w:sz w:val="32"/>
          <w:szCs w:val="32"/>
        </w:rPr>
        <w:t>（</w:t>
      </w:r>
      <w:r>
        <w:rPr>
          <w:rFonts w:hint="eastAsia" w:ascii="Times New Roman" w:hAnsi="Times New Roman" w:eastAsia="仿宋"/>
          <w:kern w:val="24"/>
          <w:sz w:val="32"/>
          <w:szCs w:val="32"/>
        </w:rPr>
        <w:t>三</w:t>
      </w:r>
      <w:r>
        <w:rPr>
          <w:rFonts w:ascii="Times New Roman" w:hAnsi="Times New Roman" w:eastAsia="仿宋"/>
          <w:kern w:val="24"/>
          <w:sz w:val="32"/>
          <w:szCs w:val="32"/>
        </w:rPr>
        <w:t>）赎回和回售情况（如有）；</w:t>
      </w:r>
    </w:p>
    <w:p>
      <w:pPr>
        <w:snapToGrid w:val="0"/>
        <w:spacing w:line="600" w:lineRule="exact"/>
        <w:ind w:firstLine="640" w:firstLineChars="200"/>
        <w:jc w:val="left"/>
        <w:rPr>
          <w:rFonts w:ascii="Times New Roman" w:hAnsi="Times New Roman" w:eastAsia="仿宋"/>
          <w:kern w:val="24"/>
          <w:sz w:val="32"/>
          <w:szCs w:val="32"/>
        </w:rPr>
      </w:pPr>
      <w:r>
        <w:rPr>
          <w:rFonts w:ascii="Times New Roman" w:hAnsi="Times New Roman" w:eastAsia="仿宋"/>
          <w:kern w:val="24"/>
          <w:sz w:val="32"/>
          <w:szCs w:val="32"/>
        </w:rPr>
        <w:t>（</w:t>
      </w:r>
      <w:r>
        <w:rPr>
          <w:rFonts w:hint="eastAsia" w:ascii="Times New Roman" w:hAnsi="Times New Roman" w:eastAsia="仿宋"/>
          <w:kern w:val="24"/>
          <w:sz w:val="32"/>
          <w:szCs w:val="32"/>
        </w:rPr>
        <w:t>四</w:t>
      </w:r>
      <w:r>
        <w:rPr>
          <w:rFonts w:ascii="Times New Roman" w:hAnsi="Times New Roman" w:eastAsia="仿宋"/>
          <w:kern w:val="24"/>
          <w:sz w:val="32"/>
          <w:szCs w:val="32"/>
        </w:rPr>
        <w:t>）</w:t>
      </w:r>
      <w:r>
        <w:rPr>
          <w:rFonts w:hint="eastAsia" w:ascii="Times New Roman" w:hAnsi="Times New Roman" w:eastAsia="仿宋"/>
          <w:kern w:val="24"/>
          <w:sz w:val="32"/>
          <w:szCs w:val="32"/>
        </w:rPr>
        <w:t>退市可转债募集说明书</w:t>
      </w:r>
      <w:r>
        <w:rPr>
          <w:rFonts w:ascii="Times New Roman" w:hAnsi="Times New Roman" w:eastAsia="仿宋"/>
          <w:kern w:val="24"/>
          <w:sz w:val="32"/>
          <w:szCs w:val="32"/>
        </w:rPr>
        <w:t>其他约定条款的履行情况（如有）；</w:t>
      </w:r>
    </w:p>
    <w:p>
      <w:pPr>
        <w:snapToGrid w:val="0"/>
        <w:spacing w:line="600" w:lineRule="exact"/>
        <w:ind w:firstLine="640" w:firstLineChars="200"/>
        <w:rPr>
          <w:rFonts w:ascii="Times New Roman" w:hAnsi="Times New Roman" w:eastAsia="仿宋"/>
          <w:kern w:val="24"/>
          <w:sz w:val="32"/>
          <w:szCs w:val="32"/>
        </w:rPr>
      </w:pPr>
      <w:r>
        <w:rPr>
          <w:rFonts w:ascii="Times New Roman" w:hAnsi="Times New Roman" w:eastAsia="仿宋"/>
          <w:kern w:val="24"/>
          <w:sz w:val="32"/>
          <w:szCs w:val="32"/>
        </w:rPr>
        <w:t>（</w:t>
      </w:r>
      <w:r>
        <w:rPr>
          <w:rFonts w:hint="eastAsia" w:ascii="Times New Roman" w:hAnsi="Times New Roman" w:eastAsia="仿宋"/>
          <w:kern w:val="24"/>
          <w:sz w:val="32"/>
          <w:szCs w:val="32"/>
        </w:rPr>
        <w:t>五</w:t>
      </w:r>
      <w:r>
        <w:rPr>
          <w:rFonts w:ascii="Times New Roman" w:hAnsi="Times New Roman" w:eastAsia="仿宋"/>
          <w:kern w:val="24"/>
          <w:sz w:val="32"/>
          <w:szCs w:val="32"/>
        </w:rPr>
        <w:t>）募集资金存放、使用情况；</w:t>
      </w:r>
    </w:p>
    <w:p>
      <w:pPr>
        <w:snapToGrid w:val="0"/>
        <w:spacing w:line="600" w:lineRule="exact"/>
        <w:ind w:firstLine="640" w:firstLineChars="200"/>
        <w:rPr>
          <w:rFonts w:ascii="Times New Roman" w:hAnsi="Times New Roman" w:eastAsia="仿宋"/>
          <w:kern w:val="24"/>
          <w:sz w:val="32"/>
          <w:szCs w:val="32"/>
        </w:rPr>
      </w:pPr>
      <w:r>
        <w:rPr>
          <w:rFonts w:ascii="Times New Roman" w:hAnsi="Times New Roman" w:eastAsia="仿宋"/>
          <w:kern w:val="24"/>
          <w:sz w:val="32"/>
          <w:szCs w:val="32"/>
        </w:rPr>
        <w:t>（</w:t>
      </w:r>
      <w:r>
        <w:rPr>
          <w:rFonts w:hint="eastAsia" w:ascii="Times New Roman" w:hAnsi="Times New Roman" w:eastAsia="仿宋"/>
          <w:kern w:val="24"/>
          <w:sz w:val="32"/>
          <w:szCs w:val="32"/>
        </w:rPr>
        <w:t>六</w:t>
      </w:r>
      <w:r>
        <w:rPr>
          <w:rFonts w:ascii="Times New Roman" w:hAnsi="Times New Roman" w:eastAsia="仿宋"/>
          <w:kern w:val="24"/>
          <w:sz w:val="32"/>
          <w:szCs w:val="32"/>
        </w:rPr>
        <w:t>）</w:t>
      </w:r>
      <w:r>
        <w:rPr>
          <w:rFonts w:hint="eastAsia" w:ascii="Times New Roman" w:hAnsi="Times New Roman" w:eastAsia="仿宋"/>
          <w:kern w:val="24"/>
          <w:sz w:val="32"/>
          <w:szCs w:val="32"/>
        </w:rPr>
        <w:t>退市</w:t>
      </w:r>
      <w:r>
        <w:rPr>
          <w:rFonts w:ascii="Times New Roman" w:hAnsi="Times New Roman" w:eastAsia="仿宋"/>
          <w:kern w:val="24"/>
          <w:sz w:val="32"/>
          <w:szCs w:val="32"/>
        </w:rPr>
        <w:t>公司因</w:t>
      </w:r>
      <w:r>
        <w:rPr>
          <w:rFonts w:hint="eastAsia" w:ascii="Times New Roman" w:hAnsi="Times New Roman" w:eastAsia="仿宋"/>
          <w:kern w:val="24"/>
          <w:sz w:val="32"/>
          <w:szCs w:val="32"/>
        </w:rPr>
        <w:t>退市可转债</w:t>
      </w:r>
      <w:r>
        <w:rPr>
          <w:rFonts w:ascii="Times New Roman" w:hAnsi="Times New Roman" w:eastAsia="仿宋"/>
          <w:kern w:val="24"/>
          <w:sz w:val="32"/>
          <w:szCs w:val="32"/>
        </w:rPr>
        <w:t>转换为股票所引起的股</w:t>
      </w:r>
      <w:r>
        <w:rPr>
          <w:rFonts w:hint="eastAsia" w:ascii="Times New Roman" w:hAnsi="Times New Roman" w:eastAsia="仿宋"/>
          <w:kern w:val="24"/>
          <w:sz w:val="32"/>
          <w:szCs w:val="32"/>
        </w:rPr>
        <w:t>本</w:t>
      </w:r>
      <w:r>
        <w:rPr>
          <w:rFonts w:ascii="Times New Roman" w:hAnsi="Times New Roman" w:eastAsia="仿宋"/>
          <w:kern w:val="24"/>
          <w:sz w:val="32"/>
          <w:szCs w:val="32"/>
        </w:rPr>
        <w:t>变动情况；</w:t>
      </w:r>
    </w:p>
    <w:p>
      <w:pPr>
        <w:snapToGrid w:val="0"/>
        <w:spacing w:line="600" w:lineRule="exact"/>
        <w:ind w:firstLine="640" w:firstLineChars="20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kern w:val="24"/>
          <w:sz w:val="32"/>
          <w:szCs w:val="32"/>
        </w:rPr>
        <w:t>（</w:t>
      </w:r>
      <w:r>
        <w:rPr>
          <w:rFonts w:hint="eastAsia" w:ascii="Times New Roman" w:hAnsi="Times New Roman" w:eastAsia="仿宋"/>
          <w:kern w:val="24"/>
          <w:sz w:val="32"/>
          <w:szCs w:val="32"/>
        </w:rPr>
        <w:t>七</w:t>
      </w:r>
      <w:r>
        <w:rPr>
          <w:rFonts w:ascii="Times New Roman" w:hAnsi="Times New Roman" w:eastAsia="仿宋"/>
          <w:kern w:val="24"/>
          <w:sz w:val="32"/>
          <w:szCs w:val="32"/>
        </w:rPr>
        <w:t>）全国股转公司规定的其他事项。</w:t>
      </w:r>
    </w:p>
    <w:p>
      <w:pPr>
        <w:snapToGrid w:val="0"/>
        <w:spacing w:line="600" w:lineRule="exact"/>
        <w:ind w:firstLine="642" w:firstLineChars="200"/>
        <w:rPr>
          <w:rFonts w:ascii="Times New Roman" w:hAnsi="Times New Roman" w:eastAsia="仿宋"/>
          <w:kern w:val="24"/>
          <w:sz w:val="32"/>
          <w:szCs w:val="32"/>
        </w:rPr>
      </w:pPr>
      <w:r>
        <w:rPr>
          <w:rFonts w:ascii="Times New Roman" w:hAnsi="Times New Roman" w:eastAsia="仿宋"/>
          <w:b/>
          <w:kern w:val="24"/>
          <w:sz w:val="32"/>
          <w:szCs w:val="32"/>
        </w:rPr>
        <w:t>第</w:t>
      </w:r>
      <w:r>
        <w:rPr>
          <w:rFonts w:hint="eastAsia" w:ascii="Times New Roman" w:hAnsi="Times New Roman" w:eastAsia="仿宋"/>
          <w:b/>
          <w:kern w:val="24"/>
          <w:sz w:val="32"/>
          <w:szCs w:val="32"/>
        </w:rPr>
        <w:t>四十五</w:t>
      </w:r>
      <w:r>
        <w:rPr>
          <w:rFonts w:ascii="Times New Roman" w:hAnsi="Times New Roman" w:eastAsia="仿宋"/>
          <w:b/>
          <w:kern w:val="24"/>
          <w:sz w:val="32"/>
          <w:szCs w:val="32"/>
        </w:rPr>
        <w:t xml:space="preserve">条 </w:t>
      </w:r>
      <w:r>
        <w:rPr>
          <w:rFonts w:hint="eastAsia" w:ascii="Times New Roman" w:hAnsi="Times New Roman" w:eastAsia="仿宋"/>
          <w:color w:val="000000" w:themeColor="text1"/>
          <w:sz w:val="32"/>
          <w:szCs w:val="32"/>
          <w14:textFill>
            <w14:solidFill>
              <w14:schemeClr w14:val="tx1"/>
            </w14:solidFill>
          </w14:textFill>
        </w:rPr>
        <w:t>除</w:t>
      </w:r>
      <w:r>
        <w:rPr>
          <w:rFonts w:ascii="Times New Roman" w:hAnsi="Times New Roman" w:eastAsia="仿宋"/>
          <w:color w:val="000000" w:themeColor="text1"/>
          <w:sz w:val="32"/>
          <w:szCs w:val="32"/>
          <w14:textFill>
            <w14:solidFill>
              <w14:schemeClr w14:val="tx1"/>
            </w14:solidFill>
          </w14:textFill>
        </w:rPr>
        <w:t>《</w:t>
      </w:r>
      <w:r>
        <w:rPr>
          <w:rFonts w:hint="eastAsia" w:ascii="Times New Roman" w:hAnsi="Times New Roman" w:eastAsia="仿宋"/>
          <w:color w:val="000000" w:themeColor="text1"/>
          <w:sz w:val="32"/>
          <w:szCs w:val="32"/>
          <w14:textFill>
            <w14:solidFill>
              <w14:schemeClr w14:val="tx1"/>
            </w14:solidFill>
          </w14:textFill>
        </w:rPr>
        <w:t>可转换</w:t>
      </w:r>
      <w:r>
        <w:rPr>
          <w:rFonts w:ascii="Times New Roman" w:hAnsi="Times New Roman" w:eastAsia="仿宋"/>
          <w:color w:val="000000" w:themeColor="text1"/>
          <w:sz w:val="32"/>
          <w:szCs w:val="32"/>
          <w14:textFill>
            <w14:solidFill>
              <w14:schemeClr w14:val="tx1"/>
            </w14:solidFill>
          </w14:textFill>
        </w:rPr>
        <w:t>公司</w:t>
      </w:r>
      <w:r>
        <w:rPr>
          <w:rFonts w:hint="eastAsia" w:ascii="Times New Roman" w:hAnsi="Times New Roman" w:eastAsia="仿宋"/>
          <w:color w:val="000000" w:themeColor="text1"/>
          <w:sz w:val="32"/>
          <w:szCs w:val="32"/>
          <w14:textFill>
            <w14:solidFill>
              <w14:schemeClr w14:val="tx1"/>
            </w14:solidFill>
          </w14:textFill>
        </w:rPr>
        <w:t>债券</w:t>
      </w:r>
      <w:r>
        <w:rPr>
          <w:rFonts w:ascii="Times New Roman" w:hAnsi="Times New Roman" w:eastAsia="仿宋"/>
          <w:color w:val="000000" w:themeColor="text1"/>
          <w:sz w:val="32"/>
          <w:szCs w:val="32"/>
          <w14:textFill>
            <w14:solidFill>
              <w14:schemeClr w14:val="tx1"/>
            </w14:solidFill>
          </w14:textFill>
        </w:rPr>
        <w:t>管理办法》</w:t>
      </w:r>
      <w:r>
        <w:rPr>
          <w:rFonts w:hint="eastAsia" w:ascii="Times New Roman" w:hAnsi="Times New Roman" w:eastAsia="仿宋"/>
          <w:color w:val="000000" w:themeColor="text1"/>
          <w:sz w:val="32"/>
          <w:szCs w:val="32"/>
          <w14:textFill>
            <w14:solidFill>
              <w14:schemeClr w14:val="tx1"/>
            </w14:solidFill>
          </w14:textFill>
        </w:rPr>
        <w:t>和《两网公司及退市公司信息披露办法》规定</w:t>
      </w:r>
      <w:r>
        <w:rPr>
          <w:rFonts w:ascii="Times New Roman" w:hAnsi="Times New Roman" w:eastAsia="仿宋"/>
          <w:color w:val="000000" w:themeColor="text1"/>
          <w:sz w:val="32"/>
          <w:szCs w:val="32"/>
          <w14:textFill>
            <w14:solidFill>
              <w14:schemeClr w14:val="tx1"/>
            </w14:solidFill>
          </w14:textFill>
        </w:rPr>
        <w:t>的重大</w:t>
      </w:r>
      <w:r>
        <w:rPr>
          <w:rFonts w:hint="eastAsia" w:ascii="Times New Roman" w:hAnsi="Times New Roman" w:eastAsia="仿宋"/>
          <w:color w:val="000000" w:themeColor="text1"/>
          <w:sz w:val="32"/>
          <w:szCs w:val="32"/>
          <w14:textFill>
            <w14:solidFill>
              <w14:schemeClr w14:val="tx1"/>
            </w14:solidFill>
          </w14:textFill>
        </w:rPr>
        <w:t>事件</w:t>
      </w:r>
      <w:r>
        <w:rPr>
          <w:rFonts w:ascii="Times New Roman" w:hAnsi="Times New Roman" w:eastAsia="仿宋"/>
          <w:color w:val="000000" w:themeColor="text1"/>
          <w:sz w:val="32"/>
          <w:szCs w:val="32"/>
          <w14:textFill>
            <w14:solidFill>
              <w14:schemeClr w14:val="tx1"/>
            </w14:solidFill>
          </w14:textFill>
        </w:rPr>
        <w:t>，</w:t>
      </w:r>
      <w:r>
        <w:rPr>
          <w:rFonts w:ascii="Times New Roman" w:hAnsi="Times New Roman" w:eastAsia="仿宋"/>
          <w:kern w:val="24"/>
          <w:sz w:val="32"/>
          <w:szCs w:val="32"/>
        </w:rPr>
        <w:t>退市公司</w:t>
      </w:r>
      <w:r>
        <w:rPr>
          <w:rFonts w:hint="eastAsia" w:ascii="Times New Roman" w:hAnsi="Times New Roman" w:eastAsia="仿宋"/>
          <w:kern w:val="24"/>
          <w:sz w:val="32"/>
          <w:szCs w:val="32"/>
        </w:rPr>
        <w:t>还应</w:t>
      </w:r>
      <w:r>
        <w:rPr>
          <w:rFonts w:ascii="Times New Roman" w:hAnsi="Times New Roman" w:eastAsia="仿宋"/>
          <w:kern w:val="24"/>
          <w:sz w:val="32"/>
          <w:szCs w:val="32"/>
        </w:rPr>
        <w:t>在</w:t>
      </w:r>
      <w:r>
        <w:rPr>
          <w:rFonts w:hint="eastAsia" w:ascii="Times New Roman" w:hAnsi="Times New Roman" w:eastAsia="仿宋"/>
          <w:kern w:val="24"/>
          <w:sz w:val="32"/>
          <w:szCs w:val="32"/>
        </w:rPr>
        <w:t>退市可转债</w:t>
      </w:r>
      <w:r>
        <w:rPr>
          <w:rFonts w:ascii="Times New Roman" w:hAnsi="Times New Roman" w:eastAsia="仿宋"/>
          <w:kern w:val="24"/>
          <w:sz w:val="32"/>
          <w:szCs w:val="32"/>
        </w:rPr>
        <w:t>存续期内及时披露下列重要事项</w:t>
      </w:r>
      <w:r>
        <w:rPr>
          <w:rFonts w:hint="eastAsia" w:ascii="Times New Roman" w:hAnsi="Times New Roman" w:eastAsia="仿宋"/>
          <w:kern w:val="24"/>
          <w:sz w:val="32"/>
          <w:szCs w:val="32"/>
        </w:rPr>
        <w:t>：</w:t>
      </w:r>
    </w:p>
    <w:p>
      <w:pPr>
        <w:snapToGrid w:val="0"/>
        <w:spacing w:line="600" w:lineRule="exact"/>
        <w:ind w:firstLine="640" w:firstLineChars="200"/>
        <w:rPr>
          <w:rFonts w:ascii="Times New Roman" w:hAnsi="Times New Roman" w:eastAsia="仿宋"/>
          <w:kern w:val="24"/>
          <w:sz w:val="32"/>
          <w:szCs w:val="32"/>
        </w:rPr>
      </w:pPr>
      <w:r>
        <w:rPr>
          <w:rFonts w:ascii="Times New Roman" w:hAnsi="Times New Roman" w:eastAsia="仿宋"/>
          <w:kern w:val="24"/>
          <w:sz w:val="32"/>
          <w:szCs w:val="32"/>
        </w:rPr>
        <w:t>（</w:t>
      </w:r>
      <w:r>
        <w:rPr>
          <w:rFonts w:hint="eastAsia" w:ascii="Times New Roman" w:hAnsi="Times New Roman" w:eastAsia="仿宋"/>
          <w:kern w:val="24"/>
          <w:sz w:val="32"/>
          <w:szCs w:val="32"/>
        </w:rPr>
        <w:t>一</w:t>
      </w:r>
      <w:r>
        <w:rPr>
          <w:rFonts w:ascii="Times New Roman" w:hAnsi="Times New Roman" w:eastAsia="仿宋"/>
          <w:kern w:val="24"/>
          <w:sz w:val="32"/>
          <w:szCs w:val="32"/>
        </w:rPr>
        <w:t>）退市公司发生未能清偿到期债券的违约情况；</w:t>
      </w:r>
    </w:p>
    <w:p>
      <w:pPr>
        <w:snapToGrid w:val="0"/>
        <w:spacing w:line="600" w:lineRule="exact"/>
        <w:ind w:firstLine="640" w:firstLineChars="200"/>
        <w:jc w:val="left"/>
        <w:rPr>
          <w:rFonts w:ascii="Times New Roman" w:hAnsi="Times New Roman" w:eastAsia="仿宋"/>
          <w:kern w:val="24"/>
          <w:sz w:val="32"/>
          <w:szCs w:val="32"/>
        </w:rPr>
      </w:pPr>
      <w:r>
        <w:rPr>
          <w:rFonts w:ascii="Times New Roman" w:hAnsi="Times New Roman" w:eastAsia="仿宋"/>
          <w:kern w:val="24"/>
          <w:sz w:val="32"/>
          <w:szCs w:val="32"/>
        </w:rPr>
        <w:t>（</w:t>
      </w:r>
      <w:r>
        <w:rPr>
          <w:rFonts w:hint="eastAsia" w:ascii="Times New Roman" w:hAnsi="Times New Roman" w:eastAsia="仿宋"/>
          <w:kern w:val="24"/>
          <w:sz w:val="32"/>
          <w:szCs w:val="32"/>
        </w:rPr>
        <w:t>二</w:t>
      </w:r>
      <w:r>
        <w:rPr>
          <w:rFonts w:ascii="Times New Roman" w:hAnsi="Times New Roman" w:eastAsia="仿宋"/>
          <w:kern w:val="24"/>
          <w:sz w:val="32"/>
          <w:szCs w:val="32"/>
        </w:rPr>
        <w:t>）退市公司发生大额负债、新增大额借款或者提供大额对外担保；</w:t>
      </w:r>
    </w:p>
    <w:p>
      <w:pPr>
        <w:snapToGrid w:val="0"/>
        <w:spacing w:line="600" w:lineRule="exact"/>
        <w:ind w:firstLine="640" w:firstLineChars="200"/>
        <w:rPr>
          <w:rFonts w:ascii="Times New Roman" w:hAnsi="Times New Roman" w:eastAsia="仿宋"/>
          <w:kern w:val="24"/>
          <w:sz w:val="32"/>
          <w:szCs w:val="32"/>
        </w:rPr>
      </w:pPr>
      <w:r>
        <w:rPr>
          <w:rFonts w:ascii="Times New Roman" w:hAnsi="Times New Roman" w:eastAsia="仿宋"/>
          <w:kern w:val="24"/>
          <w:sz w:val="32"/>
          <w:szCs w:val="32"/>
        </w:rPr>
        <w:t>（</w:t>
      </w:r>
      <w:r>
        <w:rPr>
          <w:rFonts w:hint="eastAsia" w:ascii="Times New Roman" w:hAnsi="Times New Roman" w:eastAsia="仿宋"/>
          <w:kern w:val="24"/>
          <w:sz w:val="32"/>
          <w:szCs w:val="32"/>
        </w:rPr>
        <w:t>三</w:t>
      </w:r>
      <w:r>
        <w:rPr>
          <w:rFonts w:ascii="Times New Roman" w:hAnsi="Times New Roman" w:eastAsia="仿宋"/>
          <w:kern w:val="24"/>
          <w:sz w:val="32"/>
          <w:szCs w:val="32"/>
        </w:rPr>
        <w:t>）公司债券信用评级（如有）发生变化；</w:t>
      </w:r>
    </w:p>
    <w:p>
      <w:pPr>
        <w:snapToGrid w:val="0"/>
        <w:spacing w:line="600" w:lineRule="exact"/>
        <w:ind w:firstLine="640" w:firstLineChars="200"/>
        <w:rPr>
          <w:rFonts w:ascii="Times New Roman" w:hAnsi="Times New Roman" w:eastAsia="仿宋"/>
          <w:kern w:val="24"/>
          <w:sz w:val="32"/>
          <w:szCs w:val="32"/>
        </w:rPr>
      </w:pPr>
      <w:r>
        <w:rPr>
          <w:rFonts w:ascii="Times New Roman" w:hAnsi="Times New Roman" w:eastAsia="仿宋"/>
          <w:kern w:val="24"/>
          <w:sz w:val="32"/>
          <w:szCs w:val="32"/>
        </w:rPr>
        <w:t>（</w:t>
      </w:r>
      <w:r>
        <w:rPr>
          <w:rFonts w:hint="eastAsia" w:ascii="Times New Roman" w:hAnsi="Times New Roman" w:eastAsia="仿宋"/>
          <w:kern w:val="24"/>
          <w:sz w:val="32"/>
          <w:szCs w:val="32"/>
        </w:rPr>
        <w:t>四</w:t>
      </w:r>
      <w:r>
        <w:rPr>
          <w:rFonts w:ascii="Times New Roman" w:hAnsi="Times New Roman" w:eastAsia="仿宋"/>
          <w:kern w:val="24"/>
          <w:sz w:val="32"/>
          <w:szCs w:val="32"/>
        </w:rPr>
        <w:t>）其他对投资者作出投资决策有重大影响的事项。</w:t>
      </w:r>
    </w:p>
    <w:p>
      <w:pPr>
        <w:snapToGrid w:val="0"/>
        <w:spacing w:line="600" w:lineRule="exact"/>
        <w:ind w:firstLine="642" w:firstLineChars="200"/>
        <w:rPr>
          <w:rFonts w:ascii="Times New Roman" w:hAnsi="Times New Roman" w:eastAsia="仿宋"/>
          <w:sz w:val="32"/>
        </w:rPr>
      </w:pPr>
      <w:r>
        <w:rPr>
          <w:rFonts w:ascii="Times New Roman" w:hAnsi="Times New Roman" w:eastAsia="仿宋"/>
          <w:b/>
          <w:kern w:val="24"/>
          <w:sz w:val="32"/>
          <w:szCs w:val="32"/>
        </w:rPr>
        <w:t>第</w:t>
      </w:r>
      <w:r>
        <w:rPr>
          <w:rFonts w:hint="eastAsia" w:ascii="Times New Roman" w:hAnsi="Times New Roman" w:eastAsia="仿宋"/>
          <w:b/>
          <w:kern w:val="24"/>
          <w:sz w:val="32"/>
          <w:szCs w:val="32"/>
        </w:rPr>
        <w:t>四十六</w:t>
      </w:r>
      <w:r>
        <w:rPr>
          <w:rFonts w:ascii="Times New Roman" w:hAnsi="Times New Roman" w:eastAsia="仿宋"/>
          <w:b/>
          <w:kern w:val="24"/>
          <w:sz w:val="32"/>
          <w:szCs w:val="32"/>
        </w:rPr>
        <w:t xml:space="preserve">条 </w:t>
      </w:r>
      <w:r>
        <w:rPr>
          <w:rFonts w:ascii="Times New Roman" w:hAnsi="Times New Roman" w:eastAsia="仿宋"/>
          <w:sz w:val="32"/>
        </w:rPr>
        <w:t>投资者持有</w:t>
      </w:r>
      <w:r>
        <w:rPr>
          <w:rFonts w:hint="eastAsia" w:ascii="Times New Roman" w:hAnsi="Times New Roman" w:eastAsia="仿宋"/>
          <w:sz w:val="32"/>
        </w:rPr>
        <w:t>退市</w:t>
      </w:r>
      <w:r>
        <w:rPr>
          <w:rFonts w:ascii="Times New Roman" w:hAnsi="Times New Roman" w:eastAsia="仿宋"/>
          <w:sz w:val="32"/>
        </w:rPr>
        <w:t>公司已发行的</w:t>
      </w:r>
      <w:r>
        <w:rPr>
          <w:rFonts w:hint="eastAsia" w:ascii="Times New Roman" w:hAnsi="Times New Roman" w:eastAsia="仿宋"/>
          <w:sz w:val="32"/>
        </w:rPr>
        <w:t>退市可转债</w:t>
      </w:r>
      <w:r>
        <w:rPr>
          <w:rFonts w:ascii="Times New Roman" w:hAnsi="Times New Roman" w:eastAsia="仿宋"/>
          <w:sz w:val="32"/>
        </w:rPr>
        <w:t>达到发行总量的20%时，应当在事实发生之日起2个交易日内通知公司予以公告。</w:t>
      </w:r>
    </w:p>
    <w:p>
      <w:pPr>
        <w:snapToGrid w:val="0"/>
        <w:spacing w:line="600" w:lineRule="exact"/>
        <w:ind w:firstLine="640" w:firstLineChars="200"/>
        <w:rPr>
          <w:rFonts w:ascii="Times New Roman" w:hAnsi="Times New Roman" w:eastAsia="仿宋"/>
          <w:sz w:val="32"/>
        </w:rPr>
      </w:pPr>
      <w:r>
        <w:rPr>
          <w:rFonts w:ascii="Times New Roman" w:hAnsi="Times New Roman" w:eastAsia="仿宋"/>
          <w:sz w:val="32"/>
        </w:rPr>
        <w:t>持有</w:t>
      </w:r>
      <w:r>
        <w:rPr>
          <w:rFonts w:hint="eastAsia" w:ascii="Times New Roman" w:hAnsi="Times New Roman" w:eastAsia="仿宋"/>
          <w:sz w:val="32"/>
        </w:rPr>
        <w:t>退市</w:t>
      </w:r>
      <w:r>
        <w:rPr>
          <w:rFonts w:ascii="Times New Roman" w:hAnsi="Times New Roman" w:eastAsia="仿宋"/>
          <w:sz w:val="32"/>
        </w:rPr>
        <w:t>公司已发行的</w:t>
      </w:r>
      <w:r>
        <w:rPr>
          <w:rFonts w:hint="eastAsia" w:ascii="Times New Roman" w:hAnsi="Times New Roman" w:eastAsia="仿宋"/>
          <w:sz w:val="32"/>
        </w:rPr>
        <w:t>退市可转债</w:t>
      </w:r>
      <w:r>
        <w:rPr>
          <w:rFonts w:ascii="Times New Roman" w:hAnsi="Times New Roman" w:eastAsia="仿宋"/>
          <w:sz w:val="32"/>
        </w:rPr>
        <w:t>20%及以上的投资者，其所持公司已发行的</w:t>
      </w:r>
      <w:r>
        <w:rPr>
          <w:rFonts w:hint="eastAsia" w:ascii="Times New Roman" w:hAnsi="Times New Roman" w:eastAsia="仿宋"/>
          <w:sz w:val="32"/>
        </w:rPr>
        <w:t>退市可转债</w:t>
      </w:r>
      <w:r>
        <w:rPr>
          <w:rFonts w:ascii="Times New Roman" w:hAnsi="Times New Roman" w:eastAsia="仿宋"/>
          <w:sz w:val="32"/>
        </w:rPr>
        <w:t>比例每增加或减少10%时，应当按照前款规定履行通知公告义务。</w:t>
      </w:r>
    </w:p>
    <w:p>
      <w:pPr>
        <w:adjustRightInd w:val="0"/>
        <w:snapToGrid w:val="0"/>
        <w:spacing w:before="240" w:after="240" w:line="600" w:lineRule="exact"/>
        <w:jc w:val="center"/>
        <w:outlineLvl w:val="0"/>
        <w:rPr>
          <w:rFonts w:ascii="Times New Roman" w:hAnsi="Times New Roman" w:eastAsia="黑体"/>
          <w:color w:val="000000" w:themeColor="text1"/>
          <w:sz w:val="32"/>
          <w:szCs w:val="30"/>
          <w14:textFill>
            <w14:solidFill>
              <w14:schemeClr w14:val="tx1"/>
            </w14:solidFill>
          </w14:textFill>
        </w:rPr>
      </w:pPr>
      <w:r>
        <w:rPr>
          <w:rFonts w:ascii="Times New Roman" w:hAnsi="Times New Roman" w:eastAsia="黑体"/>
          <w:color w:val="000000" w:themeColor="text1"/>
          <w:sz w:val="32"/>
          <w:szCs w:val="30"/>
          <w14:textFill>
            <w14:solidFill>
              <w14:schemeClr w14:val="tx1"/>
            </w14:solidFill>
          </w14:textFill>
        </w:rPr>
        <w:t>第</w:t>
      </w:r>
      <w:r>
        <w:rPr>
          <w:rFonts w:hint="eastAsia" w:ascii="Times New Roman" w:hAnsi="Times New Roman" w:eastAsia="黑体"/>
          <w:color w:val="000000" w:themeColor="text1"/>
          <w:sz w:val="32"/>
          <w:szCs w:val="30"/>
          <w14:textFill>
            <w14:solidFill>
              <w14:schemeClr w14:val="tx1"/>
            </w14:solidFill>
          </w14:textFill>
        </w:rPr>
        <w:t>五</w:t>
      </w:r>
      <w:r>
        <w:rPr>
          <w:rFonts w:ascii="Times New Roman" w:hAnsi="Times New Roman" w:eastAsia="黑体"/>
          <w:color w:val="000000" w:themeColor="text1"/>
          <w:sz w:val="32"/>
          <w:szCs w:val="30"/>
          <w14:textFill>
            <w14:solidFill>
              <w14:schemeClr w14:val="tx1"/>
            </w14:solidFill>
          </w14:textFill>
        </w:rPr>
        <w:t>章</w:t>
      </w:r>
      <w:r>
        <w:rPr>
          <w:rFonts w:hint="eastAsia" w:ascii="Times New Roman" w:hAnsi="Times New Roman" w:eastAsia="黑体"/>
          <w:color w:val="000000" w:themeColor="text1"/>
          <w:sz w:val="32"/>
          <w:szCs w:val="30"/>
          <w14:textFill>
            <w14:solidFill>
              <w14:schemeClr w14:val="tx1"/>
            </w14:solidFill>
          </w14:textFill>
        </w:rPr>
        <w:t xml:space="preserve"> </w:t>
      </w:r>
      <w:r>
        <w:rPr>
          <w:rFonts w:ascii="Times New Roman" w:hAnsi="Times New Roman" w:eastAsia="黑体"/>
          <w:color w:val="000000" w:themeColor="text1"/>
          <w:sz w:val="32"/>
          <w:szCs w:val="30"/>
          <w14:textFill>
            <w14:solidFill>
              <w14:schemeClr w14:val="tx1"/>
            </w14:solidFill>
          </w14:textFill>
        </w:rPr>
        <w:t xml:space="preserve"> 附则</w:t>
      </w:r>
    </w:p>
    <w:p>
      <w:pPr>
        <w:snapToGrid w:val="0"/>
        <w:spacing w:line="600" w:lineRule="exact"/>
        <w:ind w:firstLine="642" w:firstLineChars="200"/>
        <w:rPr>
          <w:rFonts w:ascii="Times New Roman" w:hAnsi="Times New Roman" w:eastAsia="仿宋"/>
          <w:sz w:val="32"/>
          <w:szCs w:val="30"/>
        </w:rPr>
      </w:pPr>
      <w:r>
        <w:rPr>
          <w:rFonts w:ascii="Times New Roman" w:hAnsi="Times New Roman" w:eastAsia="仿宋"/>
          <w:b/>
          <w:color w:val="000000" w:themeColor="text1"/>
          <w:sz w:val="32"/>
          <w:szCs w:val="32"/>
          <w14:textFill>
            <w14:solidFill>
              <w14:schemeClr w14:val="tx1"/>
            </w14:solidFill>
          </w14:textFill>
        </w:rPr>
        <w:t>第</w:t>
      </w:r>
      <w:r>
        <w:rPr>
          <w:rFonts w:hint="eastAsia" w:ascii="Times New Roman" w:hAnsi="Times New Roman" w:eastAsia="仿宋"/>
          <w:b/>
          <w:kern w:val="24"/>
          <w:sz w:val="32"/>
          <w:szCs w:val="32"/>
        </w:rPr>
        <w:t>四十七</w:t>
      </w:r>
      <w:r>
        <w:rPr>
          <w:rFonts w:ascii="Times New Roman" w:hAnsi="Times New Roman" w:eastAsia="仿宋"/>
          <w:b/>
          <w:color w:val="000000" w:themeColor="text1"/>
          <w:sz w:val="32"/>
          <w:szCs w:val="32"/>
          <w14:textFill>
            <w14:solidFill>
              <w14:schemeClr w14:val="tx1"/>
            </w14:solidFill>
          </w14:textFill>
        </w:rPr>
        <w:t>条</w:t>
      </w:r>
      <w:r>
        <w:rPr>
          <w:rFonts w:hint="eastAsia" w:ascii="Times New Roman" w:hAnsi="Times New Roman" w:eastAsia="仿宋"/>
          <w:b/>
          <w:color w:val="000000" w:themeColor="text1"/>
          <w:sz w:val="32"/>
          <w:szCs w:val="32"/>
          <w14:textFill>
            <w14:solidFill>
              <w14:schemeClr w14:val="tx1"/>
            </w14:solidFill>
          </w14:textFill>
        </w:rPr>
        <w:t xml:space="preserve"> </w:t>
      </w:r>
      <w:r>
        <w:rPr>
          <w:rFonts w:hint="eastAsia" w:ascii="Times New Roman" w:hAnsi="Times New Roman" w:eastAsia="仿宋"/>
          <w:color w:val="000000" w:themeColor="text1"/>
          <w:sz w:val="32"/>
          <w:szCs w:val="32"/>
          <w14:textFill>
            <w14:solidFill>
              <w14:schemeClr w14:val="tx1"/>
            </w14:solidFill>
          </w14:textFill>
        </w:rPr>
        <w:t>相关主体</w:t>
      </w:r>
      <w:r>
        <w:rPr>
          <w:rFonts w:ascii="Times New Roman" w:hAnsi="Times New Roman" w:eastAsia="仿宋"/>
          <w:color w:val="000000" w:themeColor="text1"/>
          <w:sz w:val="32"/>
          <w:szCs w:val="32"/>
          <w14:textFill>
            <w14:solidFill>
              <w14:schemeClr w14:val="tx1"/>
            </w14:solidFill>
          </w14:textFill>
        </w:rPr>
        <w:t>违反本规定的，全国股转公司可以视情节轻重</w:t>
      </w:r>
      <w:r>
        <w:rPr>
          <w:rFonts w:ascii="Times New Roman" w:hAnsi="Times New Roman" w:eastAsia="仿宋"/>
          <w:sz w:val="32"/>
          <w:szCs w:val="30"/>
        </w:rPr>
        <w:t>采取自律</w:t>
      </w:r>
      <w:r>
        <w:rPr>
          <w:rFonts w:hint="eastAsia" w:ascii="Times New Roman" w:hAnsi="Times New Roman" w:eastAsia="仿宋"/>
          <w:sz w:val="32"/>
          <w:szCs w:val="30"/>
        </w:rPr>
        <w:t>管理</w:t>
      </w:r>
      <w:r>
        <w:rPr>
          <w:rFonts w:ascii="Times New Roman" w:hAnsi="Times New Roman" w:eastAsia="仿宋"/>
          <w:sz w:val="32"/>
          <w:szCs w:val="30"/>
        </w:rPr>
        <w:t>措施</w:t>
      </w:r>
      <w:r>
        <w:rPr>
          <w:rFonts w:hint="eastAsia" w:ascii="Times New Roman" w:hAnsi="Times New Roman" w:eastAsia="仿宋"/>
          <w:sz w:val="32"/>
          <w:szCs w:val="30"/>
        </w:rPr>
        <w:t>；全国股转公司发现相关主体涉嫌违反法律法规、部门规章和中国证监会相关规定，情节严重的，向中国证监会报告。</w:t>
      </w:r>
    </w:p>
    <w:p>
      <w:pPr>
        <w:adjustRightInd w:val="0"/>
        <w:snapToGrid w:val="0"/>
        <w:spacing w:line="600" w:lineRule="exact"/>
        <w:ind w:firstLine="642" w:firstLineChars="200"/>
        <w:jc w:val="left"/>
        <w:outlineLvl w:val="0"/>
        <w:rPr>
          <w:rFonts w:ascii="Times New Roman" w:hAnsi="Times New Roman" w:eastAsia="仿宋"/>
          <w:color w:val="000000" w:themeColor="text1"/>
          <w:sz w:val="32"/>
          <w:szCs w:val="32"/>
          <w14:textFill>
            <w14:solidFill>
              <w14:schemeClr w14:val="tx1"/>
            </w14:solidFill>
          </w14:textFill>
        </w:rPr>
      </w:pPr>
      <w:r>
        <w:rPr>
          <w:rFonts w:ascii="Times New Roman" w:hAnsi="Times New Roman" w:eastAsia="仿宋"/>
          <w:b/>
          <w:kern w:val="24"/>
          <w:sz w:val="32"/>
          <w:szCs w:val="32"/>
        </w:rPr>
        <w:t>第</w:t>
      </w:r>
      <w:r>
        <w:rPr>
          <w:rFonts w:hint="eastAsia" w:ascii="Times New Roman" w:hAnsi="Times New Roman" w:eastAsia="仿宋"/>
          <w:b/>
          <w:kern w:val="24"/>
          <w:sz w:val="32"/>
          <w:szCs w:val="32"/>
        </w:rPr>
        <w:t>四十八</w:t>
      </w:r>
      <w:r>
        <w:rPr>
          <w:rFonts w:ascii="Times New Roman" w:hAnsi="Times New Roman" w:eastAsia="仿宋"/>
          <w:b/>
          <w:kern w:val="24"/>
          <w:sz w:val="32"/>
          <w:szCs w:val="32"/>
        </w:rPr>
        <w:t xml:space="preserve">条 </w:t>
      </w:r>
      <w:r>
        <w:rPr>
          <w:rFonts w:hint="eastAsia" w:ascii="Times New Roman" w:hAnsi="Times New Roman" w:eastAsia="仿宋"/>
          <w:color w:val="000000" w:themeColor="text1"/>
          <w:sz w:val="32"/>
          <w:szCs w:val="32"/>
          <w14:textFill>
            <w14:solidFill>
              <w14:schemeClr w14:val="tx1"/>
            </w14:solidFill>
          </w14:textFill>
        </w:rPr>
        <w:t>退市可转债受托管理、持有人会议等事项，按照中国证监会相关规定执行</w:t>
      </w:r>
      <w:r>
        <w:rPr>
          <w:rFonts w:ascii="Times New Roman" w:hAnsi="Times New Roman" w:eastAsia="仿宋"/>
          <w:color w:val="000000" w:themeColor="text1"/>
          <w:sz w:val="32"/>
          <w:szCs w:val="32"/>
          <w14:textFill>
            <w14:solidFill>
              <w14:schemeClr w14:val="tx1"/>
            </w14:solidFill>
          </w14:textFill>
        </w:rPr>
        <w:t>。</w:t>
      </w:r>
    </w:p>
    <w:p>
      <w:pPr>
        <w:adjustRightInd w:val="0"/>
        <w:snapToGrid w:val="0"/>
        <w:spacing w:line="600" w:lineRule="exact"/>
        <w:ind w:firstLine="642" w:firstLineChars="200"/>
        <w:jc w:val="left"/>
        <w:outlineLvl w:val="0"/>
        <w:rPr>
          <w:rFonts w:ascii="Times New Roman" w:hAnsi="Times New Roman" w:eastAsia="仿宋"/>
          <w:kern w:val="24"/>
          <w:sz w:val="32"/>
          <w:szCs w:val="32"/>
        </w:rPr>
      </w:pPr>
      <w:r>
        <w:rPr>
          <w:rFonts w:ascii="Times New Roman" w:hAnsi="Times New Roman" w:eastAsia="仿宋"/>
          <w:b/>
          <w:kern w:val="24"/>
          <w:sz w:val="32"/>
          <w:szCs w:val="32"/>
        </w:rPr>
        <w:t>第</w:t>
      </w:r>
      <w:r>
        <w:rPr>
          <w:rFonts w:hint="eastAsia" w:ascii="Times New Roman" w:hAnsi="Times New Roman" w:eastAsia="仿宋"/>
          <w:b/>
          <w:kern w:val="24"/>
          <w:sz w:val="32"/>
          <w:szCs w:val="32"/>
        </w:rPr>
        <w:t>四十九</w:t>
      </w:r>
      <w:r>
        <w:rPr>
          <w:rFonts w:ascii="Times New Roman" w:hAnsi="Times New Roman" w:eastAsia="仿宋"/>
          <w:b/>
          <w:kern w:val="24"/>
          <w:sz w:val="32"/>
          <w:szCs w:val="32"/>
        </w:rPr>
        <w:t xml:space="preserve">条 </w:t>
      </w:r>
      <w:r>
        <w:rPr>
          <w:rFonts w:hint="eastAsia" w:ascii="Times New Roman" w:hAnsi="Times New Roman" w:eastAsia="仿宋"/>
          <w:color w:val="000000" w:themeColor="text1"/>
          <w:sz w:val="32"/>
          <w:szCs w:val="32"/>
          <w14:textFill>
            <w14:solidFill>
              <w14:schemeClr w14:val="tx1"/>
            </w14:solidFill>
          </w14:textFill>
        </w:rPr>
        <w:t>退市可转债</w:t>
      </w:r>
      <w:r>
        <w:rPr>
          <w:rFonts w:ascii="Times New Roman" w:hAnsi="Times New Roman" w:eastAsia="仿宋"/>
          <w:color w:val="000000" w:themeColor="text1"/>
          <w:sz w:val="32"/>
          <w:szCs w:val="32"/>
          <w14:textFill>
            <w14:solidFill>
              <w14:schemeClr w14:val="tx1"/>
            </w14:solidFill>
          </w14:textFill>
        </w:rPr>
        <w:t>挂牌初费及年费暂免收取；转让经手费</w:t>
      </w:r>
      <w:r>
        <w:rPr>
          <w:rFonts w:hint="eastAsia" w:ascii="Times New Roman" w:hAnsi="Times New Roman" w:eastAsia="仿宋"/>
          <w:color w:val="000000" w:themeColor="text1"/>
          <w:sz w:val="32"/>
          <w:szCs w:val="32"/>
          <w14:textFill>
            <w14:solidFill>
              <w14:schemeClr w14:val="tx1"/>
            </w14:solidFill>
          </w14:textFill>
        </w:rPr>
        <w:t>按退市公司</w:t>
      </w:r>
      <w:r>
        <w:rPr>
          <w:rFonts w:ascii="Times New Roman" w:hAnsi="Times New Roman" w:eastAsia="仿宋"/>
          <w:color w:val="000000" w:themeColor="text1"/>
          <w:sz w:val="32"/>
          <w:szCs w:val="32"/>
          <w14:textFill>
            <w14:solidFill>
              <w14:schemeClr w14:val="tx1"/>
            </w14:solidFill>
          </w14:textFill>
        </w:rPr>
        <w:t>股票转让经手费标准收取。</w:t>
      </w:r>
    </w:p>
    <w:p>
      <w:pPr>
        <w:adjustRightInd w:val="0"/>
        <w:snapToGrid w:val="0"/>
        <w:spacing w:line="600" w:lineRule="exact"/>
        <w:ind w:firstLine="642" w:firstLineChars="200"/>
        <w:outlineLvl w:val="0"/>
        <w:rPr>
          <w:rFonts w:ascii="Times New Roman" w:hAnsi="Times New Roman" w:eastAsia="仿宋"/>
          <w:kern w:val="24"/>
          <w:sz w:val="32"/>
          <w:szCs w:val="32"/>
        </w:rPr>
      </w:pPr>
      <w:r>
        <w:rPr>
          <w:rFonts w:ascii="Times New Roman" w:hAnsi="Times New Roman" w:eastAsia="仿宋"/>
          <w:b/>
          <w:kern w:val="24"/>
          <w:sz w:val="32"/>
          <w:szCs w:val="32"/>
        </w:rPr>
        <w:t>第</w:t>
      </w:r>
      <w:r>
        <w:rPr>
          <w:rFonts w:hint="eastAsia" w:ascii="Times New Roman" w:hAnsi="Times New Roman" w:eastAsia="仿宋"/>
          <w:b/>
          <w:kern w:val="24"/>
          <w:sz w:val="32"/>
          <w:szCs w:val="32"/>
        </w:rPr>
        <w:t>五十</w:t>
      </w:r>
      <w:r>
        <w:rPr>
          <w:rFonts w:ascii="Times New Roman" w:hAnsi="Times New Roman" w:eastAsia="仿宋"/>
          <w:b/>
          <w:kern w:val="24"/>
          <w:sz w:val="32"/>
          <w:szCs w:val="32"/>
        </w:rPr>
        <w:t xml:space="preserve">条 </w:t>
      </w:r>
      <w:r>
        <w:rPr>
          <w:rFonts w:ascii="Times New Roman" w:hAnsi="Times New Roman" w:eastAsia="仿宋"/>
          <w:kern w:val="24"/>
          <w:sz w:val="32"/>
          <w:szCs w:val="32"/>
        </w:rPr>
        <w:t>本</w:t>
      </w:r>
      <w:r>
        <w:rPr>
          <w:rFonts w:hint="eastAsia" w:ascii="Times New Roman" w:hAnsi="Times New Roman" w:eastAsia="仿宋"/>
          <w:kern w:val="24"/>
          <w:sz w:val="32"/>
          <w:szCs w:val="32"/>
        </w:rPr>
        <w:t>规定</w:t>
      </w:r>
      <w:r>
        <w:rPr>
          <w:rFonts w:ascii="Times New Roman" w:hAnsi="Times New Roman" w:eastAsia="仿宋"/>
          <w:kern w:val="24"/>
          <w:sz w:val="32"/>
          <w:szCs w:val="32"/>
        </w:rPr>
        <w:t>由全国股转公司负责解释。</w:t>
      </w:r>
    </w:p>
    <w:p>
      <w:pPr>
        <w:adjustRightInd w:val="0"/>
        <w:snapToGrid w:val="0"/>
        <w:spacing w:line="600" w:lineRule="exact"/>
        <w:ind w:firstLine="642" w:firstLineChars="200"/>
        <w:outlineLvl w:val="0"/>
        <w:rPr>
          <w:rFonts w:ascii="Times New Roman" w:hAnsi="Times New Roman" w:eastAsiaTheme="majorEastAsia"/>
          <w:b/>
          <w:sz w:val="32"/>
          <w:szCs w:val="32"/>
        </w:rPr>
      </w:pPr>
      <w:r>
        <w:rPr>
          <w:rFonts w:ascii="Times New Roman" w:hAnsi="Times New Roman" w:eastAsia="仿宋"/>
          <w:b/>
          <w:sz w:val="32"/>
          <w:szCs w:val="30"/>
        </w:rPr>
        <w:t>第</w:t>
      </w:r>
      <w:r>
        <w:rPr>
          <w:rFonts w:hint="eastAsia" w:ascii="Times New Roman" w:hAnsi="Times New Roman" w:eastAsia="仿宋"/>
          <w:b/>
          <w:kern w:val="24"/>
          <w:sz w:val="32"/>
          <w:szCs w:val="32"/>
        </w:rPr>
        <w:t>五十一</w:t>
      </w:r>
      <w:r>
        <w:rPr>
          <w:rFonts w:ascii="Times New Roman" w:hAnsi="Times New Roman" w:eastAsia="仿宋"/>
          <w:b/>
          <w:sz w:val="32"/>
          <w:szCs w:val="30"/>
        </w:rPr>
        <w:t xml:space="preserve">条 </w:t>
      </w:r>
      <w:r>
        <w:rPr>
          <w:rFonts w:ascii="Times New Roman" w:hAnsi="Times New Roman" w:eastAsia="仿宋"/>
          <w:sz w:val="32"/>
          <w:szCs w:val="30"/>
        </w:rPr>
        <w:t>本</w:t>
      </w:r>
      <w:r>
        <w:rPr>
          <w:rFonts w:hint="eastAsia" w:ascii="Times New Roman" w:hAnsi="Times New Roman" w:eastAsia="仿宋"/>
          <w:sz w:val="32"/>
          <w:szCs w:val="30"/>
        </w:rPr>
        <w:t>规定</w:t>
      </w:r>
      <w:r>
        <w:rPr>
          <w:rFonts w:ascii="Times New Roman" w:hAnsi="Times New Roman" w:eastAsia="仿宋"/>
          <w:sz w:val="32"/>
          <w:szCs w:val="30"/>
        </w:rPr>
        <w:t>自发布之日起施行。</w:t>
      </w:r>
    </w:p>
    <w:p>
      <w:pPr>
        <w:spacing w:line="400" w:lineRule="exact"/>
        <w:rPr>
          <w:rFonts w:ascii="Times New Roman" w:hAnsi="Times New Roman" w:eastAsia="方正仿宋简体"/>
          <w:sz w:val="28"/>
          <w:szCs w:val="28"/>
        </w:rPr>
      </w:pPr>
    </w:p>
    <w:p>
      <w:pPr>
        <w:widowControl/>
        <w:jc w:val="left"/>
        <w:rPr>
          <w:rFonts w:ascii="Times New Roman" w:hAnsi="Times New Roman" w:eastAsia="仿宋"/>
          <w:sz w:val="28"/>
          <w:szCs w:val="28"/>
        </w:rPr>
      </w:pPr>
    </w:p>
    <w:sectPr>
      <w:footerReference r:id="rId3" w:type="default"/>
      <w:footerReference r:id="rId4" w:type="even"/>
      <w:pgSz w:w="11906" w:h="16838"/>
      <w:pgMar w:top="2098" w:right="1588" w:bottom="1985" w:left="1588"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大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方正仿宋简体">
    <w:panose1 w:val="02010601030101010101"/>
    <w:charset w:val="86"/>
    <w:family w:val="auto"/>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29509888"/>
    </w:sdtPr>
    <w:sdtEndPr>
      <w:rPr>
        <w:rFonts w:asciiTheme="minorEastAsia" w:hAnsiTheme="minorEastAsia" w:eastAsiaTheme="minorEastAsia"/>
        <w:sz w:val="28"/>
        <w:szCs w:val="28"/>
      </w:rPr>
    </w:sdtEndPr>
    <w:sdtContent>
      <w:p>
        <w:pPr>
          <w:pStyle w:val="5"/>
          <w:jc w:val="right"/>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1 -</w:t>
        </w:r>
        <w:r>
          <w:rPr>
            <w:rFonts w:asciiTheme="minorEastAsia" w:hAnsiTheme="minorEastAsia" w:eastAsiaTheme="minorEastAsia"/>
            <w:sz w:val="28"/>
            <w:szCs w:val="28"/>
          </w:rPr>
          <w:fldChar w:fldCharType="end"/>
        </w:r>
      </w:p>
    </w:sdtContent>
  </w:sdt>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4239689"/>
    </w:sdtPr>
    <w:sdtEndPr>
      <w:rPr>
        <w:rFonts w:asciiTheme="minorEastAsia" w:hAnsiTheme="minorEastAsia" w:eastAsiaTheme="minorEastAsia"/>
        <w:sz w:val="28"/>
        <w:szCs w:val="28"/>
      </w:rPr>
    </w:sdtEndPr>
    <w:sdtContent>
      <w:p>
        <w:pPr>
          <w:pStyle w:val="5"/>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2 -</w:t>
        </w:r>
        <w:r>
          <w:rPr>
            <w:rFonts w:asciiTheme="minorEastAsia" w:hAnsiTheme="minorEastAsia" w:eastAsiaTheme="minorEastAsia"/>
            <w:sz w:val="28"/>
            <w:szCs w:val="28"/>
          </w:rPr>
          <w:fldChar w:fldCharType="end"/>
        </w:r>
      </w:p>
    </w:sdtContent>
  </w:sdt>
  <w:p>
    <w:pPr>
      <w:pStyle w:val="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true"/>
  <w:bordersDoNotSurroundFooter w:val="true"/>
  <w:documentProtection w:enforcement="0"/>
  <w:defaultTabStop w:val="420"/>
  <w:evenAndOddHeaders w:val="true"/>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1B8"/>
    <w:rsid w:val="0001132B"/>
    <w:rsid w:val="000114CC"/>
    <w:rsid w:val="0001279E"/>
    <w:rsid w:val="00013FD4"/>
    <w:rsid w:val="000140A5"/>
    <w:rsid w:val="00023393"/>
    <w:rsid w:val="00023918"/>
    <w:rsid w:val="000253C4"/>
    <w:rsid w:val="00027677"/>
    <w:rsid w:val="00030254"/>
    <w:rsid w:val="0003177A"/>
    <w:rsid w:val="00031819"/>
    <w:rsid w:val="0003452A"/>
    <w:rsid w:val="00034CB4"/>
    <w:rsid w:val="00034DC5"/>
    <w:rsid w:val="000350FA"/>
    <w:rsid w:val="00036093"/>
    <w:rsid w:val="00040339"/>
    <w:rsid w:val="000406E0"/>
    <w:rsid w:val="00040A29"/>
    <w:rsid w:val="00042AA7"/>
    <w:rsid w:val="000464E4"/>
    <w:rsid w:val="0004678F"/>
    <w:rsid w:val="000501AA"/>
    <w:rsid w:val="000515D0"/>
    <w:rsid w:val="000530B5"/>
    <w:rsid w:val="00057221"/>
    <w:rsid w:val="000614F2"/>
    <w:rsid w:val="00061835"/>
    <w:rsid w:val="00070A1C"/>
    <w:rsid w:val="00070EF4"/>
    <w:rsid w:val="00073313"/>
    <w:rsid w:val="00075DDE"/>
    <w:rsid w:val="000770D6"/>
    <w:rsid w:val="00077B36"/>
    <w:rsid w:val="00087D53"/>
    <w:rsid w:val="00090A5F"/>
    <w:rsid w:val="000914B4"/>
    <w:rsid w:val="00092880"/>
    <w:rsid w:val="00093565"/>
    <w:rsid w:val="00093666"/>
    <w:rsid w:val="000979F3"/>
    <w:rsid w:val="000B1D18"/>
    <w:rsid w:val="000B2000"/>
    <w:rsid w:val="000B3F90"/>
    <w:rsid w:val="000B44A6"/>
    <w:rsid w:val="000B4853"/>
    <w:rsid w:val="000B52DC"/>
    <w:rsid w:val="000B5EAA"/>
    <w:rsid w:val="000C446C"/>
    <w:rsid w:val="000C6818"/>
    <w:rsid w:val="000D7B7F"/>
    <w:rsid w:val="000E6E4C"/>
    <w:rsid w:val="000E72C9"/>
    <w:rsid w:val="000E72D0"/>
    <w:rsid w:val="000F0DC4"/>
    <w:rsid w:val="000F1B08"/>
    <w:rsid w:val="000F2D51"/>
    <w:rsid w:val="000F315B"/>
    <w:rsid w:val="000F593E"/>
    <w:rsid w:val="00104023"/>
    <w:rsid w:val="0010434B"/>
    <w:rsid w:val="0010613F"/>
    <w:rsid w:val="00110389"/>
    <w:rsid w:val="00111415"/>
    <w:rsid w:val="001136DB"/>
    <w:rsid w:val="00113E16"/>
    <w:rsid w:val="00116D3E"/>
    <w:rsid w:val="00117488"/>
    <w:rsid w:val="00121BFE"/>
    <w:rsid w:val="0012224F"/>
    <w:rsid w:val="00126771"/>
    <w:rsid w:val="00126F8E"/>
    <w:rsid w:val="00130AC5"/>
    <w:rsid w:val="00131C2F"/>
    <w:rsid w:val="00131FD5"/>
    <w:rsid w:val="00131FE7"/>
    <w:rsid w:val="001351B4"/>
    <w:rsid w:val="00136A16"/>
    <w:rsid w:val="00137C57"/>
    <w:rsid w:val="00140260"/>
    <w:rsid w:val="001421AB"/>
    <w:rsid w:val="00142A8D"/>
    <w:rsid w:val="00145C1B"/>
    <w:rsid w:val="0014751A"/>
    <w:rsid w:val="00150C13"/>
    <w:rsid w:val="0015190D"/>
    <w:rsid w:val="001525AB"/>
    <w:rsid w:val="00154EFD"/>
    <w:rsid w:val="00155052"/>
    <w:rsid w:val="001559C9"/>
    <w:rsid w:val="0016074F"/>
    <w:rsid w:val="001608C8"/>
    <w:rsid w:val="00160BF3"/>
    <w:rsid w:val="00165E5A"/>
    <w:rsid w:val="00170F03"/>
    <w:rsid w:val="001732C7"/>
    <w:rsid w:val="001751C9"/>
    <w:rsid w:val="00177DEB"/>
    <w:rsid w:val="0018408C"/>
    <w:rsid w:val="00184F1F"/>
    <w:rsid w:val="001856EA"/>
    <w:rsid w:val="0018614E"/>
    <w:rsid w:val="00186237"/>
    <w:rsid w:val="001868F6"/>
    <w:rsid w:val="0019258E"/>
    <w:rsid w:val="001931B8"/>
    <w:rsid w:val="00194F2E"/>
    <w:rsid w:val="00196309"/>
    <w:rsid w:val="001A4206"/>
    <w:rsid w:val="001A5588"/>
    <w:rsid w:val="001B041D"/>
    <w:rsid w:val="001B0CD9"/>
    <w:rsid w:val="001B6DFE"/>
    <w:rsid w:val="001B73AB"/>
    <w:rsid w:val="001B7CCF"/>
    <w:rsid w:val="001C3A53"/>
    <w:rsid w:val="001C3B47"/>
    <w:rsid w:val="001C4F64"/>
    <w:rsid w:val="001C7F38"/>
    <w:rsid w:val="001D11CB"/>
    <w:rsid w:val="001D11E3"/>
    <w:rsid w:val="001D1DB2"/>
    <w:rsid w:val="001D2CDF"/>
    <w:rsid w:val="001E0B46"/>
    <w:rsid w:val="001E0D34"/>
    <w:rsid w:val="001E6EB7"/>
    <w:rsid w:val="001E73D1"/>
    <w:rsid w:val="001F09A0"/>
    <w:rsid w:val="001F0B06"/>
    <w:rsid w:val="001F1813"/>
    <w:rsid w:val="001F22B9"/>
    <w:rsid w:val="001F2C66"/>
    <w:rsid w:val="001F5720"/>
    <w:rsid w:val="00200160"/>
    <w:rsid w:val="00201401"/>
    <w:rsid w:val="00201CDB"/>
    <w:rsid w:val="00203CC3"/>
    <w:rsid w:val="00203EFD"/>
    <w:rsid w:val="00205457"/>
    <w:rsid w:val="00207C88"/>
    <w:rsid w:val="002124CB"/>
    <w:rsid w:val="00213109"/>
    <w:rsid w:val="0021481E"/>
    <w:rsid w:val="002152AF"/>
    <w:rsid w:val="00215932"/>
    <w:rsid w:val="00215A3B"/>
    <w:rsid w:val="002205CB"/>
    <w:rsid w:val="002223D6"/>
    <w:rsid w:val="002233E0"/>
    <w:rsid w:val="00224B26"/>
    <w:rsid w:val="00224CC6"/>
    <w:rsid w:val="002271A7"/>
    <w:rsid w:val="002333E3"/>
    <w:rsid w:val="00236755"/>
    <w:rsid w:val="00236833"/>
    <w:rsid w:val="002473F6"/>
    <w:rsid w:val="0025096D"/>
    <w:rsid w:val="00251293"/>
    <w:rsid w:val="002536E0"/>
    <w:rsid w:val="00254F5B"/>
    <w:rsid w:val="00255F48"/>
    <w:rsid w:val="002566F5"/>
    <w:rsid w:val="00256738"/>
    <w:rsid w:val="0025678A"/>
    <w:rsid w:val="00256A8B"/>
    <w:rsid w:val="00260853"/>
    <w:rsid w:val="00264360"/>
    <w:rsid w:val="00267C14"/>
    <w:rsid w:val="00271211"/>
    <w:rsid w:val="002730B4"/>
    <w:rsid w:val="002735E0"/>
    <w:rsid w:val="00280A80"/>
    <w:rsid w:val="0028118C"/>
    <w:rsid w:val="00283F11"/>
    <w:rsid w:val="002942FD"/>
    <w:rsid w:val="00296704"/>
    <w:rsid w:val="00297E79"/>
    <w:rsid w:val="002A0CDE"/>
    <w:rsid w:val="002A1318"/>
    <w:rsid w:val="002A5EE4"/>
    <w:rsid w:val="002B12F6"/>
    <w:rsid w:val="002B4533"/>
    <w:rsid w:val="002B4CE7"/>
    <w:rsid w:val="002B531D"/>
    <w:rsid w:val="002B5C1B"/>
    <w:rsid w:val="002B66C4"/>
    <w:rsid w:val="002B69F3"/>
    <w:rsid w:val="002C0DC9"/>
    <w:rsid w:val="002C1F53"/>
    <w:rsid w:val="002C3192"/>
    <w:rsid w:val="002C4D50"/>
    <w:rsid w:val="002D06DE"/>
    <w:rsid w:val="002D3F1F"/>
    <w:rsid w:val="002E0200"/>
    <w:rsid w:val="002F1E6E"/>
    <w:rsid w:val="002F3353"/>
    <w:rsid w:val="002F67FE"/>
    <w:rsid w:val="0030322B"/>
    <w:rsid w:val="00306CA9"/>
    <w:rsid w:val="0031218F"/>
    <w:rsid w:val="00312E97"/>
    <w:rsid w:val="00313721"/>
    <w:rsid w:val="003138A7"/>
    <w:rsid w:val="0032130E"/>
    <w:rsid w:val="00323369"/>
    <w:rsid w:val="00323A6D"/>
    <w:rsid w:val="00326C44"/>
    <w:rsid w:val="00326E84"/>
    <w:rsid w:val="00327855"/>
    <w:rsid w:val="003325EB"/>
    <w:rsid w:val="0033366F"/>
    <w:rsid w:val="00333E25"/>
    <w:rsid w:val="00336460"/>
    <w:rsid w:val="00336C12"/>
    <w:rsid w:val="003375BE"/>
    <w:rsid w:val="00337714"/>
    <w:rsid w:val="0034018B"/>
    <w:rsid w:val="003413FE"/>
    <w:rsid w:val="00343C07"/>
    <w:rsid w:val="0034410B"/>
    <w:rsid w:val="00344237"/>
    <w:rsid w:val="00346C39"/>
    <w:rsid w:val="00350D51"/>
    <w:rsid w:val="00351852"/>
    <w:rsid w:val="003523D3"/>
    <w:rsid w:val="00353031"/>
    <w:rsid w:val="00353B57"/>
    <w:rsid w:val="00356570"/>
    <w:rsid w:val="00362652"/>
    <w:rsid w:val="00365AE1"/>
    <w:rsid w:val="00365CEC"/>
    <w:rsid w:val="00373B5F"/>
    <w:rsid w:val="003810B0"/>
    <w:rsid w:val="00383400"/>
    <w:rsid w:val="00391E10"/>
    <w:rsid w:val="003941C0"/>
    <w:rsid w:val="003A0328"/>
    <w:rsid w:val="003A0961"/>
    <w:rsid w:val="003A2E2D"/>
    <w:rsid w:val="003B0326"/>
    <w:rsid w:val="003B4EDD"/>
    <w:rsid w:val="003B5AC1"/>
    <w:rsid w:val="003B5FCF"/>
    <w:rsid w:val="003B7243"/>
    <w:rsid w:val="003C0078"/>
    <w:rsid w:val="003C0372"/>
    <w:rsid w:val="003C2E72"/>
    <w:rsid w:val="003C4AFF"/>
    <w:rsid w:val="003C64F5"/>
    <w:rsid w:val="003C70C1"/>
    <w:rsid w:val="003D0861"/>
    <w:rsid w:val="003D2796"/>
    <w:rsid w:val="003D3C08"/>
    <w:rsid w:val="003D48CA"/>
    <w:rsid w:val="003D4B63"/>
    <w:rsid w:val="003D5872"/>
    <w:rsid w:val="003D71BB"/>
    <w:rsid w:val="003D7933"/>
    <w:rsid w:val="003E215D"/>
    <w:rsid w:val="003E3337"/>
    <w:rsid w:val="003E6343"/>
    <w:rsid w:val="003E75A9"/>
    <w:rsid w:val="00405C7A"/>
    <w:rsid w:val="004073C0"/>
    <w:rsid w:val="00410467"/>
    <w:rsid w:val="004112D7"/>
    <w:rsid w:val="004155EF"/>
    <w:rsid w:val="00415930"/>
    <w:rsid w:val="00422DFD"/>
    <w:rsid w:val="004248AD"/>
    <w:rsid w:val="00425659"/>
    <w:rsid w:val="004258CD"/>
    <w:rsid w:val="00431C10"/>
    <w:rsid w:val="00432FC0"/>
    <w:rsid w:val="004412FE"/>
    <w:rsid w:val="00441CF2"/>
    <w:rsid w:val="00447E4C"/>
    <w:rsid w:val="00447EB8"/>
    <w:rsid w:val="00453ED7"/>
    <w:rsid w:val="00457E95"/>
    <w:rsid w:val="00460DF6"/>
    <w:rsid w:val="004629E8"/>
    <w:rsid w:val="00462D27"/>
    <w:rsid w:val="004636C3"/>
    <w:rsid w:val="00464262"/>
    <w:rsid w:val="004667C6"/>
    <w:rsid w:val="00466D70"/>
    <w:rsid w:val="0047156C"/>
    <w:rsid w:val="004720FD"/>
    <w:rsid w:val="00475B2E"/>
    <w:rsid w:val="00475E36"/>
    <w:rsid w:val="00480718"/>
    <w:rsid w:val="00481C27"/>
    <w:rsid w:val="004907BB"/>
    <w:rsid w:val="00490DFB"/>
    <w:rsid w:val="00492779"/>
    <w:rsid w:val="00492F1F"/>
    <w:rsid w:val="00497A41"/>
    <w:rsid w:val="004B16F2"/>
    <w:rsid w:val="004B54A2"/>
    <w:rsid w:val="004B58F2"/>
    <w:rsid w:val="004B7ECC"/>
    <w:rsid w:val="004C012F"/>
    <w:rsid w:val="004C1CFB"/>
    <w:rsid w:val="004C3960"/>
    <w:rsid w:val="004C3E8D"/>
    <w:rsid w:val="004C4091"/>
    <w:rsid w:val="004C7017"/>
    <w:rsid w:val="004D0513"/>
    <w:rsid w:val="004D4298"/>
    <w:rsid w:val="004E0EFA"/>
    <w:rsid w:val="004E2F19"/>
    <w:rsid w:val="004E6730"/>
    <w:rsid w:val="004F0718"/>
    <w:rsid w:val="004F22C0"/>
    <w:rsid w:val="004F44A2"/>
    <w:rsid w:val="0050023A"/>
    <w:rsid w:val="00502293"/>
    <w:rsid w:val="00504A9C"/>
    <w:rsid w:val="005145C1"/>
    <w:rsid w:val="00516D22"/>
    <w:rsid w:val="0052009E"/>
    <w:rsid w:val="005233D2"/>
    <w:rsid w:val="00530DC9"/>
    <w:rsid w:val="00533ACC"/>
    <w:rsid w:val="00536258"/>
    <w:rsid w:val="00541D59"/>
    <w:rsid w:val="0054351C"/>
    <w:rsid w:val="0054585A"/>
    <w:rsid w:val="0055358F"/>
    <w:rsid w:val="00556F11"/>
    <w:rsid w:val="005607CD"/>
    <w:rsid w:val="005609C4"/>
    <w:rsid w:val="00567CB8"/>
    <w:rsid w:val="00570CB3"/>
    <w:rsid w:val="00570F99"/>
    <w:rsid w:val="00572286"/>
    <w:rsid w:val="005727F7"/>
    <w:rsid w:val="00574BA1"/>
    <w:rsid w:val="00575CD8"/>
    <w:rsid w:val="00577ABC"/>
    <w:rsid w:val="00581DEA"/>
    <w:rsid w:val="00583A82"/>
    <w:rsid w:val="00586313"/>
    <w:rsid w:val="00590FC5"/>
    <w:rsid w:val="00591B1A"/>
    <w:rsid w:val="00594182"/>
    <w:rsid w:val="00594416"/>
    <w:rsid w:val="00594610"/>
    <w:rsid w:val="00594CDC"/>
    <w:rsid w:val="0059595B"/>
    <w:rsid w:val="005A0094"/>
    <w:rsid w:val="005A16C3"/>
    <w:rsid w:val="005A4BF4"/>
    <w:rsid w:val="005B1BD5"/>
    <w:rsid w:val="005C235F"/>
    <w:rsid w:val="005C3297"/>
    <w:rsid w:val="005C3D38"/>
    <w:rsid w:val="005C4C02"/>
    <w:rsid w:val="005C7B94"/>
    <w:rsid w:val="005D0783"/>
    <w:rsid w:val="005D14A4"/>
    <w:rsid w:val="005D5157"/>
    <w:rsid w:val="005D5E84"/>
    <w:rsid w:val="005E5FC8"/>
    <w:rsid w:val="005E7889"/>
    <w:rsid w:val="005F65B0"/>
    <w:rsid w:val="006108D0"/>
    <w:rsid w:val="0061216D"/>
    <w:rsid w:val="00612EFA"/>
    <w:rsid w:val="006144BA"/>
    <w:rsid w:val="00617D4B"/>
    <w:rsid w:val="00617F1A"/>
    <w:rsid w:val="006238B2"/>
    <w:rsid w:val="0063018A"/>
    <w:rsid w:val="0063103E"/>
    <w:rsid w:val="00634293"/>
    <w:rsid w:val="006413D2"/>
    <w:rsid w:val="00642348"/>
    <w:rsid w:val="00642FB4"/>
    <w:rsid w:val="00646FD2"/>
    <w:rsid w:val="006508A5"/>
    <w:rsid w:val="006541B9"/>
    <w:rsid w:val="0065557B"/>
    <w:rsid w:val="006569F3"/>
    <w:rsid w:val="006577F3"/>
    <w:rsid w:val="00661591"/>
    <w:rsid w:val="006716AD"/>
    <w:rsid w:val="006736BE"/>
    <w:rsid w:val="00680308"/>
    <w:rsid w:val="006805CB"/>
    <w:rsid w:val="006821AC"/>
    <w:rsid w:val="00686D70"/>
    <w:rsid w:val="00690B4E"/>
    <w:rsid w:val="006953A0"/>
    <w:rsid w:val="00695889"/>
    <w:rsid w:val="006A1A60"/>
    <w:rsid w:val="006A4000"/>
    <w:rsid w:val="006A6C9A"/>
    <w:rsid w:val="006A6FE1"/>
    <w:rsid w:val="006B7D6D"/>
    <w:rsid w:val="006C0352"/>
    <w:rsid w:val="006C2998"/>
    <w:rsid w:val="006C2BCD"/>
    <w:rsid w:val="006C310F"/>
    <w:rsid w:val="006C317B"/>
    <w:rsid w:val="006C7D19"/>
    <w:rsid w:val="006D1144"/>
    <w:rsid w:val="006D4341"/>
    <w:rsid w:val="006D6786"/>
    <w:rsid w:val="006D6BD1"/>
    <w:rsid w:val="006D76DE"/>
    <w:rsid w:val="006E0452"/>
    <w:rsid w:val="006E15D4"/>
    <w:rsid w:val="006E64AE"/>
    <w:rsid w:val="006F7B98"/>
    <w:rsid w:val="00704DC6"/>
    <w:rsid w:val="00710B19"/>
    <w:rsid w:val="00713C6F"/>
    <w:rsid w:val="007141B1"/>
    <w:rsid w:val="00717741"/>
    <w:rsid w:val="00720C37"/>
    <w:rsid w:val="00721DDC"/>
    <w:rsid w:val="00722126"/>
    <w:rsid w:val="00723551"/>
    <w:rsid w:val="007278F1"/>
    <w:rsid w:val="007305A6"/>
    <w:rsid w:val="0073094A"/>
    <w:rsid w:val="00731F38"/>
    <w:rsid w:val="00732954"/>
    <w:rsid w:val="00736F93"/>
    <w:rsid w:val="00737013"/>
    <w:rsid w:val="00737CCC"/>
    <w:rsid w:val="00740DD6"/>
    <w:rsid w:val="00744509"/>
    <w:rsid w:val="00745551"/>
    <w:rsid w:val="0074587C"/>
    <w:rsid w:val="00745C48"/>
    <w:rsid w:val="00750653"/>
    <w:rsid w:val="007506D8"/>
    <w:rsid w:val="00755883"/>
    <w:rsid w:val="0076142A"/>
    <w:rsid w:val="0076251E"/>
    <w:rsid w:val="00765B6D"/>
    <w:rsid w:val="007665B5"/>
    <w:rsid w:val="00767AFC"/>
    <w:rsid w:val="00774792"/>
    <w:rsid w:val="007774B2"/>
    <w:rsid w:val="007810C5"/>
    <w:rsid w:val="00783A24"/>
    <w:rsid w:val="007860BF"/>
    <w:rsid w:val="00787625"/>
    <w:rsid w:val="00787B9B"/>
    <w:rsid w:val="00790165"/>
    <w:rsid w:val="00790292"/>
    <w:rsid w:val="0079388D"/>
    <w:rsid w:val="00795E0F"/>
    <w:rsid w:val="007A12DA"/>
    <w:rsid w:val="007A45EB"/>
    <w:rsid w:val="007A4B06"/>
    <w:rsid w:val="007A5539"/>
    <w:rsid w:val="007A5C77"/>
    <w:rsid w:val="007A63A3"/>
    <w:rsid w:val="007B38C0"/>
    <w:rsid w:val="007B4891"/>
    <w:rsid w:val="007C1FE2"/>
    <w:rsid w:val="007C29AF"/>
    <w:rsid w:val="007C2D4E"/>
    <w:rsid w:val="007C3CA2"/>
    <w:rsid w:val="007C52F0"/>
    <w:rsid w:val="007D0836"/>
    <w:rsid w:val="007D0AB3"/>
    <w:rsid w:val="007D3F31"/>
    <w:rsid w:val="007D64B2"/>
    <w:rsid w:val="007D64B8"/>
    <w:rsid w:val="007E13C8"/>
    <w:rsid w:val="007E344F"/>
    <w:rsid w:val="007E3749"/>
    <w:rsid w:val="007E3DA1"/>
    <w:rsid w:val="007E57E1"/>
    <w:rsid w:val="007E6A98"/>
    <w:rsid w:val="007E767D"/>
    <w:rsid w:val="007F0069"/>
    <w:rsid w:val="007F306F"/>
    <w:rsid w:val="007F467E"/>
    <w:rsid w:val="007F46F5"/>
    <w:rsid w:val="007F7F67"/>
    <w:rsid w:val="00800A66"/>
    <w:rsid w:val="0080230B"/>
    <w:rsid w:val="008046FA"/>
    <w:rsid w:val="0080612C"/>
    <w:rsid w:val="008065A4"/>
    <w:rsid w:val="008152CC"/>
    <w:rsid w:val="00825CAE"/>
    <w:rsid w:val="00830314"/>
    <w:rsid w:val="00834D8B"/>
    <w:rsid w:val="00835998"/>
    <w:rsid w:val="00836BAD"/>
    <w:rsid w:val="00841DC6"/>
    <w:rsid w:val="00842A70"/>
    <w:rsid w:val="00843B57"/>
    <w:rsid w:val="00850265"/>
    <w:rsid w:val="008516C1"/>
    <w:rsid w:val="00852B07"/>
    <w:rsid w:val="008566B7"/>
    <w:rsid w:val="00860654"/>
    <w:rsid w:val="00864DCA"/>
    <w:rsid w:val="00864EE1"/>
    <w:rsid w:val="008654AF"/>
    <w:rsid w:val="00865B27"/>
    <w:rsid w:val="008673CB"/>
    <w:rsid w:val="00870868"/>
    <w:rsid w:val="008712CC"/>
    <w:rsid w:val="00871AEB"/>
    <w:rsid w:val="008727F2"/>
    <w:rsid w:val="00872DE7"/>
    <w:rsid w:val="00875140"/>
    <w:rsid w:val="008815F8"/>
    <w:rsid w:val="00881BF1"/>
    <w:rsid w:val="00881CDE"/>
    <w:rsid w:val="00885B5F"/>
    <w:rsid w:val="00885F71"/>
    <w:rsid w:val="00886C8F"/>
    <w:rsid w:val="00893150"/>
    <w:rsid w:val="00893929"/>
    <w:rsid w:val="00896F9A"/>
    <w:rsid w:val="008973DA"/>
    <w:rsid w:val="008A0792"/>
    <w:rsid w:val="008A0BC2"/>
    <w:rsid w:val="008A48B5"/>
    <w:rsid w:val="008B2857"/>
    <w:rsid w:val="008B3A38"/>
    <w:rsid w:val="008C0B07"/>
    <w:rsid w:val="008C314A"/>
    <w:rsid w:val="008C3177"/>
    <w:rsid w:val="008C5972"/>
    <w:rsid w:val="008C643D"/>
    <w:rsid w:val="008C78D2"/>
    <w:rsid w:val="008D243A"/>
    <w:rsid w:val="008D3296"/>
    <w:rsid w:val="008D6A5A"/>
    <w:rsid w:val="008E2016"/>
    <w:rsid w:val="008F2904"/>
    <w:rsid w:val="008F6491"/>
    <w:rsid w:val="008F7A96"/>
    <w:rsid w:val="00910FAB"/>
    <w:rsid w:val="00914F96"/>
    <w:rsid w:val="009158B6"/>
    <w:rsid w:val="00917C4C"/>
    <w:rsid w:val="00920576"/>
    <w:rsid w:val="00920711"/>
    <w:rsid w:val="0092123C"/>
    <w:rsid w:val="00921986"/>
    <w:rsid w:val="009220EE"/>
    <w:rsid w:val="0092461F"/>
    <w:rsid w:val="00924664"/>
    <w:rsid w:val="00925244"/>
    <w:rsid w:val="009356C9"/>
    <w:rsid w:val="00936B1C"/>
    <w:rsid w:val="009428CB"/>
    <w:rsid w:val="00947A56"/>
    <w:rsid w:val="00950FDE"/>
    <w:rsid w:val="009526E9"/>
    <w:rsid w:val="00953670"/>
    <w:rsid w:val="00955FFB"/>
    <w:rsid w:val="009624C9"/>
    <w:rsid w:val="009747FB"/>
    <w:rsid w:val="00975561"/>
    <w:rsid w:val="00976507"/>
    <w:rsid w:val="0097736B"/>
    <w:rsid w:val="00980D21"/>
    <w:rsid w:val="00983F9F"/>
    <w:rsid w:val="009939B0"/>
    <w:rsid w:val="009964EB"/>
    <w:rsid w:val="0099784B"/>
    <w:rsid w:val="009A61C3"/>
    <w:rsid w:val="009B15F9"/>
    <w:rsid w:val="009B2D02"/>
    <w:rsid w:val="009B470E"/>
    <w:rsid w:val="009C35E2"/>
    <w:rsid w:val="009C4955"/>
    <w:rsid w:val="009C7AF2"/>
    <w:rsid w:val="009D118D"/>
    <w:rsid w:val="009D16A1"/>
    <w:rsid w:val="009D1701"/>
    <w:rsid w:val="009D6D6F"/>
    <w:rsid w:val="009E109F"/>
    <w:rsid w:val="009E2352"/>
    <w:rsid w:val="009E2EEF"/>
    <w:rsid w:val="009E3451"/>
    <w:rsid w:val="009E65FD"/>
    <w:rsid w:val="009F0843"/>
    <w:rsid w:val="009F68D1"/>
    <w:rsid w:val="00A00F12"/>
    <w:rsid w:val="00A0147F"/>
    <w:rsid w:val="00A0639E"/>
    <w:rsid w:val="00A10575"/>
    <w:rsid w:val="00A10B71"/>
    <w:rsid w:val="00A115FB"/>
    <w:rsid w:val="00A11E0C"/>
    <w:rsid w:val="00A17BBA"/>
    <w:rsid w:val="00A2109A"/>
    <w:rsid w:val="00A21B31"/>
    <w:rsid w:val="00A221DA"/>
    <w:rsid w:val="00A2464B"/>
    <w:rsid w:val="00A254DD"/>
    <w:rsid w:val="00A302D2"/>
    <w:rsid w:val="00A31158"/>
    <w:rsid w:val="00A3154C"/>
    <w:rsid w:val="00A31C6A"/>
    <w:rsid w:val="00A3678B"/>
    <w:rsid w:val="00A42557"/>
    <w:rsid w:val="00A44897"/>
    <w:rsid w:val="00A45E54"/>
    <w:rsid w:val="00A478DB"/>
    <w:rsid w:val="00A52365"/>
    <w:rsid w:val="00A53357"/>
    <w:rsid w:val="00A53DA2"/>
    <w:rsid w:val="00A5457E"/>
    <w:rsid w:val="00A54947"/>
    <w:rsid w:val="00A577CA"/>
    <w:rsid w:val="00A617CC"/>
    <w:rsid w:val="00A63BB6"/>
    <w:rsid w:val="00A7779F"/>
    <w:rsid w:val="00A80D85"/>
    <w:rsid w:val="00A8169B"/>
    <w:rsid w:val="00A81700"/>
    <w:rsid w:val="00A954B5"/>
    <w:rsid w:val="00A95C10"/>
    <w:rsid w:val="00AA1651"/>
    <w:rsid w:val="00AA37F0"/>
    <w:rsid w:val="00AA510C"/>
    <w:rsid w:val="00AA6D90"/>
    <w:rsid w:val="00AB06D8"/>
    <w:rsid w:val="00AB4FB8"/>
    <w:rsid w:val="00AD040F"/>
    <w:rsid w:val="00AD197C"/>
    <w:rsid w:val="00AD1C8F"/>
    <w:rsid w:val="00AD6DB9"/>
    <w:rsid w:val="00AE16B9"/>
    <w:rsid w:val="00AE2F43"/>
    <w:rsid w:val="00AE378E"/>
    <w:rsid w:val="00AE4D51"/>
    <w:rsid w:val="00AE5757"/>
    <w:rsid w:val="00AE6AF9"/>
    <w:rsid w:val="00AF4816"/>
    <w:rsid w:val="00AF5201"/>
    <w:rsid w:val="00AF7C33"/>
    <w:rsid w:val="00B008E2"/>
    <w:rsid w:val="00B02891"/>
    <w:rsid w:val="00B03141"/>
    <w:rsid w:val="00B0377F"/>
    <w:rsid w:val="00B07873"/>
    <w:rsid w:val="00B10CE4"/>
    <w:rsid w:val="00B10DF0"/>
    <w:rsid w:val="00B1163A"/>
    <w:rsid w:val="00B126C9"/>
    <w:rsid w:val="00B13A69"/>
    <w:rsid w:val="00B16815"/>
    <w:rsid w:val="00B16E12"/>
    <w:rsid w:val="00B17A5B"/>
    <w:rsid w:val="00B23487"/>
    <w:rsid w:val="00B239C0"/>
    <w:rsid w:val="00B24A64"/>
    <w:rsid w:val="00B26049"/>
    <w:rsid w:val="00B266F0"/>
    <w:rsid w:val="00B26E0E"/>
    <w:rsid w:val="00B334FB"/>
    <w:rsid w:val="00B35299"/>
    <w:rsid w:val="00B3592E"/>
    <w:rsid w:val="00B3740B"/>
    <w:rsid w:val="00B40E72"/>
    <w:rsid w:val="00B4651C"/>
    <w:rsid w:val="00B46C42"/>
    <w:rsid w:val="00B52BD4"/>
    <w:rsid w:val="00B52FAB"/>
    <w:rsid w:val="00B55678"/>
    <w:rsid w:val="00B658B2"/>
    <w:rsid w:val="00B6752B"/>
    <w:rsid w:val="00B67D2A"/>
    <w:rsid w:val="00B7401B"/>
    <w:rsid w:val="00B807A7"/>
    <w:rsid w:val="00B84629"/>
    <w:rsid w:val="00B91A8B"/>
    <w:rsid w:val="00B95A64"/>
    <w:rsid w:val="00BA2B8F"/>
    <w:rsid w:val="00BA31CF"/>
    <w:rsid w:val="00BA39DA"/>
    <w:rsid w:val="00BA41FB"/>
    <w:rsid w:val="00BB35D3"/>
    <w:rsid w:val="00BB385F"/>
    <w:rsid w:val="00BB5514"/>
    <w:rsid w:val="00BD02EF"/>
    <w:rsid w:val="00BD1ACA"/>
    <w:rsid w:val="00BD2A70"/>
    <w:rsid w:val="00BD2CAE"/>
    <w:rsid w:val="00BD5C94"/>
    <w:rsid w:val="00BD63C1"/>
    <w:rsid w:val="00BD7A96"/>
    <w:rsid w:val="00BE1A7B"/>
    <w:rsid w:val="00BE5684"/>
    <w:rsid w:val="00BF1C5A"/>
    <w:rsid w:val="00BF6168"/>
    <w:rsid w:val="00BF63A0"/>
    <w:rsid w:val="00C00AD0"/>
    <w:rsid w:val="00C026B3"/>
    <w:rsid w:val="00C0325F"/>
    <w:rsid w:val="00C07BE2"/>
    <w:rsid w:val="00C107D3"/>
    <w:rsid w:val="00C112E3"/>
    <w:rsid w:val="00C12252"/>
    <w:rsid w:val="00C13B57"/>
    <w:rsid w:val="00C155F2"/>
    <w:rsid w:val="00C2081D"/>
    <w:rsid w:val="00C23F7A"/>
    <w:rsid w:val="00C241AB"/>
    <w:rsid w:val="00C3079D"/>
    <w:rsid w:val="00C314CD"/>
    <w:rsid w:val="00C36930"/>
    <w:rsid w:val="00C36E96"/>
    <w:rsid w:val="00C4120A"/>
    <w:rsid w:val="00C473FD"/>
    <w:rsid w:val="00C47F38"/>
    <w:rsid w:val="00C51537"/>
    <w:rsid w:val="00C55A78"/>
    <w:rsid w:val="00C5671A"/>
    <w:rsid w:val="00C569E6"/>
    <w:rsid w:val="00C638EA"/>
    <w:rsid w:val="00C66427"/>
    <w:rsid w:val="00C70B25"/>
    <w:rsid w:val="00C70E2E"/>
    <w:rsid w:val="00C72022"/>
    <w:rsid w:val="00C734BA"/>
    <w:rsid w:val="00C757C6"/>
    <w:rsid w:val="00C7674C"/>
    <w:rsid w:val="00C81251"/>
    <w:rsid w:val="00C83FCB"/>
    <w:rsid w:val="00C84CC6"/>
    <w:rsid w:val="00C85723"/>
    <w:rsid w:val="00C87666"/>
    <w:rsid w:val="00C90B3D"/>
    <w:rsid w:val="00CA6562"/>
    <w:rsid w:val="00CB2104"/>
    <w:rsid w:val="00CB29C3"/>
    <w:rsid w:val="00CB2C39"/>
    <w:rsid w:val="00CB2D41"/>
    <w:rsid w:val="00CC66AC"/>
    <w:rsid w:val="00CD060D"/>
    <w:rsid w:val="00CD2057"/>
    <w:rsid w:val="00CD3B61"/>
    <w:rsid w:val="00CD49B7"/>
    <w:rsid w:val="00CE4F04"/>
    <w:rsid w:val="00CF23F7"/>
    <w:rsid w:val="00CF5143"/>
    <w:rsid w:val="00CF6FBB"/>
    <w:rsid w:val="00D0533D"/>
    <w:rsid w:val="00D0567E"/>
    <w:rsid w:val="00D062B7"/>
    <w:rsid w:val="00D0685A"/>
    <w:rsid w:val="00D10DE3"/>
    <w:rsid w:val="00D11CD9"/>
    <w:rsid w:val="00D12E51"/>
    <w:rsid w:val="00D1489C"/>
    <w:rsid w:val="00D151DF"/>
    <w:rsid w:val="00D3032B"/>
    <w:rsid w:val="00D30781"/>
    <w:rsid w:val="00D30D5C"/>
    <w:rsid w:val="00D323DB"/>
    <w:rsid w:val="00D40370"/>
    <w:rsid w:val="00D40456"/>
    <w:rsid w:val="00D42AA2"/>
    <w:rsid w:val="00D4327E"/>
    <w:rsid w:val="00D44642"/>
    <w:rsid w:val="00D45BB0"/>
    <w:rsid w:val="00D54E59"/>
    <w:rsid w:val="00D6250A"/>
    <w:rsid w:val="00D63B60"/>
    <w:rsid w:val="00D65F3D"/>
    <w:rsid w:val="00D72982"/>
    <w:rsid w:val="00D82381"/>
    <w:rsid w:val="00D861D2"/>
    <w:rsid w:val="00D91A18"/>
    <w:rsid w:val="00D939F4"/>
    <w:rsid w:val="00D94107"/>
    <w:rsid w:val="00D950F4"/>
    <w:rsid w:val="00D96603"/>
    <w:rsid w:val="00D97FC6"/>
    <w:rsid w:val="00DA1CE9"/>
    <w:rsid w:val="00DA76EB"/>
    <w:rsid w:val="00DA7FAE"/>
    <w:rsid w:val="00DB538D"/>
    <w:rsid w:val="00DB5FCC"/>
    <w:rsid w:val="00DC5B69"/>
    <w:rsid w:val="00DC5BA4"/>
    <w:rsid w:val="00DC6B41"/>
    <w:rsid w:val="00DC75AD"/>
    <w:rsid w:val="00DD05EE"/>
    <w:rsid w:val="00DD26E8"/>
    <w:rsid w:val="00DD5E1F"/>
    <w:rsid w:val="00DD7D54"/>
    <w:rsid w:val="00DE29BF"/>
    <w:rsid w:val="00DE3662"/>
    <w:rsid w:val="00DE3C5D"/>
    <w:rsid w:val="00DE3F58"/>
    <w:rsid w:val="00DE56E6"/>
    <w:rsid w:val="00DF2216"/>
    <w:rsid w:val="00DF42AF"/>
    <w:rsid w:val="00E01110"/>
    <w:rsid w:val="00E021CC"/>
    <w:rsid w:val="00E052D2"/>
    <w:rsid w:val="00E12192"/>
    <w:rsid w:val="00E154E8"/>
    <w:rsid w:val="00E15745"/>
    <w:rsid w:val="00E218AB"/>
    <w:rsid w:val="00E21C26"/>
    <w:rsid w:val="00E21C73"/>
    <w:rsid w:val="00E22954"/>
    <w:rsid w:val="00E25FD5"/>
    <w:rsid w:val="00E2640B"/>
    <w:rsid w:val="00E31176"/>
    <w:rsid w:val="00E33900"/>
    <w:rsid w:val="00E3637F"/>
    <w:rsid w:val="00E40F19"/>
    <w:rsid w:val="00E423A9"/>
    <w:rsid w:val="00E4269F"/>
    <w:rsid w:val="00E42B7D"/>
    <w:rsid w:val="00E431E2"/>
    <w:rsid w:val="00E44656"/>
    <w:rsid w:val="00E4794C"/>
    <w:rsid w:val="00E528D3"/>
    <w:rsid w:val="00E538E2"/>
    <w:rsid w:val="00E57502"/>
    <w:rsid w:val="00E632CD"/>
    <w:rsid w:val="00E66532"/>
    <w:rsid w:val="00E67D46"/>
    <w:rsid w:val="00E710AA"/>
    <w:rsid w:val="00E72FBC"/>
    <w:rsid w:val="00E77B69"/>
    <w:rsid w:val="00E77D4D"/>
    <w:rsid w:val="00E804E6"/>
    <w:rsid w:val="00E80512"/>
    <w:rsid w:val="00E81D6B"/>
    <w:rsid w:val="00E82EEA"/>
    <w:rsid w:val="00E84390"/>
    <w:rsid w:val="00E850CF"/>
    <w:rsid w:val="00E85776"/>
    <w:rsid w:val="00E863AC"/>
    <w:rsid w:val="00E873AA"/>
    <w:rsid w:val="00E92DFC"/>
    <w:rsid w:val="00E93346"/>
    <w:rsid w:val="00E96231"/>
    <w:rsid w:val="00E97792"/>
    <w:rsid w:val="00EA3178"/>
    <w:rsid w:val="00EB0ADA"/>
    <w:rsid w:val="00EB2666"/>
    <w:rsid w:val="00EB2F80"/>
    <w:rsid w:val="00EB3A63"/>
    <w:rsid w:val="00EB4D88"/>
    <w:rsid w:val="00EB6728"/>
    <w:rsid w:val="00EC3756"/>
    <w:rsid w:val="00EC5E22"/>
    <w:rsid w:val="00EC6D2E"/>
    <w:rsid w:val="00ED1939"/>
    <w:rsid w:val="00ED6C71"/>
    <w:rsid w:val="00ED6EBB"/>
    <w:rsid w:val="00ED7353"/>
    <w:rsid w:val="00ED7983"/>
    <w:rsid w:val="00EE079A"/>
    <w:rsid w:val="00EE3B19"/>
    <w:rsid w:val="00EE5CD5"/>
    <w:rsid w:val="00EE7018"/>
    <w:rsid w:val="00EF1037"/>
    <w:rsid w:val="00EF39D3"/>
    <w:rsid w:val="00F00CC6"/>
    <w:rsid w:val="00F02A94"/>
    <w:rsid w:val="00F0380F"/>
    <w:rsid w:val="00F1055D"/>
    <w:rsid w:val="00F1511C"/>
    <w:rsid w:val="00F16C00"/>
    <w:rsid w:val="00F16CDB"/>
    <w:rsid w:val="00F22037"/>
    <w:rsid w:val="00F22723"/>
    <w:rsid w:val="00F2386D"/>
    <w:rsid w:val="00F250DC"/>
    <w:rsid w:val="00F26019"/>
    <w:rsid w:val="00F3088C"/>
    <w:rsid w:val="00F30A9B"/>
    <w:rsid w:val="00F3324F"/>
    <w:rsid w:val="00F35261"/>
    <w:rsid w:val="00F419E4"/>
    <w:rsid w:val="00F41D1B"/>
    <w:rsid w:val="00F44729"/>
    <w:rsid w:val="00F44BC4"/>
    <w:rsid w:val="00F463E6"/>
    <w:rsid w:val="00F477A4"/>
    <w:rsid w:val="00F51B82"/>
    <w:rsid w:val="00F56CE7"/>
    <w:rsid w:val="00F60524"/>
    <w:rsid w:val="00F60966"/>
    <w:rsid w:val="00F626D1"/>
    <w:rsid w:val="00F6453E"/>
    <w:rsid w:val="00F65A21"/>
    <w:rsid w:val="00F71A7E"/>
    <w:rsid w:val="00F728CD"/>
    <w:rsid w:val="00F72A4B"/>
    <w:rsid w:val="00F85D0F"/>
    <w:rsid w:val="00F864FE"/>
    <w:rsid w:val="00F878AF"/>
    <w:rsid w:val="00F90E9E"/>
    <w:rsid w:val="00F950BF"/>
    <w:rsid w:val="00F96369"/>
    <w:rsid w:val="00F979D5"/>
    <w:rsid w:val="00FA0AC6"/>
    <w:rsid w:val="00FA35A4"/>
    <w:rsid w:val="00FA5ADF"/>
    <w:rsid w:val="00FB3248"/>
    <w:rsid w:val="00FE028E"/>
    <w:rsid w:val="00FE7164"/>
    <w:rsid w:val="00FF0DAD"/>
    <w:rsid w:val="00FF29D2"/>
    <w:rsid w:val="137D16E4"/>
    <w:rsid w:val="1FB82842"/>
    <w:rsid w:val="2BFBB0CA"/>
    <w:rsid w:val="3FF77355"/>
    <w:rsid w:val="556F8019"/>
    <w:rsid w:val="5EE7D4C7"/>
    <w:rsid w:val="6EDF1536"/>
    <w:rsid w:val="77D7B786"/>
    <w:rsid w:val="7AF33CE0"/>
    <w:rsid w:val="7B3B7DBC"/>
    <w:rsid w:val="7BFEBF36"/>
    <w:rsid w:val="A9ED44DC"/>
    <w:rsid w:val="AF7B8FB0"/>
    <w:rsid w:val="BEF76752"/>
    <w:rsid w:val="CAFA0DD8"/>
    <w:rsid w:val="DE1ED50A"/>
    <w:rsid w:val="DFF6896B"/>
    <w:rsid w:val="DFFF588D"/>
    <w:rsid w:val="EBF5266C"/>
    <w:rsid w:val="EFD5D3F6"/>
    <w:rsid w:val="EFEF552F"/>
    <w:rsid w:val="F5C90277"/>
    <w:rsid w:val="FBFE9426"/>
    <w:rsid w:val="FDF70B21"/>
    <w:rsid w:val="FFBABDAA"/>
    <w:rsid w:val="FFBF66DB"/>
    <w:rsid w:val="FFFFFC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7"/>
    <w:semiHidden/>
    <w:unhideWhenUsed/>
    <w:qFormat/>
    <w:uiPriority w:val="99"/>
    <w:pPr>
      <w:jc w:val="left"/>
    </w:pPr>
  </w:style>
  <w:style w:type="paragraph" w:styleId="3">
    <w:name w:val="Date"/>
    <w:basedOn w:val="1"/>
    <w:next w:val="1"/>
    <w:link w:val="15"/>
    <w:semiHidden/>
    <w:unhideWhenUsed/>
    <w:qFormat/>
    <w:uiPriority w:val="99"/>
    <w:pPr>
      <w:ind w:left="100" w:leftChars="2500"/>
    </w:pPr>
  </w:style>
  <w:style w:type="paragraph" w:styleId="4">
    <w:name w:val="Balloon Text"/>
    <w:basedOn w:val="1"/>
    <w:link w:val="18"/>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9"/>
    <w:semiHidden/>
    <w:unhideWhenUsed/>
    <w:qFormat/>
    <w:uiPriority w:val="99"/>
    <w:rPr>
      <w:b/>
      <w:bCs/>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Hyperlink"/>
    <w:unhideWhenUsed/>
    <w:qFormat/>
    <w:uiPriority w:val="99"/>
    <w:rPr>
      <w:color w:val="0563C1"/>
      <w:u w:val="single"/>
    </w:rPr>
  </w:style>
  <w:style w:type="character" w:styleId="12">
    <w:name w:val="annotation reference"/>
    <w:semiHidden/>
    <w:unhideWhenUsed/>
    <w:qFormat/>
    <w:uiPriority w:val="99"/>
    <w:rPr>
      <w:sz w:val="21"/>
      <w:szCs w:val="21"/>
    </w:rPr>
  </w:style>
  <w:style w:type="character" w:customStyle="1" w:styleId="13">
    <w:name w:val="页眉 Char"/>
    <w:basedOn w:val="10"/>
    <w:link w:val="6"/>
    <w:qFormat/>
    <w:uiPriority w:val="99"/>
    <w:rPr>
      <w:rFonts w:ascii="Calibri" w:hAnsi="Calibri" w:eastAsia="宋体" w:cs="Times New Roman"/>
      <w:sz w:val="18"/>
      <w:szCs w:val="18"/>
    </w:rPr>
  </w:style>
  <w:style w:type="character" w:customStyle="1" w:styleId="14">
    <w:name w:val="页脚 Char"/>
    <w:basedOn w:val="10"/>
    <w:link w:val="5"/>
    <w:qFormat/>
    <w:uiPriority w:val="99"/>
    <w:rPr>
      <w:rFonts w:ascii="Calibri" w:hAnsi="Calibri" w:eastAsia="宋体" w:cs="Times New Roman"/>
      <w:sz w:val="18"/>
      <w:szCs w:val="18"/>
    </w:rPr>
  </w:style>
  <w:style w:type="character" w:customStyle="1" w:styleId="15">
    <w:name w:val="日期 Char"/>
    <w:basedOn w:val="10"/>
    <w:link w:val="3"/>
    <w:semiHidden/>
    <w:qFormat/>
    <w:uiPriority w:val="99"/>
    <w:rPr>
      <w:rFonts w:ascii="Calibri" w:hAnsi="Calibri" w:eastAsia="宋体" w:cs="Times New Roman"/>
    </w:rPr>
  </w:style>
  <w:style w:type="paragraph" w:styleId="16">
    <w:name w:val="List Paragraph"/>
    <w:basedOn w:val="1"/>
    <w:qFormat/>
    <w:uiPriority w:val="99"/>
    <w:pPr>
      <w:ind w:firstLine="420" w:firstLineChars="200"/>
    </w:pPr>
  </w:style>
  <w:style w:type="character" w:customStyle="1" w:styleId="17">
    <w:name w:val="批注文字 Char"/>
    <w:basedOn w:val="10"/>
    <w:link w:val="2"/>
    <w:semiHidden/>
    <w:qFormat/>
    <w:uiPriority w:val="99"/>
    <w:rPr>
      <w:rFonts w:ascii="Calibri" w:hAnsi="Calibri" w:eastAsia="宋体" w:cs="Times New Roman"/>
    </w:rPr>
  </w:style>
  <w:style w:type="character" w:customStyle="1" w:styleId="18">
    <w:name w:val="批注框文本 Char"/>
    <w:basedOn w:val="10"/>
    <w:link w:val="4"/>
    <w:semiHidden/>
    <w:qFormat/>
    <w:uiPriority w:val="99"/>
    <w:rPr>
      <w:rFonts w:ascii="Calibri" w:hAnsi="Calibri" w:eastAsia="宋体" w:cs="Times New Roman"/>
      <w:sz w:val="18"/>
      <w:szCs w:val="18"/>
    </w:rPr>
  </w:style>
  <w:style w:type="character" w:customStyle="1" w:styleId="19">
    <w:name w:val="批注主题 Char"/>
    <w:basedOn w:val="17"/>
    <w:link w:val="7"/>
    <w:semiHidden/>
    <w:qFormat/>
    <w:uiPriority w:val="99"/>
    <w:rPr>
      <w:rFonts w:ascii="Calibri" w:hAnsi="Calibri" w:eastAsia="宋体" w:cs="Times New Roman"/>
      <w:b/>
      <w:bCs/>
    </w:rPr>
  </w:style>
  <w:style w:type="paragraph" w:customStyle="1" w:styleId="20">
    <w:name w:val="修订1"/>
    <w:hidden/>
    <w:semiHidden/>
    <w:qFormat/>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4490</Words>
  <Characters>4554</Characters>
  <Lines>36</Lines>
  <Paragraphs>10</Paragraphs>
  <TotalTime>0</TotalTime>
  <ScaleCrop>false</ScaleCrop>
  <LinksUpToDate>false</LinksUpToDate>
  <CharactersWithSpaces>4615</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2023-06-10T06:34:00Z</dcterms:created>
  <dc:creator>neeq</dc:creator>
  <cp:lastModifiedBy>shejx</cp:lastModifiedBy>
  <cp:lastPrinted>2023-06-10T00:32:00Z</cp:lastPrinted>
  <dcterms:modified xsi:type="dcterms:W3CDTF">2024-09-25T17:57:34Z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