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153AA">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AMRx Hub Taxonomy System</w:t>
      </w:r>
    </w:p>
    <w:p w14:paraId="3F8EF27B">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System Hierarchy and Metadata Specification — Version </w:t>
      </w:r>
      <w:r>
        <w:rPr>
          <w:rFonts w:hint="default" w:ascii="Times New Roman" w:hAnsi="Times New Roman" w:cs="Times New Roman"/>
          <w:b/>
          <w:bCs/>
          <w:sz w:val="24"/>
          <w:szCs w:val="24"/>
          <w:lang w:val="en-US"/>
        </w:rPr>
        <w:t>0.5</w:t>
      </w:r>
      <w:r>
        <w:rPr>
          <w:rFonts w:hint="default" w:ascii="Times New Roman" w:hAnsi="Times New Roman" w:cs="Times New Roman"/>
          <w:b/>
          <w:bCs/>
          <w:sz w:val="24"/>
          <w:szCs w:val="24"/>
        </w:rPr>
        <w:t>.0</w:t>
      </w:r>
    </w:p>
    <w:p w14:paraId="1F705BBA">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t>. This document explains the hierarchy and classification structure currently used by AMRx Hub to organize antimicrobial-resistance (AMR) tools and resources. The existing verified taxonomy is retained as the foundation. Proposed metadata additions are clearly identified and do not form part of the current taxonomy until formally adopted.</w:t>
      </w:r>
    </w:p>
    <w:p w14:paraId="713D8F5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1. AMRx Hub System Hierarchy</w:t>
      </w:r>
    </w:p>
    <w:p w14:paraId="3766DF9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AMRx Hub is organized at the highest level into two principal content divisions: Tools and Resources. The distinction is based primarily on how a user interacts with the item and its role in AMR work.</w:t>
      </w:r>
    </w:p>
    <w:p w14:paraId="7522887B">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2. Tools</w:t>
      </w:r>
    </w:p>
    <w:p w14:paraId="6086E59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Tools are web platforms through which AMR data can be analyzed directly without requiring the user to have coding expertise or specialized programming knowledge. The intended interaction is: search for a tool → open the tool entry → follow the link to the external tool → provide the required input → run the process → receive results.</w:t>
      </w:r>
    </w:p>
    <w:p w14:paraId="3CF3BE84">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2.1 Organism-Specific Tools</w:t>
      </w:r>
    </w:p>
    <w:p w14:paraId="42A3DFA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Organism-Specific Tools are organized around a particular pathogen. Each organism forms a category, and the individual tools are placed directly within that organism category. There is no additional functional category level in the current hierarchy.</w:t>
      </w:r>
    </w:p>
    <w:p w14:paraId="1519F5F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current system is based on the ESKAPE pathogens, with additional priority organisms allowed as the taxonomy develops. </w:t>
      </w:r>
      <w:r>
        <w:rPr>
          <w:rFonts w:hint="default" w:ascii="Times New Roman" w:hAnsi="Times New Roman" w:cs="Times New Roman"/>
          <w:i/>
          <w:iCs/>
          <w:sz w:val="24"/>
          <w:szCs w:val="24"/>
        </w:rPr>
        <w:t>Mycobacterium tuberculosis</w:t>
      </w:r>
      <w:r>
        <w:rPr>
          <w:rFonts w:hint="default" w:ascii="Times New Roman" w:hAnsi="Times New Roman" w:cs="Times New Roman"/>
          <w:sz w:val="24"/>
          <w:szCs w:val="24"/>
        </w:rPr>
        <w:t xml:space="preserve"> is the first additional priority organism currently included.</w:t>
      </w:r>
    </w:p>
    <w:p w14:paraId="67EE07D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Structure example: Organism-Specific Tools → </w:t>
      </w:r>
      <w:r>
        <w:rPr>
          <w:rFonts w:hint="default" w:ascii="Times New Roman" w:hAnsi="Times New Roman" w:cs="Times New Roman"/>
          <w:i/>
          <w:iCs/>
          <w:sz w:val="24"/>
          <w:szCs w:val="24"/>
        </w:rPr>
        <w:t>Staphylococcus aureus</w:t>
      </w:r>
      <w:r>
        <w:rPr>
          <w:rFonts w:hint="default" w:ascii="Times New Roman" w:hAnsi="Times New Roman" w:cs="Times New Roman"/>
          <w:sz w:val="24"/>
          <w:szCs w:val="24"/>
        </w:rPr>
        <w:t xml:space="preserve"> → individual tools.</w:t>
      </w:r>
    </w:p>
    <w:p w14:paraId="5AA738C2">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2.2 General Use Tools</w:t>
      </w:r>
    </w:p>
    <w:p w14:paraId="428FE3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General Use Tools are interactive tools that can be applied to multiple organisms rather than being restricted to one target organism. They are classified by the principal function they provide.</w:t>
      </w:r>
    </w:p>
    <w:p w14:paraId="72487659">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AMR Gene Detection</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Identifies acquired antimicrobial-resistance genes or resistance-associated genetic determinants.</w:t>
      </w:r>
    </w:p>
    <w:p w14:paraId="54C92DFD">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Pathogen Identification</w:t>
      </w:r>
      <w:r>
        <w:rPr>
          <w:rFonts w:hint="default" w:ascii="Times New Roman" w:hAnsi="Times New Roman" w:cs="Times New Roman"/>
          <w:sz w:val="24"/>
          <w:szCs w:val="24"/>
        </w:rPr>
        <w:t>. Identifies or classifies organisms from biological or genomic data.</w:t>
      </w:r>
    </w:p>
    <w:p w14:paraId="7C610DB8">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Strain &amp; Sequence Typing</w:t>
      </w:r>
      <w:r>
        <w:rPr>
          <w:rFonts w:hint="default" w:ascii="Times New Roman" w:hAnsi="Times New Roman" w:cs="Times New Roman"/>
          <w:sz w:val="24"/>
          <w:szCs w:val="24"/>
        </w:rPr>
        <w:t>. Assigns sequence types, lineages, strains, or genomic types.</w:t>
      </w:r>
    </w:p>
    <w:p w14:paraId="1007A672">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Virulence Factor Detection</w:t>
      </w:r>
      <w:r>
        <w:rPr>
          <w:rFonts w:hint="default" w:ascii="Times New Roman" w:hAnsi="Times New Roman" w:cs="Times New Roman"/>
          <w:sz w:val="24"/>
          <w:szCs w:val="24"/>
        </w:rPr>
        <w:t>. Identifies genes and genomic determinants associated with bacterial virulence.</w:t>
      </w:r>
    </w:p>
    <w:p w14:paraId="5B704847">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Genomic Epidemiology</w:t>
      </w:r>
      <w:r>
        <w:rPr>
          <w:rFonts w:hint="default" w:ascii="Times New Roman" w:hAnsi="Times New Roman" w:cs="Times New Roman"/>
          <w:sz w:val="24"/>
          <w:szCs w:val="24"/>
        </w:rPr>
        <w:t>. Uses genomic information to investigate relationships, transmission, clusters, and outbreaks.</w:t>
      </w:r>
    </w:p>
    <w:p w14:paraId="0315E43F">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AMR Phenotype Prediction</w:t>
      </w:r>
      <w:r>
        <w:rPr>
          <w:rFonts w:hint="default" w:ascii="Times New Roman" w:hAnsi="Times New Roman" w:cs="Times New Roman"/>
          <w:sz w:val="24"/>
          <w:szCs w:val="24"/>
        </w:rPr>
        <w:t>. Predicts antimicrobial susceptibility or resistance from genomic or biological information.</w:t>
      </w:r>
    </w:p>
    <w:p w14:paraId="556856FD">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3. Resources</w:t>
      </w:r>
    </w:p>
    <w:p w14:paraId="4AD8C81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Resources are information, materials, or resource-type items that can support AMR research, education, practice, or knowledge development. Unlike Tools, resources do not necessarily provide an immediate interactive computational workflow and may require specialized technical knowledge or be intended for specific users.</w:t>
      </w:r>
    </w:p>
    <w:p w14:paraId="2F88B61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main access patterns are supported: a user may follow a resource link to an external website, or the user may read/download material directly when AMRx Hub provides an associated file.</w:t>
      </w:r>
    </w:p>
    <w:p w14:paraId="6F156C09">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3.1 Current Resource Categories</w:t>
      </w:r>
    </w:p>
    <w:p w14:paraId="79E85E16">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AMR Knowledge &amp; Publications</w:t>
      </w:r>
      <w:r>
        <w:rPr>
          <w:rFonts w:hint="default" w:ascii="Times New Roman" w:hAnsi="Times New Roman" w:cs="Times New Roman"/>
          <w:sz w:val="24"/>
          <w:szCs w:val="24"/>
        </w:rPr>
        <w:t>. Scientific and educational material used to understand AMR, its mechanisms, burden, epidemiology, and implications.</w:t>
      </w:r>
    </w:p>
    <w:p w14:paraId="6727100E">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Surveillance &amp; AMR Data</w:t>
      </w:r>
      <w:r>
        <w:rPr>
          <w:rFonts w:hint="default" w:ascii="Times New Roman" w:hAnsi="Times New Roman" w:cs="Times New Roman"/>
          <w:sz w:val="24"/>
          <w:szCs w:val="24"/>
        </w:rPr>
        <w:t>. Resources providing AMR/AMU surveillance information, datasets, dashboards, and epidemiological evidence.</w:t>
      </w:r>
    </w:p>
    <w:p w14:paraId="12A13778">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One Health &amp; Sector Resources</w:t>
      </w:r>
      <w:r>
        <w:rPr>
          <w:rFonts w:hint="default" w:ascii="Times New Roman" w:hAnsi="Times New Roman" w:cs="Times New Roman"/>
          <w:sz w:val="24"/>
          <w:szCs w:val="24"/>
        </w:rPr>
        <w:t>. Resources addressing AMR across interconnected human, animal, plant, food, wildlife, and environmental health sectors.</w:t>
      </w:r>
    </w:p>
    <w:p w14:paraId="13FBE2FD">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Guidelines, Policies &amp; Stewardship</w:t>
      </w:r>
      <w:r>
        <w:rPr>
          <w:rFonts w:hint="default" w:ascii="Times New Roman" w:hAnsi="Times New Roman" w:cs="Times New Roman"/>
          <w:sz w:val="24"/>
          <w:szCs w:val="24"/>
        </w:rPr>
        <w:t>. Authoritative materials governing prevention, management, and responsible use of antimicrobials.</w:t>
      </w:r>
    </w:p>
    <w:p w14:paraId="5A7D0890">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Laboratory, Protocols &amp; Training</w:t>
      </w:r>
      <w:r>
        <w:rPr>
          <w:rFonts w:hint="default" w:ascii="Times New Roman" w:hAnsi="Times New Roman" w:cs="Times New Roman"/>
          <w:sz w:val="24"/>
          <w:szCs w:val="24"/>
        </w:rPr>
        <w:t>. Practical materials that help researchers, laboratory personnel, students, and professionals perform AMR-related work or develop capacity.</w:t>
      </w:r>
    </w:p>
    <w:p w14:paraId="468E540E">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Environmental AMR &amp; Antimicrobial Pollution</w:t>
      </w:r>
      <w:r>
        <w:rPr>
          <w:rFonts w:hint="default" w:ascii="Times New Roman" w:hAnsi="Times New Roman" w:cs="Times New Roman"/>
          <w:sz w:val="24"/>
          <w:szCs w:val="24"/>
        </w:rPr>
        <w:t>. Resources addressing environmental dimensions of AMR, including wastewater, water, soil, residues, pollution, and environmental transmission.</w:t>
      </w:r>
    </w:p>
    <w:p w14:paraId="53DA4064">
      <w:pPr>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These resource category names are not permanently fixed. They represent the current classification and may be changed, merged, expanded, or otherwise edited when better ways of organizing AMR resources are identified. Such changes should be controlled through taxonomy versioning.</w:t>
      </w:r>
    </w:p>
    <w:p w14:paraId="40E23EC3">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 Metadata and Classification System</w:t>
      </w:r>
    </w:p>
    <w:p w14:paraId="7148EA1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AMRx Hub uses metadata to describe and manage categories and individual tools/resources. Category and Tool Type are metadata fields that also function as controlled tags for administrators and staff, helping them classify and differentiate items consistently. The tags do not constitute a separate information system from metadata; they are metadata used for controlled classification.</w:t>
      </w:r>
    </w:p>
    <w:p w14:paraId="337E113D">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4.1 Category Metadata for Tools</w:t>
      </w:r>
    </w:p>
    <w:p w14:paraId="561255FD">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Name</w:t>
      </w:r>
      <w:r>
        <w:rPr>
          <w:rFonts w:hint="default" w:ascii="Times New Roman" w:hAnsi="Times New Roman" w:cs="Times New Roman"/>
          <w:sz w:val="24"/>
          <w:szCs w:val="24"/>
        </w:rPr>
        <w:t>. The name of the category. For an Organism-Specific category this is the organism name; for a General Use category it identifies the functional group.</w:t>
      </w:r>
    </w:p>
    <w:p w14:paraId="0DC7FE4C">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Description</w:t>
      </w:r>
      <w:r>
        <w:rPr>
          <w:rFonts w:hint="default" w:ascii="Times New Roman" w:hAnsi="Times New Roman" w:cs="Times New Roman"/>
          <w:sz w:val="24"/>
          <w:szCs w:val="24"/>
        </w:rPr>
        <w:t>. A short description displayed to users on the tool category card.</w:t>
      </w:r>
    </w:p>
    <w:p w14:paraId="1A3E5189">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Detailed Description</w:t>
      </w:r>
      <w:r>
        <w:rPr>
          <w:rFonts w:hint="default" w:ascii="Times New Roman" w:hAnsi="Times New Roman" w:cs="Times New Roman"/>
          <w:sz w:val="24"/>
          <w:szCs w:val="24"/>
        </w:rPr>
        <w:t>. Longer information explaining the category and the type of tools expected within it.</w:t>
      </w:r>
    </w:p>
    <w:p w14:paraId="02BDDC6C">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Category Type</w:t>
      </w:r>
      <w:r>
        <w:rPr>
          <w:rFonts w:hint="default" w:ascii="Times New Roman" w:hAnsi="Times New Roman" w:cs="Times New Roman"/>
          <w:sz w:val="24"/>
          <w:szCs w:val="24"/>
        </w:rPr>
        <w:t>. Identifies the category as Organisms Specific or General Use.</w:t>
      </w:r>
    </w:p>
    <w:p w14:paraId="51649642">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Icon</w:t>
      </w:r>
      <w:r>
        <w:rPr>
          <w:rFonts w:hint="default" w:ascii="Times New Roman" w:hAnsi="Times New Roman" w:cs="Times New Roman"/>
          <w:sz w:val="24"/>
          <w:szCs w:val="24"/>
        </w:rPr>
        <w:t>. A visual representation used for the category.</w:t>
      </w:r>
    </w:p>
    <w:p w14:paraId="28969CE3">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Color</w:t>
      </w:r>
      <w:r>
        <w:rPr>
          <w:rFonts w:hint="default" w:ascii="Times New Roman" w:hAnsi="Times New Roman" w:cs="Times New Roman"/>
          <w:sz w:val="24"/>
          <w:szCs w:val="24"/>
        </w:rPr>
        <w:t>. A category-associated display color. For organism categories it may reflect the established visual convention used by AMRx Hub; for General Use categories it should communicate the function appropriately.</w:t>
      </w:r>
    </w:p>
    <w:p w14:paraId="496479E1">
      <w:pPr>
        <w:numPr>
          <w:numId w:val="0"/>
        </w:numPr>
        <w:tabs>
          <w:tab w:val="left" w:pos="425"/>
        </w:tabs>
        <w:spacing w:after="200"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Administrative</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Category Metadata</w:t>
      </w:r>
      <w:r>
        <w:rPr>
          <w:rFonts w:hint="default" w:ascii="Times New Roman" w:hAnsi="Times New Roman" w:cs="Times New Roman"/>
          <w:b/>
          <w:bCs/>
          <w:sz w:val="24"/>
          <w:szCs w:val="24"/>
          <w:lang w:val="en-US"/>
        </w:rPr>
        <w:t xml:space="preserve"> for Tools</w:t>
      </w:r>
    </w:p>
    <w:p w14:paraId="2886B5F0">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Order</w:t>
      </w:r>
      <w:r>
        <w:rPr>
          <w:rFonts w:hint="default" w:ascii="Times New Roman" w:hAnsi="Times New Roman" w:cs="Times New Roman"/>
          <w:sz w:val="24"/>
          <w:szCs w:val="24"/>
        </w:rPr>
        <w:t>. Controls the order in which categories/tools are displayed.</w:t>
      </w:r>
    </w:p>
    <w:p w14:paraId="2B79FBB5">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Is Active</w:t>
      </w:r>
      <w:r>
        <w:rPr>
          <w:rFonts w:hint="default" w:ascii="Times New Roman" w:hAnsi="Times New Roman" w:cs="Times New Roman"/>
          <w:sz w:val="24"/>
          <w:szCs w:val="24"/>
        </w:rPr>
        <w:t>. Controls whether the category is visible to users.</w:t>
      </w:r>
    </w:p>
    <w:p w14:paraId="10135DC4">
      <w:pPr>
        <w:numPr>
          <w:numId w:val="0"/>
        </w:numPr>
        <w:tabs>
          <w:tab w:val="left" w:pos="425"/>
        </w:tabs>
        <w:spacing w:after="200" w:line="360" w:lineRule="auto"/>
        <w:jc w:val="both"/>
        <w:rPr>
          <w:rFonts w:hint="default" w:ascii="Times New Roman" w:hAnsi="Times New Roman" w:cs="Times New Roman"/>
          <w:b/>
          <w:bCs/>
          <w:sz w:val="24"/>
          <w:szCs w:val="24"/>
          <w:lang w:val="en-US"/>
        </w:rPr>
      </w:pPr>
    </w:p>
    <w:p w14:paraId="713847E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4.2 Metadata for Individual Tools</w:t>
      </w:r>
    </w:p>
    <w:p w14:paraId="385AA72F">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Name</w:t>
      </w:r>
      <w:r>
        <w:rPr>
          <w:rFonts w:hint="default" w:ascii="Times New Roman" w:hAnsi="Times New Roman" w:cs="Times New Roman"/>
          <w:sz w:val="24"/>
          <w:szCs w:val="24"/>
        </w:rPr>
        <w:t>. The name of the tool or resource entry.</w:t>
      </w:r>
    </w:p>
    <w:p w14:paraId="01214C4E">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Short Description</w:t>
      </w:r>
      <w:r>
        <w:rPr>
          <w:rFonts w:hint="default" w:ascii="Times New Roman" w:hAnsi="Times New Roman" w:cs="Times New Roman"/>
          <w:sz w:val="24"/>
          <w:szCs w:val="24"/>
        </w:rPr>
        <w:t>. Brief information displayed on the tool content card.</w:t>
      </w:r>
    </w:p>
    <w:p w14:paraId="79487864">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Description</w:t>
      </w:r>
      <w:r>
        <w:rPr>
          <w:rFonts w:hint="default" w:ascii="Times New Roman" w:hAnsi="Times New Roman" w:cs="Times New Roman"/>
          <w:sz w:val="24"/>
          <w:szCs w:val="24"/>
        </w:rPr>
        <w:t>. Detailed information displayed in the tool description area when the information icon is selected.</w:t>
      </w:r>
    </w:p>
    <w:p w14:paraId="0F226C87">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Category</w:t>
      </w:r>
      <w:r>
        <w:rPr>
          <w:rFonts w:hint="default" w:ascii="Times New Roman" w:hAnsi="Times New Roman" w:cs="Times New Roman"/>
          <w:sz w:val="24"/>
          <w:szCs w:val="24"/>
        </w:rPr>
        <w:t>. A controlled classification field/tag that determines where the tool belongs within the AMRx Hub taxonomy.</w:t>
      </w:r>
    </w:p>
    <w:p w14:paraId="1ADACBF2">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URL</w:t>
      </w:r>
      <w:r>
        <w:rPr>
          <w:rFonts w:hint="default" w:ascii="Times New Roman" w:hAnsi="Times New Roman" w:cs="Times New Roman"/>
          <w:sz w:val="24"/>
          <w:szCs w:val="24"/>
        </w:rPr>
        <w:t>. The external web address used to access the tool/resource.</w:t>
      </w:r>
    </w:p>
    <w:p w14:paraId="1263DE53">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Tool Type</w:t>
      </w:r>
      <w:r>
        <w:rPr>
          <w:rFonts w:hint="default" w:ascii="Times New Roman" w:hAnsi="Times New Roman" w:cs="Times New Roman"/>
          <w:sz w:val="24"/>
          <w:szCs w:val="24"/>
        </w:rPr>
        <w:t>. A controlled classification field/tag describing how the tool/resource is provided: Web Based Tool, Standalone Application, API Service, Downloadable, Software, or Database/Resource.</w:t>
      </w:r>
    </w:p>
    <w:p w14:paraId="718ECC9A">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Institution</w:t>
      </w:r>
      <w:r>
        <w:rPr>
          <w:rFonts w:hint="default" w:ascii="Times New Roman" w:hAnsi="Times New Roman" w:cs="Times New Roman"/>
          <w:sz w:val="24"/>
          <w:szCs w:val="24"/>
        </w:rPr>
        <w:t>. The institution responsible for development and/or maintenance.</w:t>
      </w:r>
    </w:p>
    <w:p w14:paraId="6C370509">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Version</w:t>
      </w:r>
      <w:r>
        <w:rPr>
          <w:rFonts w:hint="default" w:ascii="Times New Roman" w:hAnsi="Times New Roman" w:cs="Times New Roman"/>
          <w:sz w:val="24"/>
          <w:szCs w:val="24"/>
        </w:rPr>
        <w:t>. The version information associated with the tool/resource</w:t>
      </w:r>
      <w:r>
        <w:rPr>
          <w:rFonts w:hint="default" w:ascii="Times New Roman" w:hAnsi="Times New Roman" w:cs="Times New Roman"/>
          <w:sz w:val="24"/>
          <w:szCs w:val="24"/>
          <w:lang w:val="en-US"/>
        </w:rPr>
        <w:t>.</w:t>
      </w:r>
    </w:p>
    <w:p w14:paraId="401AA4F5">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Authors</w:t>
      </w:r>
      <w:r>
        <w:rPr>
          <w:rFonts w:hint="default" w:ascii="Times New Roman" w:hAnsi="Times New Roman" w:cs="Times New Roman"/>
          <w:sz w:val="24"/>
          <w:szCs w:val="24"/>
        </w:rPr>
        <w:t>. Authors associated with development or publication of the tool/resource.</w:t>
      </w:r>
    </w:p>
    <w:p w14:paraId="2898A3FA">
      <w:pPr>
        <w:numPr>
          <w:ilvl w:val="0"/>
          <w:numId w:val="9"/>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Licence</w:t>
      </w:r>
      <w:r>
        <w:rPr>
          <w:rFonts w:hint="default" w:ascii="Times New Roman" w:hAnsi="Times New Roman" w:cs="Times New Roman"/>
          <w:sz w:val="24"/>
          <w:szCs w:val="24"/>
        </w:rPr>
        <w:t>. The license under which the tool/resource is distributed.</w:t>
      </w:r>
    </w:p>
    <w:p w14:paraId="5732A14C">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Logo (optional)</w:t>
      </w:r>
      <w:r>
        <w:rPr>
          <w:rFonts w:hint="default" w:ascii="Times New Roman" w:hAnsi="Times New Roman" w:cs="Times New Roman"/>
          <w:sz w:val="24"/>
          <w:szCs w:val="24"/>
        </w:rPr>
        <w:t>. Logo representing the tool/resource or its institution</w:t>
      </w:r>
      <w:r>
        <w:rPr>
          <w:rFonts w:hint="default" w:ascii="Times New Roman" w:hAnsi="Times New Roman" w:cs="Times New Roman"/>
          <w:sz w:val="24"/>
          <w:szCs w:val="24"/>
          <w:lang w:val="en-US"/>
        </w:rPr>
        <w:t>.</w:t>
      </w:r>
    </w:p>
    <w:p w14:paraId="4E943305">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Screenshot (optional)</w:t>
      </w:r>
      <w:r>
        <w:rPr>
          <w:rFonts w:hint="default" w:ascii="Times New Roman" w:hAnsi="Times New Roman" w:cs="Times New Roman"/>
          <w:sz w:val="24"/>
          <w:szCs w:val="24"/>
        </w:rPr>
        <w:t>. A visual representation that helps users understand the tool/resource.</w:t>
      </w:r>
    </w:p>
    <w:p w14:paraId="458BB3E9">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Features (optional)</w:t>
      </w:r>
      <w:r>
        <w:rPr>
          <w:rFonts w:hint="default" w:ascii="Times New Roman" w:hAnsi="Times New Roman" w:cs="Times New Roman"/>
          <w:sz w:val="24"/>
          <w:szCs w:val="24"/>
        </w:rPr>
        <w:t>. Important functions or capabilities provided by the tool/resource.</w:t>
      </w:r>
    </w:p>
    <w:p w14:paraId="54AA09D7">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Requirement (optional)</w:t>
      </w:r>
      <w:r>
        <w:rPr>
          <w:rFonts w:hint="default" w:ascii="Times New Roman" w:hAnsi="Times New Roman" w:cs="Times New Roman"/>
          <w:sz w:val="24"/>
          <w:szCs w:val="24"/>
        </w:rPr>
        <w:t>. System, software, hardware, or other user requirements needed to run or access the tool/resource.</w:t>
      </w:r>
    </w:p>
    <w:p w14:paraId="10EA04AA">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Administrative Metadata</w:t>
      </w:r>
      <w:r>
        <w:rPr>
          <w:rFonts w:hint="default" w:ascii="Times New Roman" w:hAnsi="Times New Roman" w:cs="Times New Roman"/>
          <w:b/>
          <w:bCs/>
          <w:sz w:val="24"/>
          <w:szCs w:val="24"/>
          <w:lang w:val="en-US"/>
        </w:rPr>
        <w:t xml:space="preserve"> for Tools</w:t>
      </w:r>
    </w:p>
    <w:p w14:paraId="3B1512F8">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Approval Status</w:t>
      </w:r>
      <w:r>
        <w:rPr>
          <w:rFonts w:hint="default" w:ascii="Times New Roman" w:hAnsi="Times New Roman" w:cs="Times New Roman"/>
          <w:sz w:val="24"/>
          <w:szCs w:val="24"/>
        </w:rPr>
        <w:t>. Indicates whether an item is Pending Review, Approved, or Rejected.</w:t>
      </w:r>
    </w:p>
    <w:p w14:paraId="7A7C54EA">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Rejection Reason</w:t>
      </w:r>
      <w:r>
        <w:rPr>
          <w:rFonts w:hint="default" w:ascii="Times New Roman" w:hAnsi="Times New Roman" w:cs="Times New Roman"/>
          <w:sz w:val="24"/>
          <w:szCs w:val="24"/>
        </w:rPr>
        <w:t>. Records why an item was rejected or why further review is required.</w:t>
      </w:r>
    </w:p>
    <w:p w14:paraId="2CA5824F">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Is Featured</w:t>
      </w:r>
      <w:r>
        <w:rPr>
          <w:rFonts w:hint="default" w:ascii="Times New Roman" w:hAnsi="Times New Roman" w:cs="Times New Roman"/>
          <w:sz w:val="24"/>
          <w:szCs w:val="24"/>
        </w:rPr>
        <w:t>. A controlled platform-promotion status used to place a selected tool/resource in a prominent position for a defined period. Commercial arrangements and advertising policy are outside the taxonomy specification.</w:t>
      </w:r>
    </w:p>
    <w:p w14:paraId="22F4AD93">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Is Active</w:t>
      </w:r>
      <w:r>
        <w:rPr>
          <w:rFonts w:hint="default" w:ascii="Times New Roman" w:hAnsi="Times New Roman" w:cs="Times New Roman"/>
          <w:sz w:val="24"/>
          <w:szCs w:val="24"/>
        </w:rPr>
        <w:t>. Controls whether an approved tool/resource is visible to users.</w:t>
      </w:r>
    </w:p>
    <w:p w14:paraId="67231535">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4.3 Meaning of Tool Type</w:t>
      </w:r>
    </w:p>
    <w:p w14:paraId="595C407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Tool Type distinguishes the delivery or operational form of a tool/resource. Database/Resource is retained within Tool Type specifically for databases or resource platforms that provide an interactive computational function. It does not mean that every static resource belongs in the Tools section.</w:t>
      </w:r>
    </w:p>
    <w:p w14:paraId="586E45F9">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w:t>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 xml:space="preserve"> Resource Category Metadata</w:t>
      </w:r>
    </w:p>
    <w:p w14:paraId="0EEE7687">
      <w:pPr>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Name</w:t>
      </w:r>
      <w:r>
        <w:rPr>
          <w:rFonts w:hint="default" w:ascii="Times New Roman" w:hAnsi="Times New Roman" w:cs="Times New Roman"/>
          <w:sz w:val="24"/>
          <w:szCs w:val="24"/>
        </w:rPr>
        <w:t>. The name of the resource category.</w:t>
      </w:r>
    </w:p>
    <w:p w14:paraId="7A20BD9A">
      <w:pPr>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Icon</w:t>
      </w:r>
      <w:r>
        <w:rPr>
          <w:rFonts w:hint="default" w:ascii="Times New Roman" w:hAnsi="Times New Roman" w:cs="Times New Roman"/>
          <w:sz w:val="24"/>
          <w:szCs w:val="24"/>
        </w:rPr>
        <w:t>. A visual representation of the resource category.</w:t>
      </w:r>
    </w:p>
    <w:p w14:paraId="7820140C">
      <w:pPr>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Description</w:t>
      </w:r>
      <w:r>
        <w:rPr>
          <w:rFonts w:hint="default" w:ascii="Times New Roman" w:hAnsi="Times New Roman" w:cs="Times New Roman"/>
          <w:sz w:val="24"/>
          <w:szCs w:val="24"/>
        </w:rPr>
        <w:t>. A description explaining the category.</w:t>
      </w:r>
    </w:p>
    <w:p w14:paraId="07C4C58C">
      <w:pPr>
        <w:numPr>
          <w:numId w:val="0"/>
        </w:numPr>
        <w:tabs>
          <w:tab w:val="left" w:pos="425"/>
        </w:tabs>
        <w:spacing w:after="20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Administrative Resource Category Metadata</w:t>
      </w:r>
    </w:p>
    <w:p w14:paraId="319112BB">
      <w:pPr>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lang w:val="en-US"/>
        </w:rPr>
        <w:t>Is Active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Controls whether an approved tool/resource is visible to users.</w:t>
      </w:r>
    </w:p>
    <w:p w14:paraId="198C5377">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w:t>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 xml:space="preserve"> Metadata for Individual</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Resource Item</w:t>
      </w:r>
    </w:p>
    <w:p w14:paraId="21A81095">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Category</w:t>
      </w:r>
      <w:r>
        <w:rPr>
          <w:rFonts w:hint="default" w:ascii="Times New Roman" w:hAnsi="Times New Roman" w:cs="Times New Roman"/>
          <w:sz w:val="24"/>
          <w:szCs w:val="24"/>
        </w:rPr>
        <w:t>. The resource category in which the item is placed.</w:t>
      </w:r>
    </w:p>
    <w:p w14:paraId="7227BF7A">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Title</w:t>
      </w:r>
      <w:r>
        <w:rPr>
          <w:rFonts w:hint="default" w:ascii="Times New Roman" w:hAnsi="Times New Roman" w:cs="Times New Roman"/>
          <w:sz w:val="24"/>
          <w:szCs w:val="24"/>
        </w:rPr>
        <w:t>. The name/title of the resource.</w:t>
      </w:r>
    </w:p>
    <w:p w14:paraId="103EF365">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Description</w:t>
      </w:r>
      <w:r>
        <w:rPr>
          <w:rFonts w:hint="default" w:ascii="Times New Roman" w:hAnsi="Times New Roman" w:cs="Times New Roman"/>
          <w:sz w:val="24"/>
          <w:szCs w:val="24"/>
        </w:rPr>
        <w:t>. Description of the resource item.</w:t>
      </w:r>
    </w:p>
    <w:p w14:paraId="171FA831">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Link</w:t>
      </w:r>
      <w:r>
        <w:rPr>
          <w:rFonts w:hint="default" w:ascii="Times New Roman" w:hAnsi="Times New Roman" w:cs="Times New Roman"/>
          <w:sz w:val="24"/>
          <w:szCs w:val="24"/>
        </w:rPr>
        <w:t>. External URL for the resource, where applicable.</w:t>
      </w:r>
    </w:p>
    <w:p w14:paraId="4872274A">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Link Text</w:t>
      </w:r>
      <w:r>
        <w:rPr>
          <w:rFonts w:hint="default" w:ascii="Times New Roman" w:hAnsi="Times New Roman" w:cs="Times New Roman"/>
          <w:sz w:val="24"/>
          <w:szCs w:val="24"/>
        </w:rPr>
        <w:t>. User-facing text displayed instead of the raw URL.</w:t>
      </w:r>
    </w:p>
    <w:p w14:paraId="490DCC6B">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Link Icon</w:t>
      </w:r>
      <w:r>
        <w:rPr>
          <w:rFonts w:hint="default" w:ascii="Times New Roman" w:hAnsi="Times New Roman" w:cs="Times New Roman"/>
          <w:b/>
          <w:bCs/>
          <w:sz w:val="24"/>
          <w:szCs w:val="24"/>
          <w:lang w:val="en-US"/>
        </w:rPr>
        <w:t xml:space="preserve"> (Optional)</w:t>
      </w:r>
      <w:r>
        <w:rPr>
          <w:rFonts w:hint="default" w:ascii="Times New Roman" w:hAnsi="Times New Roman" w:cs="Times New Roman"/>
          <w:sz w:val="24"/>
          <w:szCs w:val="24"/>
        </w:rPr>
        <w:t>. The icon associated with the resource link.</w:t>
      </w:r>
    </w:p>
    <w:p w14:paraId="52BCED08">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PDF File</w:t>
      </w:r>
      <w:r>
        <w:rPr>
          <w:rFonts w:hint="default" w:ascii="Times New Roman" w:hAnsi="Times New Roman" w:cs="Times New Roman"/>
          <w:b/>
          <w:bCs/>
          <w:sz w:val="24"/>
          <w:szCs w:val="24"/>
          <w:lang w:val="en-US"/>
        </w:rPr>
        <w:t xml:space="preserve"> (Optional)</w:t>
      </w:r>
      <w:r>
        <w:rPr>
          <w:rFonts w:hint="default" w:ascii="Times New Roman" w:hAnsi="Times New Roman" w:cs="Times New Roman"/>
          <w:sz w:val="24"/>
          <w:szCs w:val="24"/>
        </w:rPr>
        <w:t>. Source or related PDF file, where applicable.</w:t>
      </w:r>
    </w:p>
    <w:p w14:paraId="39168D67">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Image (optional)</w:t>
      </w:r>
      <w:r>
        <w:rPr>
          <w:rFonts w:hint="default" w:ascii="Times New Roman" w:hAnsi="Times New Roman" w:cs="Times New Roman"/>
          <w:sz w:val="24"/>
          <w:szCs w:val="24"/>
        </w:rPr>
        <w:t>. An image associated with the resource, where applicable.</w:t>
      </w:r>
    </w:p>
    <w:p w14:paraId="6ABDB64A">
      <w:pPr>
        <w:numPr>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Administrative Metadata</w:t>
      </w:r>
      <w:r>
        <w:rPr>
          <w:rFonts w:hint="default" w:ascii="Times New Roman" w:hAnsi="Times New Roman" w:cs="Times New Roman"/>
          <w:b/>
          <w:bCs/>
          <w:sz w:val="24"/>
          <w:szCs w:val="24"/>
          <w:lang w:val="en-US"/>
        </w:rPr>
        <w:t xml:space="preserve"> for </w:t>
      </w:r>
      <w:r>
        <w:rPr>
          <w:rFonts w:hint="default" w:ascii="Times New Roman" w:hAnsi="Times New Roman" w:cs="Times New Roman"/>
          <w:b/>
          <w:bCs/>
          <w:sz w:val="24"/>
          <w:szCs w:val="24"/>
        </w:rPr>
        <w:t>Resource Item</w:t>
      </w:r>
    </w:p>
    <w:p w14:paraId="588CBC6A">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Approval </w:t>
      </w:r>
      <w:r>
        <w:rPr>
          <w:rFonts w:hint="default" w:ascii="Times New Roman" w:hAnsi="Times New Roman" w:cs="Times New Roman"/>
          <w:b/>
          <w:bCs/>
          <w:sz w:val="24"/>
          <w:szCs w:val="24"/>
          <w:lang w:val="en-US"/>
        </w:rPr>
        <w:t>S</w:t>
      </w:r>
      <w:r>
        <w:rPr>
          <w:rFonts w:hint="default" w:ascii="Times New Roman" w:hAnsi="Times New Roman" w:cs="Times New Roman"/>
          <w:b/>
          <w:bCs/>
          <w:sz w:val="24"/>
          <w:szCs w:val="24"/>
        </w:rPr>
        <w:t>tatus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Indicates whether an item is Pending Review, Approved, or Rejected.</w:t>
      </w:r>
    </w:p>
    <w:p w14:paraId="4B29B2A2">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Is </w:t>
      </w:r>
      <w:r>
        <w:rPr>
          <w:rFonts w:hint="default" w:ascii="Times New Roman" w:hAnsi="Times New Roman" w:cs="Times New Roman"/>
          <w:b/>
          <w:bCs/>
          <w:sz w:val="24"/>
          <w:szCs w:val="24"/>
          <w:lang w:val="en-US"/>
        </w:rPr>
        <w:t>A</w:t>
      </w:r>
      <w:r>
        <w:rPr>
          <w:rFonts w:hint="default" w:ascii="Times New Roman" w:hAnsi="Times New Roman" w:cs="Times New Roman"/>
          <w:b/>
          <w:bCs/>
          <w:sz w:val="24"/>
          <w:szCs w:val="24"/>
        </w:rPr>
        <w:t>ctive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Controls whether an approved tool/resource is visible to users.</w:t>
      </w:r>
    </w:p>
    <w:p w14:paraId="6B57D2EE">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Approved by</w:t>
      </w:r>
      <w:r>
        <w:rPr>
          <w:rFonts w:hint="default" w:ascii="Times New Roman" w:hAnsi="Times New Roman" w:cs="Times New Roman"/>
          <w:sz w:val="24"/>
          <w:szCs w:val="24"/>
          <w:lang w:val="en-US"/>
        </w:rPr>
        <w:t>. Records the name of Superuser or Staff/Admin who approved the Resource Item.</w:t>
      </w:r>
    </w:p>
    <w:p w14:paraId="57204188">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Approved at</w:t>
      </w:r>
      <w:r>
        <w:rPr>
          <w:rFonts w:hint="default" w:ascii="Times New Roman" w:hAnsi="Times New Roman" w:cs="Times New Roman"/>
          <w:sz w:val="24"/>
          <w:szCs w:val="24"/>
          <w:lang w:val="en-US"/>
        </w:rPr>
        <w:t>. Time and date Superuser or Staff/Admin approved the Resource Item.</w:t>
      </w:r>
    </w:p>
    <w:p w14:paraId="41E42421">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Preview</w:t>
      </w:r>
      <w:r>
        <w:rPr>
          <w:rFonts w:hint="default" w:ascii="Times New Roman" w:hAnsi="Times New Roman" w:cs="Times New Roman"/>
          <w:sz w:val="24"/>
          <w:szCs w:val="24"/>
          <w:lang w:val="en-US"/>
        </w:rPr>
        <w:t>. Shows the preview of the Image.</w:t>
      </w:r>
    </w:p>
    <w:p w14:paraId="45165F27">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Delete?</w:t>
      </w:r>
      <w:r>
        <w:rPr>
          <w:rFonts w:hint="default" w:ascii="Times New Roman" w:hAnsi="Times New Roman" w:cs="Times New Roman"/>
          <w:sz w:val="24"/>
          <w:szCs w:val="24"/>
          <w:lang w:val="en-US"/>
        </w:rPr>
        <w:t>. Selected when two or more Resource Item are to be deleted from a single Resource Category.</w:t>
      </w:r>
    </w:p>
    <w:p w14:paraId="40921D1F">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5. Metadata That Could Be Added</w:t>
      </w:r>
    </w:p>
    <w:p w14:paraId="096B532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following are proposed additions identified from the current structure. They are not part of Taxonomy System </w:t>
      </w:r>
      <w:r>
        <w:rPr>
          <w:rFonts w:hint="default" w:ascii="Times New Roman" w:hAnsi="Times New Roman" w:cs="Times New Roman"/>
          <w:b/>
          <w:bCs/>
          <w:sz w:val="24"/>
          <w:szCs w:val="24"/>
        </w:rPr>
        <w:t>v</w:t>
      </w:r>
      <w:r>
        <w:rPr>
          <w:rFonts w:hint="default" w:ascii="Times New Roman" w:hAnsi="Times New Roman" w:cs="Times New Roman"/>
          <w:b/>
          <w:bCs/>
          <w:sz w:val="24"/>
          <w:szCs w:val="24"/>
          <w:lang w:val="en-US"/>
        </w:rPr>
        <w:t>0.5</w:t>
      </w:r>
      <w:r>
        <w:rPr>
          <w:rFonts w:hint="default" w:ascii="Times New Roman" w:hAnsi="Times New Roman" w:cs="Times New Roman"/>
          <w:b/>
          <w:bCs/>
          <w:sz w:val="24"/>
          <w:szCs w:val="24"/>
        </w:rPr>
        <w:t>.0</w:t>
      </w:r>
      <w:r>
        <w:rPr>
          <w:rFonts w:hint="default" w:ascii="Times New Roman" w:hAnsi="Times New Roman" w:cs="Times New Roman"/>
          <w:sz w:val="24"/>
          <w:szCs w:val="24"/>
        </w:rPr>
        <w:t xml:space="preserve"> unless formally adopted. They are intended to improve discoverability, verification, and consistent curation without changing the established hierarchy.</w:t>
      </w:r>
    </w:p>
    <w:p w14:paraId="2B704DC0">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Last Verified</w:t>
      </w:r>
      <w:r>
        <w:rPr>
          <w:rFonts w:hint="default" w:ascii="Times New Roman" w:hAnsi="Times New Roman" w:cs="Times New Roman"/>
          <w:sz w:val="24"/>
          <w:szCs w:val="24"/>
        </w:rPr>
        <w:t>. Date on which the external URL and basic resource information were last checked. This supports ongoing curation of external links.</w:t>
      </w:r>
    </w:p>
    <w:p w14:paraId="5FE021CD">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Documentation URL</w:t>
      </w:r>
      <w:r>
        <w:rPr>
          <w:rFonts w:hint="default" w:ascii="Times New Roman" w:hAnsi="Times New Roman" w:cs="Times New Roman"/>
          <w:sz w:val="24"/>
          <w:szCs w:val="24"/>
        </w:rPr>
        <w:t>. A direct link to official documentation when it differs from the main tool URL.</w:t>
      </w:r>
    </w:p>
    <w:p w14:paraId="6AF12EEC">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Repository URL</w:t>
      </w:r>
      <w:r>
        <w:rPr>
          <w:rFonts w:hint="default" w:ascii="Times New Roman" w:hAnsi="Times New Roman" w:cs="Times New Roman"/>
          <w:sz w:val="24"/>
          <w:szCs w:val="24"/>
        </w:rPr>
        <w:t>. A source-code repository link when publicly available.</w:t>
      </w:r>
    </w:p>
    <w:p w14:paraId="1D48BD54">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Input</w:t>
      </w:r>
      <w:r>
        <w:rPr>
          <w:rFonts w:hint="default" w:ascii="Times New Roman" w:hAnsi="Times New Roman" w:cs="Times New Roman"/>
          <w:sz w:val="24"/>
          <w:szCs w:val="24"/>
        </w:rPr>
        <w:t>. A concise description of the main data/input accepted by an interactive tool. This is useful for distinguishing tools with similar functions.</w:t>
      </w:r>
    </w:p>
    <w:p w14:paraId="0AE7E1FA">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Output</w:t>
      </w:r>
      <w:r>
        <w:rPr>
          <w:rFonts w:hint="default" w:ascii="Times New Roman" w:hAnsi="Times New Roman" w:cs="Times New Roman"/>
          <w:sz w:val="24"/>
          <w:szCs w:val="24"/>
        </w:rPr>
        <w:t>. A concise description of the principal result/output produced by a tool.</w:t>
      </w:r>
    </w:p>
    <w:p w14:paraId="38805E9E">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Organism Scope</w:t>
      </w:r>
      <w:r>
        <w:rPr>
          <w:rFonts w:hint="default" w:ascii="Times New Roman" w:hAnsi="Times New Roman" w:cs="Times New Roman"/>
          <w:sz w:val="24"/>
          <w:szCs w:val="24"/>
        </w:rPr>
        <w:t>. The organism(s) to which a tool applies. This would support filtering across the taxonomy without changing the Organism-Specific hierarchy.</w:t>
      </w:r>
    </w:p>
    <w:p w14:paraId="55C53EDA">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One Health Sector</w:t>
      </w:r>
      <w:r>
        <w:rPr>
          <w:rFonts w:hint="default" w:ascii="Times New Roman" w:hAnsi="Times New Roman" w:cs="Times New Roman"/>
          <w:sz w:val="24"/>
          <w:szCs w:val="24"/>
        </w:rPr>
        <w:t>. Where relevant, identifies the sector(s) addressed by a resource, such as human, animal, food, plant, wildlife, or environmental health.</w:t>
      </w:r>
    </w:p>
    <w:p w14:paraId="37E922B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6. Classification Logic</w:t>
      </w:r>
    </w:p>
    <w:p w14:paraId="503730E8">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First-level distinction</w:t>
      </w:r>
      <w:r>
        <w:rPr>
          <w:rFonts w:hint="default" w:ascii="Times New Roman" w:hAnsi="Times New Roman" w:cs="Times New Roman"/>
          <w:sz w:val="24"/>
          <w:szCs w:val="24"/>
        </w:rPr>
        <w:t>. Items are separated into Tools and Resources according to their primary role and user interaction.</w:t>
      </w:r>
    </w:p>
    <w:p w14:paraId="196BCBCE">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Organism-specific classification</w:t>
      </w:r>
      <w:r>
        <w:rPr>
          <w:rFonts w:hint="default" w:ascii="Times New Roman" w:hAnsi="Times New Roman" w:cs="Times New Roman"/>
          <w:sz w:val="24"/>
          <w:szCs w:val="24"/>
        </w:rPr>
        <w:t>. Tools primarily associated with one priority organism are placed under that organism. Individual tools sit directly within the organism category.</w:t>
      </w:r>
    </w:p>
    <w:p w14:paraId="66D607F8">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General-use classification</w:t>
      </w:r>
      <w:r>
        <w:rPr>
          <w:rFonts w:hint="default" w:ascii="Times New Roman" w:hAnsi="Times New Roman" w:cs="Times New Roman"/>
          <w:sz w:val="24"/>
          <w:szCs w:val="24"/>
        </w:rPr>
        <w:t>. Tools applicable across multiple organisms are grouped according to their principal analytical function.</w:t>
      </w:r>
    </w:p>
    <w:p w14:paraId="686AF5B9">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Resource classification</w:t>
      </w:r>
      <w:r>
        <w:rPr>
          <w:rFonts w:hint="default" w:ascii="Times New Roman" w:hAnsi="Times New Roman" w:cs="Times New Roman"/>
          <w:sz w:val="24"/>
          <w:szCs w:val="24"/>
        </w:rPr>
        <w:t>. Resources are grouped according to their principal knowledge, surveillance, sector, policy, laboratory/training, or environmental purpose.</w:t>
      </w:r>
    </w:p>
    <w:p w14:paraId="67CE483C">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Controlled classification</w:t>
      </w:r>
      <w:r>
        <w:rPr>
          <w:rFonts w:hint="default" w:ascii="Times New Roman" w:hAnsi="Times New Roman" w:cs="Times New Roman"/>
          <w:sz w:val="24"/>
          <w:szCs w:val="24"/>
        </w:rPr>
        <w:t>. Category and Tool Type provide controlled tags that help staff consistently classify and differentiate entries.</w:t>
      </w:r>
    </w:p>
    <w:p w14:paraId="4AB7097B">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Extensibility</w:t>
      </w:r>
      <w:r>
        <w:rPr>
          <w:rFonts w:hint="default" w:ascii="Times New Roman" w:hAnsi="Times New Roman" w:cs="Times New Roman"/>
          <w:sz w:val="24"/>
          <w:szCs w:val="24"/>
        </w:rPr>
        <w:t>. The taxonomy is designed to evolve. Additional priority organisms and improved resource categories can be incorporated through controlled updates and versioning.</w:t>
      </w:r>
    </w:p>
    <w:p w14:paraId="05E53835">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7. Taxonomy Maintenance and Versioning</w:t>
      </w:r>
    </w:p>
    <w:p w14:paraId="4D96D9F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taxonomy is a maintained classification system rather </w:t>
      </w:r>
      <w:bookmarkStart w:id="0" w:name="_GoBack"/>
      <w:bookmarkEnd w:id="0"/>
      <w:r>
        <w:rPr>
          <w:rFonts w:hint="default" w:ascii="Times New Roman" w:hAnsi="Times New Roman" w:cs="Times New Roman"/>
          <w:sz w:val="24"/>
          <w:szCs w:val="24"/>
        </w:rPr>
        <w:t>than a permanently fixed list. Changes should be made when a demonstrably better classification approach is identified, when new priority organisms need to be represented, or when the existing categories no longer describe the AMR resource landscape adequately. Changes should be documented in a new taxonomy version so that the meaning of classifications remains traceable.</w:t>
      </w:r>
    </w:p>
    <w:p w14:paraId="379FE90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8. Scope of This Specification</w:t>
      </w:r>
    </w:p>
    <w:p w14:paraId="65EC12E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specification describes the AMRx Hub taxonomy hierarchy, its current categories, metadata fields, controlled classification tags, and proposed metadata improvements. It does not define the separate commercial/advertising policy, privacy policy, technical architecture, contribution policy, or general governance rules of AMRx Hub.</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956325"/>
    <w:multiLevelType w:val="singleLevel"/>
    <w:tmpl w:val="C2956325"/>
    <w:lvl w:ilvl="0" w:tentative="0">
      <w:start w:val="1"/>
      <w:numFmt w:val="lowerRoman"/>
      <w:lvlText w:val="%1."/>
      <w:lvlJc w:val="left"/>
      <w:pPr>
        <w:tabs>
          <w:tab w:val="left" w:pos="425"/>
        </w:tabs>
        <w:ind w:left="425" w:leftChars="0" w:hanging="425" w:firstLineChars="0"/>
      </w:pPr>
      <w:rPr>
        <w:rFonts w:hint="default"/>
      </w:rPr>
    </w:lvl>
  </w:abstractNum>
  <w:abstractNum w:abstractNumId="1">
    <w:nsid w:val="D9594B33"/>
    <w:multiLevelType w:val="singleLevel"/>
    <w:tmpl w:val="D9594B33"/>
    <w:lvl w:ilvl="0" w:tentative="0">
      <w:start w:val="1"/>
      <w:numFmt w:val="lowerRoman"/>
      <w:lvlText w:val="%1."/>
      <w:lvlJc w:val="left"/>
      <w:pPr>
        <w:tabs>
          <w:tab w:val="left" w:pos="425"/>
        </w:tabs>
        <w:ind w:left="425" w:leftChars="0" w:hanging="425" w:firstLineChars="0"/>
      </w:pPr>
      <w:rPr>
        <w:rFonts w:hint="default"/>
      </w:rPr>
    </w:lvl>
  </w:abstractNum>
  <w:abstractNum w:abstractNumId="2">
    <w:nsid w:val="D9FBEA5F"/>
    <w:multiLevelType w:val="singleLevel"/>
    <w:tmpl w:val="D9FBEA5F"/>
    <w:lvl w:ilvl="0" w:tentative="0">
      <w:start w:val="1"/>
      <w:numFmt w:val="lowerRoman"/>
      <w:lvlText w:val="%1."/>
      <w:lvlJc w:val="left"/>
      <w:pPr>
        <w:tabs>
          <w:tab w:val="left" w:pos="425"/>
        </w:tabs>
        <w:ind w:left="425" w:leftChars="0" w:hanging="425" w:firstLineChars="0"/>
      </w:pPr>
      <w:rPr>
        <w:rFonts w:hint="default"/>
      </w:rPr>
    </w:lvl>
  </w:abstractNum>
  <w:abstractNum w:abstractNumId="3">
    <w:nsid w:val="E461A6E5"/>
    <w:multiLevelType w:val="singleLevel"/>
    <w:tmpl w:val="E461A6E5"/>
    <w:lvl w:ilvl="0" w:tentative="0">
      <w:start w:val="1"/>
      <w:numFmt w:val="lowerRoman"/>
      <w:lvlText w:val="%1."/>
      <w:lvlJc w:val="left"/>
      <w:pPr>
        <w:tabs>
          <w:tab w:val="left" w:pos="425"/>
        </w:tabs>
        <w:ind w:left="425" w:leftChars="0" w:hanging="425" w:firstLineChars="0"/>
      </w:pPr>
      <w:rPr>
        <w:rFonts w:hint="default"/>
      </w:rPr>
    </w:lvl>
  </w:abstractNum>
  <w:abstractNum w:abstractNumId="4">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0">
    <w:nsid w:val="4D6DF60F"/>
    <w:multiLevelType w:val="singleLevel"/>
    <w:tmpl w:val="4D6DF60F"/>
    <w:lvl w:ilvl="0" w:tentative="0">
      <w:start w:val="1"/>
      <w:numFmt w:val="lowerRoman"/>
      <w:lvlText w:val="%1."/>
      <w:lvlJc w:val="left"/>
      <w:pPr>
        <w:tabs>
          <w:tab w:val="left" w:pos="425"/>
        </w:tabs>
        <w:ind w:left="425" w:leftChars="0" w:hanging="425" w:firstLineChars="0"/>
      </w:pPr>
      <w:rPr>
        <w:rFonts w:hint="default"/>
      </w:rPr>
    </w:lvl>
  </w:abstractNum>
  <w:abstractNum w:abstractNumId="11">
    <w:nsid w:val="4EE338DB"/>
    <w:multiLevelType w:val="singleLevel"/>
    <w:tmpl w:val="4EE338DB"/>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7092AE38"/>
    <w:multiLevelType w:val="singleLevel"/>
    <w:tmpl w:val="7092AE38"/>
    <w:lvl w:ilvl="0" w:tentative="0">
      <w:start w:val="1"/>
      <w:numFmt w:val="lowerRoman"/>
      <w:lvlText w:val="%1."/>
      <w:lvlJc w:val="left"/>
      <w:pPr>
        <w:tabs>
          <w:tab w:val="left" w:pos="425"/>
        </w:tabs>
        <w:ind w:left="425" w:leftChars="0" w:hanging="425" w:firstLineChars="0"/>
      </w:pPr>
      <w:rPr>
        <w:rFonts w:hint="default"/>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3"/>
  </w:num>
  <w:num w:numId="8">
    <w:abstractNumId w:val="0"/>
  </w:num>
  <w:num w:numId="9">
    <w:abstractNumId w:val="11"/>
  </w:num>
  <w:num w:numId="10">
    <w:abstractNumId w:val="12"/>
  </w:num>
  <w:num w:numId="11">
    <w:abstractNumId w:val="10"/>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64D2E"/>
    <w:rsid w:val="37A83396"/>
    <w:rsid w:val="4C0035A8"/>
    <w:rsid w:val="703870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1521</Words>
  <Characters>9678</Characters>
  <Lines>0</Lines>
  <Paragraphs>0</Paragraphs>
  <TotalTime>32</TotalTime>
  <ScaleCrop>false</ScaleCrop>
  <LinksUpToDate>false</LinksUpToDate>
  <CharactersWithSpaces>11103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Akinloluwa Isaac</cp:lastModifiedBy>
  <dcterms:modified xsi:type="dcterms:W3CDTF">2026-08-29T16:57:31Z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eyJoZGlkIjoiYWUzYWM5MDU4OWY0NGZjYzdiODJjMTg0Yzg4ZjJiZTAiLCJ1c2VySWQiOiIyNzQ4NzgyNTI4MTgxIn0=</vt:lpwstr>
  </property>
  <property fmtid="{D5CDD505-2E9C-101B-9397-08002B2CF9AE}" pid="3" name="KSOProductBuildVer">
    <vt:lpwstr>1033-12.1.0.28032</vt:lpwstr>
  </property>
  <property fmtid="{D5CDD505-2E9C-101B-9397-08002B2CF9AE}" pid="4" name="ICV">
    <vt:lpwstr>A2F5AFA56F7B424E92ADC63C5DAAC9C9_12</vt:lpwstr>
  </property>
</Properties>
</file>