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675"/>
        <w:gridCol w:w="3300"/>
        <w:tblGridChange w:id="0">
          <w:tblGrid>
            <w:gridCol w:w="2355"/>
            <w:gridCol w:w="1065"/>
            <w:gridCol w:w="105"/>
            <w:gridCol w:w="1170"/>
            <w:gridCol w:w="2130"/>
            <w:gridCol w:w="675"/>
            <w:gridCol w:w="3300"/>
          </w:tblGrid>
        </w:tblGridChange>
      </w:tblGrid>
      <w:tr>
        <w:trPr>
          <w:cantSplit w:val="0"/>
          <w:trHeight w:val="1424.189453124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Dan-Luk.com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rtl w:val="0"/>
              </w:rPr>
              <w:t xml:space="preserve">Dan Luk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Education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Ohio State University               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Ohio State University                                       </w:t>
              <w:tab/>
              <w:t xml:space="preserve">Graduate Researcher                                                            </w:t>
              <w:tab/>
              <w:t xml:space="preserve">2006 - 2008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Certification: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 Developer professional certification 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JavaScript: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/ Redux 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 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SQL/PostgreSQL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C, C++, Python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applications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 &amp; GitHub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Test-driven development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Structures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Algorithms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 O Time &amp; Space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Concepts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lifecycles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patterns: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Façade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Builder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MVC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Technical project: eCommerce store project (2023)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Features: Inventory populated with database; Shopping Cart sidebar; Purchase via Stripe API. 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View Controller design pattern. Implemented custom react hooks. </w:t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Employment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Leadership Team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96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2009 -2022 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and cultivated donor relationships, resulting in over $1.2M in donations for the operational budget.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an interactive database to maximize employee engagement with guests.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Launched a new branch at another campus and added 50 new members to our organization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Recruited, trained, and evaluated 40+ leaders in facilitating community groups to promote increased retention.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Skills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349.1894531249998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Strong communication / public speaker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Organizational strategy 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 &amp; curious learner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Collaboration (team-first mentality)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Develops &amp; Coaches strong leaders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critical feedback  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