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SERVICES &amp; EQUITY AGREEMENT</w:t>
      </w:r>
    </w:p>
    <w:p>
      <w:pPr>
        <w:jc w:val="center"/>
      </w:pPr>
      <w:r>
        <w:rPr>
          <w:b/>
        </w:rPr>
        <w:t>Between ENDevo Inc. and Nermeen Nasim</w:t>
      </w:r>
    </w:p>
    <w:p>
      <w:r>
        <w:t>Effective Date: February 2, 2026</w:t>
      </w:r>
    </w:p>
    <w:p>
      <w:r>
        <w:t>Last Updated: January 29, 2026</w:t>
      </w:r>
    </w:p>
    <w:p/>
    <w:p>
      <w:pPr>
        <w:pStyle w:val="Heading1"/>
      </w:pPr>
      <w:r>
        <w:t>PREAMBLE</w:t>
      </w:r>
    </w:p>
    <w:p>
      <w:r>
        <w:rPr>
          <w:b/>
        </w:rPr>
        <w:t xml:space="preserve">WHEREAS, </w:t>
      </w:r>
      <w:r>
        <w:t>Niki Weiss (Owner) has founded ENDevo Inc., an education-first SaaS platform for end-of-life readiness and digital legacy planning; and</w:t>
        <w:br/>
      </w:r>
      <w:r>
        <w:rPr>
          <w:b/>
        </w:rPr>
        <w:t xml:space="preserve">WHEREAS, </w:t>
      </w:r>
      <w:r>
        <w:t>Nermeen Nasim (Advisor/Engineer) possesses exceptional technical expertise in full-stack development, AWS cloud architecture, and SaaS product development; and</w:t>
        <w:br/>
      </w:r>
      <w:r>
        <w:rPr>
          <w:b/>
        </w:rPr>
        <w:t xml:space="preserve">WHEREAS, </w:t>
      </w:r>
      <w:r>
        <w:t>Both parties desire to build ENDevo into a revenue-generating, market-leading SaaS platform serving HR departments and employees; and</w:t>
        <w:br/>
      </w:r>
      <w:r>
        <w:rPr>
          <w:b/>
        </w:rPr>
        <w:t xml:space="preserve">WHEREAS, </w:t>
      </w:r>
      <w:r>
        <w:t>Both parties seek a fair arrangement that compensates Nermeen for early-stage work while aligning incentives around long-term revenue success; and</w:t>
        <w:br/>
      </w:r>
      <w:r>
        <w:rPr>
          <w:b/>
        </w:rPr>
        <w:t xml:space="preserve">NOW, THEREFORE, </w:t>
      </w:r>
      <w:r>
        <w:t>the parties agree as follows:</w:t>
        <w:br/>
      </w:r>
    </w:p>
    <w:p>
      <w:pPr>
        <w:pStyle w:val="Heading1"/>
      </w:pPr>
      <w:r>
        <w:t>ARTICLE 1: DEFINITIONS</w:t>
      </w:r>
    </w:p>
    <w:p>
      <w:r>
        <w:rPr>
          <w:b/>
        </w:rPr>
        <w:t xml:space="preserve">1.1 "Company": </w:t>
      </w:r>
      <w:r>
        <w:t>ENDevo Inc., a Delaware C-Corporation (or applicable jurisdiction equivalent)</w:t>
      </w:r>
    </w:p>
    <w:p>
      <w:r>
        <w:rPr>
          <w:b/>
        </w:rPr>
        <w:t xml:space="preserve">1.2 "Advisor": </w:t>
      </w:r>
      <w:r>
        <w:t>Nermeen Nasim (individual contractor/consultant)</w:t>
      </w:r>
    </w:p>
    <w:p>
      <w:r>
        <w:rPr>
          <w:b/>
        </w:rPr>
        <w:t xml:space="preserve">1.3 "Owner": </w:t>
      </w:r>
      <w:r>
        <w:t>Niki Weiss, founder of ENDevo Inc.</w:t>
      </w:r>
    </w:p>
    <w:p>
      <w:r>
        <w:rPr>
          <w:b/>
        </w:rPr>
        <w:t xml:space="preserve">1.4 "MRR": </w:t>
      </w:r>
      <w:r>
        <w:t>Monthly Recurring Revenue from customer subscriptions (net of refunds/churn)</w:t>
      </w:r>
    </w:p>
    <w:p>
      <w:r>
        <w:rPr>
          <w:b/>
        </w:rPr>
        <w:t xml:space="preserve">1.5 "Phase 1": </w:t>
      </w:r>
      <w:r>
        <w:t>MVP development period (Feb 2 - Mar 30, 2026)</w:t>
      </w:r>
    </w:p>
    <w:p>
      <w:r>
        <w:rPr>
          <w:b/>
        </w:rPr>
        <w:t xml:space="preserve">1.6 "Phase 2": </w:t>
      </w:r>
      <w:r>
        <w:t>Scale &amp; sales period (Apr 1 - May 15, 2026)</w:t>
      </w:r>
    </w:p>
    <w:p>
      <w:r>
        <w:rPr>
          <w:b/>
        </w:rPr>
        <w:t xml:space="preserve">1.7 "Phase 3": </w:t>
      </w:r>
      <w:r>
        <w:t>Advanced features period (Jun 1 - Jul 30, 2026)</w:t>
      </w:r>
    </w:p>
    <w:p>
      <w:r>
        <w:rPr>
          <w:b/>
        </w:rPr>
        <w:t xml:space="preserve">1.8 "Revenue Launch": </w:t>
      </w:r>
      <w:r>
        <w:t>First day MRR exceeds $5,000/month (projected May 15, 2026)</w:t>
      </w:r>
    </w:p>
    <w:p>
      <w:r>
        <w:rPr>
          <w:b/>
        </w:rPr>
        <w:t xml:space="preserve">1.9 "Intellectual Property": </w:t>
      </w:r>
      <w:r>
        <w:t>All code, designs, documentation, processes created during engagement</w:t>
      </w:r>
    </w:p>
    <w:p>
      <w:pPr>
        <w:pStyle w:val="Heading1"/>
      </w:pPr>
      <w:r>
        <w:t>ARTICLE 2: SCOPE OF WORK</w:t>
      </w:r>
    </w:p>
    <w:p>
      <w:pPr>
        <w:pStyle w:val="Heading2"/>
      </w:pPr>
      <w:r>
        <w:t>2.1 Primary Responsibilities (Phases 1-3)</w:t>
      </w:r>
    </w:p>
    <w:p>
      <w:pPr>
        <w:pStyle w:val="ListBullet"/>
      </w:pPr>
      <w:r>
        <w:t>Lead backend development (Node.js + AWS Lambda)</w:t>
      </w:r>
    </w:p>
    <w:p>
      <w:pPr>
        <w:pStyle w:val="ListBullet"/>
      </w:pPr>
      <w:r>
        <w:t>Design and implement multi-tenant SaaS architecture with Row-Level Security</w:t>
      </w:r>
    </w:p>
    <w:p>
      <w:pPr>
        <w:pStyle w:val="ListBullet"/>
      </w:pPr>
      <w:r>
        <w:t>Manage AWS infrastructure (RDS, Cognito, CloudFront, etc.)</w:t>
      </w:r>
    </w:p>
    <w:p>
      <w:pPr>
        <w:pStyle w:val="ListBullet"/>
      </w:pPr>
      <w:r>
        <w:t>Lead DevOps/CI-CD pipeline (GitHub Actions, Terraform)</w:t>
      </w:r>
    </w:p>
    <w:p>
      <w:pPr>
        <w:pStyle w:val="ListBullet"/>
      </w:pPr>
      <w:r>
        <w:t>Hire, onboard, and manage frontend developer (if budget permits)</w:t>
      </w:r>
    </w:p>
    <w:p>
      <w:pPr>
        <w:pStyle w:val="ListBullet"/>
      </w:pPr>
      <w:r>
        <w:t>Conduct code reviews and technical quality assurance</w:t>
      </w:r>
    </w:p>
    <w:p>
      <w:pPr>
        <w:pStyle w:val="ListBullet"/>
      </w:pPr>
      <w:r>
        <w:t>Implement monitoring, logging, and security best practices</w:t>
      </w:r>
    </w:p>
    <w:p>
      <w:pPr>
        <w:pStyle w:val="ListBullet"/>
      </w:pPr>
      <w:r>
        <w:t>Lead technical decisions and technology stack selection</w:t>
      </w:r>
    </w:p>
    <w:p>
      <w:pPr>
        <w:pStyle w:val="ListBullet"/>
      </w:pPr>
      <w:r>
        <w:t>Provide technical guidance to Niki on product roadmap</w:t>
      </w:r>
    </w:p>
    <w:p>
      <w:pPr>
        <w:pStyle w:val="ListBullet"/>
      </w:pPr>
      <w:r>
        <w:t>Participate in customer demos and technical support (as needed)</w:t>
      </w:r>
    </w:p>
    <w:p>
      <w:pPr>
        <w:pStyle w:val="Heading2"/>
      </w:pPr>
      <w:r>
        <w:t>2.2 Expected Weekly Hours</w:t>
      </w:r>
    </w:p>
    <w:p>
      <w:r>
        <w:t>Phase 1 (MVP): 40-50 hours/week (8 weeks)</w:t>
      </w:r>
    </w:p>
    <w:p>
      <w:r>
        <w:t>Phase 2 (Scale): 35-40 hours/week (6-8 weeks)</w:t>
      </w:r>
    </w:p>
    <w:p>
      <w:r>
        <w:t>Phase 3 (Advanced): 30-35 hours/week (8 weeks)</w:t>
      </w:r>
    </w:p>
    <w:p/>
    <w:p>
      <w:r>
        <w:t>Total engagement: ~600-700 hours over 24 weeks (6 months)</w:t>
      </w:r>
    </w:p>
    <w:p>
      <w:pPr>
        <w:pStyle w:val="Heading2"/>
      </w:pPr>
      <w:r>
        <w:t>2.3 Exclusions</w:t>
      </w:r>
    </w:p>
    <w:p>
      <w:r>
        <w:t>This agreement does NOT include:</w:t>
      </w:r>
    </w:p>
    <w:p>
      <w:pPr>
        <w:pStyle w:val="ListBullet"/>
      </w:pPr>
      <w:r>
        <w:t>Marketing or sales activities</w:t>
      </w:r>
    </w:p>
    <w:p>
      <w:pPr>
        <w:pStyle w:val="ListBullet"/>
      </w:pPr>
      <w:r>
        <w:t>Business development</w:t>
      </w:r>
    </w:p>
    <w:p>
      <w:pPr>
        <w:pStyle w:val="ListBullet"/>
      </w:pPr>
      <w:r>
        <w:t>Customer support (beyond technical demos)</w:t>
      </w:r>
    </w:p>
    <w:p>
      <w:pPr>
        <w:pStyle w:val="ListBullet"/>
      </w:pPr>
      <w:r>
        <w:t>Financial management or accounting</w:t>
      </w:r>
    </w:p>
    <w:p>
      <w:pPr>
        <w:pStyle w:val="ListBullet"/>
      </w:pPr>
      <w:r>
        <w:t>Legal or compliance consulting</w:t>
      </w:r>
    </w:p>
    <w:p>
      <w:r>
        <w:t>Owner (Niki) is responsible for these functions.</w:t>
      </w:r>
    </w:p>
    <w:p>
      <w:pPr>
        <w:pStyle w:val="Heading1"/>
      </w:pPr>
      <w:r>
        <w:t>ARTICLE 3: COMPENSATION STRUCTURE</w:t>
      </w:r>
    </w:p>
    <w:p>
      <w:pPr>
        <w:pStyle w:val="Heading2"/>
      </w:pPr>
      <w:r>
        <w:t>3.1 Phase 1 &amp; 2: Monthly Retainer (Bootstrap-Friendly)</w:t>
      </w:r>
    </w:p>
    <w:p/>
    <w:p>
      <w:r>
        <w:rPr>
          <w:b/>
        </w:rPr>
        <w:t xml:space="preserve">Retainer Amount: </w:t>
      </w:r>
      <w:r>
        <w:t>$5,000/month</w:t>
      </w:r>
    </w:p>
    <w:p>
      <w:r>
        <w:rPr>
          <w:b/>
        </w:rPr>
        <w:t xml:space="preserve">Duration: </w:t>
      </w:r>
      <w:r>
        <w:t>February 2, 2026 through May 15, 2026 (approximately 3.5 months)</w:t>
      </w:r>
    </w:p>
    <w:p>
      <w:r>
        <w:rPr>
          <w:b/>
        </w:rPr>
        <w:t xml:space="preserve">Payment Schedule: </w:t>
      </w:r>
      <w:r>
        <w:t>First of each month (net 10 days)</w:t>
      </w:r>
    </w:p>
    <w:p>
      <w:r>
        <w:rPr>
          <w:b/>
        </w:rPr>
        <w:t xml:space="preserve">Total Phase 1-Early Phase 2: </w:t>
      </w:r>
      <w:r>
        <w:t>$17,500 (3.5 months × $5,000)</w:t>
      </w:r>
    </w:p>
    <w:p/>
    <w:p>
      <w:r>
        <w:t>Rationale: $5,000/month is affordable for ENDevo's bootstrap phase while fairly compensating Nermeen for full-time technical leadership.</w:t>
      </w:r>
    </w:p>
    <w:p>
      <w:pPr>
        <w:pStyle w:val="Heading2"/>
      </w:pPr>
      <w:r>
        <w:t>3.2 Transition Point: Revenue Launch (May 15, 2026 Projected)</w:t>
      </w:r>
    </w:p>
    <w:p/>
    <w:p>
      <w:r>
        <w:rPr>
          <w:b/>
        </w:rPr>
        <w:t xml:space="preserve">Trigger: </w:t>
      </w:r>
      <w:r>
        <w:t>When Company achieves $5,000+ MRR for any month</w:t>
      </w:r>
    </w:p>
    <w:p>
      <w:r>
        <w:rPr>
          <w:b/>
        </w:rPr>
        <w:t xml:space="preserve">Effective Date: </w:t>
      </w:r>
      <w:r>
        <w:t>First day of month AFTER revenue threshold is hit</w:t>
      </w:r>
    </w:p>
    <w:p>
      <w:r>
        <w:rPr>
          <w:b/>
        </w:rPr>
        <w:t xml:space="preserve">Notice: </w:t>
      </w:r>
      <w:r>
        <w:t>Owner will provide written notice within 5 business days of MRR threshold</w:t>
      </w:r>
    </w:p>
    <w:p>
      <w:pPr>
        <w:pStyle w:val="Heading2"/>
      </w:pPr>
      <w:r>
        <w:t>3.3 Phase 2+: Revenue Share (Post-Launch)</w:t>
      </w:r>
    </w:p>
    <w:p/>
    <w:p>
      <w:r>
        <w:rPr>
          <w:b/>
        </w:rPr>
        <w:t xml:space="preserve">After Revenue Launch: </w:t>
      </w:r>
      <w:r>
        <w:t>Monthly retainer ENDS</w:t>
      </w:r>
    </w:p>
    <w:p>
      <w:r>
        <w:rPr>
          <w:b/>
        </w:rPr>
        <w:t xml:space="preserve">Revenue Share Begins: </w:t>
      </w:r>
      <w:r>
        <w:t>Advisor receives 4% of monthly recurring revenue (MRR)</w:t>
      </w:r>
    </w:p>
    <w:p>
      <w:r>
        <w:rPr>
          <w:b/>
        </w:rPr>
        <w:t xml:space="preserve">MRR Definition: </w:t>
      </w:r>
      <w:r>
        <w:t>Gross monthly revenue from customer subscriptions (before refunds, churn, expenses)</w:t>
      </w:r>
    </w:p>
    <w:p>
      <w:r>
        <w:rPr>
          <w:b/>
        </w:rPr>
        <w:t xml:space="preserve">Example Calculation: </w:t>
      </w:r>
      <w:r/>
    </w:p>
    <w:p>
      <w:pPr>
        <w:pStyle w:val="ListBullet"/>
      </w:pPr>
      <w:r>
        <w:t>If Company has $25,000 MRR in June 2026:</w:t>
      </w:r>
    </w:p>
    <w:p>
      <w:pPr>
        <w:pStyle w:val="ListBullet2"/>
      </w:pPr>
      <w:r>
        <w:t>Advisor receives: $25,000 × 4% = $1,000</w:t>
      </w:r>
    </w:p>
    <w:p>
      <w:r>
        <w:rPr>
          <w:b/>
        </w:rPr>
        <w:t xml:space="preserve">If Company has $100,000 MRR in Q4 2026: </w:t>
      </w:r>
      <w:r/>
    </w:p>
    <w:p>
      <w:pPr>
        <w:pStyle w:val="ListBullet"/>
      </w:pPr>
      <w:r>
        <w:t>Advisor receives: $100,000 × 4% = $4,000/month</w:t>
      </w:r>
    </w:p>
    <w:p>
      <w:pPr>
        <w:pStyle w:val="Heading2"/>
      </w:pPr>
      <w:r>
        <w:t>3.4 Payment Terms (Revenue Share Phase)</w:t>
      </w:r>
    </w:p>
    <w:p>
      <w:r>
        <w:t>Payment Frequency: Monthly (within 10 days of month-end)</w:t>
      </w:r>
    </w:p>
    <w:p>
      <w:r>
        <w:t>Invoice: Advisor sends invoice on 1st of month for prior month's revenue share</w:t>
      </w:r>
    </w:p>
    <w:p>
      <w:r>
        <w:t>Accounting: Advisor's payments are classified as independent contractor expense</w:t>
      </w:r>
    </w:p>
    <w:p/>
    <w:p>
      <w:r>
        <w:t>Example Timeline:</w:t>
      </w:r>
    </w:p>
    <w:p>
      <w:pPr>
        <w:pStyle w:val="ListBullet"/>
      </w:pPr>
      <w:r>
        <w:t>June 2026: MRR = $25,000 | Advisor invoices July 1 | Payment due July 10</w:t>
      </w:r>
    </w:p>
    <w:p>
      <w:pPr>
        <w:pStyle w:val="ListBullet"/>
      </w:pPr>
      <w:r>
        <w:t>July 2026: MRR = $35,000 | Advisor invoices Aug 1 | Payment due Aug 10</w:t>
      </w:r>
    </w:p>
    <w:p>
      <w:pPr>
        <w:pStyle w:val="Heading2"/>
      </w:pPr>
      <w:r>
        <w:t>3.5 Annual Revenue Share Review</w:t>
      </w:r>
    </w:p>
    <w:p>
      <w:r>
        <w:t>Every January: Owner and Advisor will review revenue share percentage</w:t>
      </w:r>
    </w:p>
    <w:p/>
    <w:p>
      <w:r>
        <w:t>Adjustment Criteria:</w:t>
      </w:r>
    </w:p>
    <w:p>
      <w:pPr>
        <w:pStyle w:val="ListBullet"/>
      </w:pPr>
      <w:r>
        <w:t>If MRR ≥ $50K/month: Percentage may decrease to 3% (recognition of maturity)</w:t>
      </w:r>
    </w:p>
    <w:p>
      <w:pPr>
        <w:pStyle w:val="ListBullet"/>
      </w:pPr>
      <w:r>
        <w:t>If MRR ≤ $5K/month: Percentage may increase to 5% (support during dips)</w:t>
      </w:r>
    </w:p>
    <w:p>
      <w:pPr>
        <w:pStyle w:val="ListBullet"/>
      </w:pPr>
      <w:r>
        <w:t>Both parties must agree in writing to any change</w:t>
      </w:r>
    </w:p>
    <w:p>
      <w:pPr>
        <w:pStyle w:val="ListBullet"/>
      </w:pPr>
      <w:r>
        <w:t>New percentage effective January 1st following review</w:t>
      </w:r>
    </w:p>
    <w:p>
      <w:pPr>
        <w:pStyle w:val="Heading1"/>
      </w:pPr>
      <w:r>
        <w:t>ARTICLE 4: EQUITY CONSIDERATION</w:t>
      </w:r>
    </w:p>
    <w:p>
      <w:pPr>
        <w:pStyle w:val="Heading2"/>
      </w:pPr>
      <w:r>
        <w:t>4.1 Optional Equity Grant</w:t>
      </w:r>
    </w:p>
    <w:p/>
    <w:p>
      <w:r>
        <w:rPr>
          <w:b/>
        </w:rPr>
        <w:t xml:space="preserve">If Series A Funding: </w:t>
      </w:r>
      <w:r>
        <w:t>Owner may offer Advisor up to 2-3% equity (subject to vesting)</w:t>
      </w:r>
    </w:p>
    <w:p>
      <w:r>
        <w:rPr>
          <w:b/>
        </w:rPr>
        <w:t xml:space="preserve">Vesting Schedule: </w:t>
      </w:r>
      <w:r>
        <w:t>4-year vest, 1-year cliff (standard for technical founders)</w:t>
      </w:r>
    </w:p>
    <w:p>
      <w:r>
        <w:rPr>
          <w:b/>
        </w:rPr>
        <w:t xml:space="preserve">Strike Price: </w:t>
      </w:r>
      <w:r>
        <w:t>Fair Market Value at time of grant (per Series A valuation)</w:t>
      </w:r>
    </w:p>
    <w:p>
      <w:r>
        <w:rPr>
          <w:b/>
        </w:rPr>
        <w:t xml:space="preserve">Timing: </w:t>
      </w:r>
      <w:r>
        <w:t>If Series A closes before May 15, 2027, equity discussion happens immediately</w:t>
      </w:r>
    </w:p>
    <w:p>
      <w:pPr>
        <w:pStyle w:val="Heading2"/>
      </w:pPr>
      <w:r>
        <w:t>4.2 Revenue Share vs. Equity</w:t>
      </w:r>
    </w:p>
    <w:p>
      <w:r>
        <w:t>Revenue share (4%) is NOT diluted by equity grant.</w:t>
      </w:r>
    </w:p>
    <w:p>
      <w:r>
        <w:t>If Advisor receives 2% equity, they continue to receive 4% MRR share.</w:t>
      </w:r>
    </w:p>
    <w:p/>
    <w:p>
      <w:r>
        <w:t>Example (Year 2 scenario):</w:t>
      </w:r>
    </w:p>
    <w:p>
      <w:pPr>
        <w:pStyle w:val="ListBullet"/>
      </w:pPr>
      <w:r>
        <w:t>Advisor receives:</w:t>
      </w:r>
    </w:p>
    <w:p>
      <w:pPr>
        <w:pStyle w:val="ListBullet2"/>
      </w:pPr>
      <w:r>
        <w:t>✓ 4% of MRR (~$4,000/month @ $100K MRR)</w:t>
      </w:r>
    </w:p>
    <w:p>
      <w:pPr>
        <w:pStyle w:val="ListBullet2"/>
      </w:pPr>
      <w:r>
        <w:t>✓ 2% equity (if Series A closes)</w:t>
      </w:r>
    </w:p>
    <w:p>
      <w:pPr>
        <w:pStyle w:val="ListBullet2"/>
      </w:pPr>
      <w:r>
        <w:t>✓ Standard employee benefits (if advisor converts to employee)</w:t>
      </w:r>
    </w:p>
    <w:p>
      <w:pPr>
        <w:pStyle w:val="Heading2"/>
      </w:pPr>
      <w:r>
        <w:t>4.3 Series B or Later Funding</w:t>
      </w:r>
    </w:p>
    <w:p>
      <w:r>
        <w:t>If Company raises Series B+ before equity grant:</w:t>
      </w:r>
    </w:p>
    <w:p>
      <w:pPr>
        <w:pStyle w:val="ListBullet"/>
      </w:pPr>
      <w:r>
        <w:t>Revenue share (4%) continues unchanged</w:t>
      </w:r>
    </w:p>
    <w:p>
      <w:pPr>
        <w:pStyle w:val="ListBullet"/>
      </w:pPr>
      <w:r>
        <w:t>Advisor may choose to convert to employee with market salary + equity</w:t>
      </w:r>
    </w:p>
    <w:p>
      <w:pPr>
        <w:pStyle w:val="ListBullet"/>
      </w:pPr>
      <w:r>
        <w:t>Equity negotiation happens at that time</w:t>
      </w:r>
    </w:p>
    <w:p>
      <w:pPr>
        <w:pStyle w:val="Heading1"/>
      </w:pPr>
      <w:r>
        <w:t>ARTICLE 5: INTELLECTUAL PROPERTY</w:t>
      </w:r>
    </w:p>
    <w:p>
      <w:pPr>
        <w:pStyle w:val="Heading2"/>
      </w:pPr>
      <w:r>
        <w:t>5.1 Work Product Ownership</w:t>
      </w:r>
    </w:p>
    <w:p/>
    <w:p>
      <w:r>
        <w:rPr>
          <w:b/>
        </w:rPr>
        <w:t xml:space="preserve">All code, documentation, designs, and processes created during this engagement are </w:t>
      </w:r>
      <w:r>
        <w:t>100% owned by ENDevo Inc.</w:t>
      </w:r>
    </w:p>
    <w:p/>
    <w:p>
      <w:r>
        <w:rPr>
          <w:b/>
        </w:rPr>
        <w:t xml:space="preserve">This includes: </w:t>
      </w:r>
      <w:r>
        <w:t>Backend code, database schemas, infrastructure as code (Terraform), CI/CD pipelines, architectural decisions, design documents.</w:t>
      </w:r>
    </w:p>
    <w:p>
      <w:pPr>
        <w:pStyle w:val="Heading2"/>
      </w:pPr>
      <w:r>
        <w:t>5.2 Pre-Existing IP</w:t>
      </w:r>
    </w:p>
    <w:p>
      <w:r>
        <w:t>Advisor retains ownership of any pre-existing intellectual property brought to the engagement.</w:t>
      </w:r>
    </w:p>
    <w:p/>
    <w:p>
      <w:r>
        <w:t>If pre-existing IP is used:</w:t>
      </w:r>
    </w:p>
    <w:p>
      <w:pPr>
        <w:pStyle w:val="ListBullet"/>
      </w:pPr>
      <w:r>
        <w:t>Advisor grants Company a royalty-free, perpetual license to use it</w:t>
      </w:r>
    </w:p>
    <w:p>
      <w:pPr>
        <w:pStyle w:val="ListBullet"/>
      </w:pPr>
      <w:r>
        <w:t>Advisor identifies pre-existing IP in writing before use</w:t>
      </w:r>
    </w:p>
    <w:p>
      <w:pPr>
        <w:pStyle w:val="Heading2"/>
      </w:pPr>
      <w:r>
        <w:t>5.3 Open Source</w:t>
      </w:r>
    </w:p>
    <w:p>
      <w:r>
        <w:t>Any open-source libraries used must be approved by both parties.</w:t>
      </w:r>
    </w:p>
    <w:p>
      <w:r>
        <w:t>License compliance: All open-source code is properly attributed per license terms.</w:t>
      </w:r>
    </w:p>
    <w:p>
      <w:pPr>
        <w:pStyle w:val="Heading1"/>
      </w:pPr>
      <w:r>
        <w:t>ARTICLE 6: CONFIDENTIALITY &amp; NDA</w:t>
      </w:r>
    </w:p>
    <w:p>
      <w:pPr>
        <w:pStyle w:val="Heading2"/>
      </w:pPr>
      <w:r>
        <w:t>6.1 Confidential Information</w:t>
      </w:r>
    </w:p>
    <w:p>
      <w:r>
        <w:rPr>
          <w:b/>
        </w:rPr>
        <w:t xml:space="preserve">Confidential Information includes: </w:t>
      </w:r>
    </w:p>
    <w:p>
      <w:pPr>
        <w:pStyle w:val="ListBullet"/>
      </w:pPr>
      <w:r>
        <w:t>Business plans, financial projections, pricing models</w:t>
      </w:r>
    </w:p>
    <w:p>
      <w:pPr>
        <w:pStyle w:val="ListBullet"/>
      </w:pPr>
      <w:r>
        <w:t>Customer lists, contract terms, pilot results (e.g., Cigna 68% enrollment)</w:t>
      </w:r>
    </w:p>
    <w:p>
      <w:pPr>
        <w:pStyle w:val="ListBullet"/>
      </w:pPr>
      <w:r>
        <w:t>Technical architecture, database schema, security practices</w:t>
      </w:r>
    </w:p>
    <w:p>
      <w:pPr>
        <w:pStyle w:val="ListBullet"/>
      </w:pPr>
      <w:r>
        <w:t>Personal information of customers or employees</w:t>
      </w:r>
    </w:p>
    <w:p>
      <w:pPr>
        <w:pStyle w:val="Heading2"/>
      </w:pPr>
      <w:r>
        <w:t>6.2 Non-Disclosure Obligation</w:t>
      </w:r>
    </w:p>
    <w:p>
      <w:r>
        <w:t>Advisor agrees NOT to disclose confidential information to any third party without written consent.</w:t>
      </w:r>
    </w:p>
    <w:p/>
    <w:p>
      <w:r>
        <w:t>Exceptions (no consent needed):</w:t>
      </w:r>
    </w:p>
    <w:p>
      <w:pPr>
        <w:pStyle w:val="ListBullet"/>
      </w:pPr>
      <w:r>
        <w:t>Legally required (court order, subpoena)</w:t>
      </w:r>
    </w:p>
    <w:p>
      <w:pPr>
        <w:pStyle w:val="ListBullet"/>
      </w:pPr>
      <w:r>
        <w:t>Needed to enforce this agreement</w:t>
      </w:r>
    </w:p>
    <w:p>
      <w:pPr>
        <w:pStyle w:val="ListBullet"/>
      </w:pPr>
      <w:r>
        <w:t>Advice from attorney or accountant (under NDA)</w:t>
      </w:r>
    </w:p>
    <w:p>
      <w:pPr>
        <w:pStyle w:val="ListBullet"/>
      </w:pPr>
      <w:r>
        <w:t>Family/spouse (with confidentiality agreement)</w:t>
      </w:r>
    </w:p>
    <w:p>
      <w:pPr>
        <w:pStyle w:val="Heading2"/>
      </w:pPr>
      <w:r>
        <w:t>6.3 Duration</w:t>
      </w:r>
    </w:p>
    <w:p>
      <w:r>
        <w:t>Confidentiality obligations continue for 3 years AFTER engagement ends.</w:t>
      </w:r>
    </w:p>
    <w:p>
      <w:pPr>
        <w:pStyle w:val="Heading1"/>
      </w:pPr>
      <w:r>
        <w:t>ARTICLE 7: INDEPENDENT CONTRACTOR STATUS</w:t>
      </w:r>
    </w:p>
    <w:p>
      <w:r>
        <w:t>Advisor is an independent contractor, NOT an employee.</w:t>
      </w:r>
    </w:p>
    <w:p/>
    <w:p>
      <w:r>
        <w:t>This means:</w:t>
      </w:r>
    </w:p>
    <w:p>
      <w:pPr>
        <w:pStyle w:val="ListBullet"/>
      </w:pPr>
      <w:r>
        <w:t>Advisor is responsible for self-employment taxes (1099-NEC filing)</w:t>
      </w:r>
    </w:p>
    <w:p>
      <w:pPr>
        <w:pStyle w:val="ListBullet"/>
      </w:pPr>
      <w:r>
        <w:t>Advisor is NOT eligible for employee benefits (health insurance, 401k, etc.)</w:t>
      </w:r>
    </w:p>
    <w:p>
      <w:pPr>
        <w:pStyle w:val="ListBullet"/>
      </w:pPr>
      <w:r>
        <w:t>Advisor is responsible for workers compensation insurance</w:t>
      </w:r>
    </w:p>
    <w:p>
      <w:pPr>
        <w:pStyle w:val="ListBullet"/>
      </w:pPr>
      <w:r>
        <w:t>Advisor can work with other clients (no exclusive relationship)</w:t>
      </w:r>
    </w:p>
    <w:p>
      <w:pPr>
        <w:pStyle w:val="ListBullet"/>
      </w:pPr>
      <w:r>
        <w:t>Company does NOT provide tools, equipment, or office space (unless pre-arranged)</w:t>
      </w:r>
    </w:p>
    <w:p>
      <w:pPr>
        <w:pStyle w:val="ListBullet"/>
      </w:pPr>
      <w:r>
        <w:t>Company does NOT withhold income taxes</w:t>
      </w:r>
    </w:p>
    <w:p>
      <w:pPr>
        <w:pStyle w:val="Heading1"/>
      </w:pPr>
      <w:r>
        <w:t>ARTICLE 8: TERM &amp; TERMINATION</w:t>
      </w:r>
    </w:p>
    <w:p>
      <w:pPr>
        <w:pStyle w:val="Heading2"/>
      </w:pPr>
      <w:r>
        <w:t>8.1 Initial Term</w:t>
      </w:r>
    </w:p>
    <w:p>
      <w:r>
        <w:t>Start Date: February 2, 2026</w:t>
      </w:r>
    </w:p>
    <w:p>
      <w:r>
        <w:t>Initial Term: 6 months (through July 30, 2026)</w:t>
      </w:r>
    </w:p>
    <w:p>
      <w:r>
        <w:t>Covers: All three phases (MVP, Scale, Advanced)</w:t>
      </w:r>
    </w:p>
    <w:p>
      <w:pPr>
        <w:pStyle w:val="Heading2"/>
      </w:pPr>
      <w:r>
        <w:t>8.2 Renewal</w:t>
      </w:r>
    </w:p>
    <w:p>
      <w:r>
        <w:t>After initial 6 months: Either party can propose renewal for 12 months.</w:t>
      </w:r>
    </w:p>
    <w:p>
      <w:r>
        <w:t>Terms to be negotiated in good faith.</w:t>
      </w:r>
    </w:p>
    <w:p>
      <w:pPr>
        <w:pStyle w:val="Heading2"/>
      </w:pPr>
      <w:r>
        <w:t>8.3 Termination for Cause</w:t>
      </w:r>
    </w:p>
    <w:p>
      <w:r>
        <w:t>Either party can terminate immediately if:</w:t>
      </w:r>
    </w:p>
    <w:p>
      <w:pPr>
        <w:pStyle w:val="ListBullet"/>
      </w:pPr>
      <w:r>
        <w:t>The other party materially breaches this agreement and fails to cure within 10 days</w:t>
      </w:r>
    </w:p>
    <w:p>
      <w:pPr>
        <w:pStyle w:val="ListBullet"/>
      </w:pPr>
      <w:r>
        <w:t>The other party becomes insolvent or bankrupt</w:t>
      </w:r>
    </w:p>
    <w:p>
      <w:pPr>
        <w:pStyle w:val="ListBullet"/>
      </w:pPr>
      <w:r>
        <w:t>The other party is convicted of a felony or crime of moral turpitude</w:t>
      </w:r>
    </w:p>
    <w:p>
      <w:pPr>
        <w:pStyle w:val="Heading2"/>
      </w:pPr>
      <w:r>
        <w:t>8.4 Termination without Cause</w:t>
      </w:r>
    </w:p>
    <w:p/>
    <w:p>
      <w:r>
        <w:rPr>
          <w:b/>
        </w:rPr>
        <w:t xml:space="preserve">During Phase 1 (MVP): </w:t>
      </w:r>
      <w:r>
        <w:t>Either party may terminate with 2 weeks notice</w:t>
      </w:r>
    </w:p>
    <w:p>
      <w:r>
        <w:rPr>
          <w:b/>
        </w:rPr>
        <w:t xml:space="preserve">During Phase 2+ (Revenue Share): </w:t>
      </w:r>
      <w:r>
        <w:t>Either party may terminate with 30 days notice</w:t>
      </w:r>
    </w:p>
    <w:p>
      <w:r>
        <w:rPr>
          <w:b/>
        </w:rPr>
        <w:t xml:space="preserve">Final Payment: </w:t>
      </w:r>
      <w:r>
        <w:t>Upon termination, all accrued fees are paid within 10 days</w:t>
      </w:r>
    </w:p>
    <w:p>
      <w:pPr>
        <w:pStyle w:val="Heading2"/>
      </w:pPr>
      <w:r>
        <w:t>8.5 Survival</w:t>
      </w:r>
    </w:p>
    <w:p>
      <w:r>
        <w:t>The following sections survive termination:</w:t>
      </w:r>
    </w:p>
    <w:p>
      <w:pPr>
        <w:pStyle w:val="ListBullet"/>
      </w:pPr>
      <w:r>
        <w:t>Article 5 (Intellectual Property)</w:t>
      </w:r>
    </w:p>
    <w:p>
      <w:pPr>
        <w:pStyle w:val="ListBullet"/>
      </w:pPr>
      <w:r>
        <w:t>Article 6 (Confidentiality)</w:t>
      </w:r>
    </w:p>
    <w:p>
      <w:pPr>
        <w:pStyle w:val="ListBullet"/>
      </w:pPr>
      <w:r>
        <w:t>Article 10 (Liability &amp; Indemnification)</w:t>
      </w:r>
    </w:p>
    <w:p>
      <w:pPr>
        <w:pStyle w:val="ListBullet"/>
      </w:pPr>
      <w:r>
        <w:t>Article 11 (Dispute Resolution)</w:t>
      </w:r>
    </w:p>
    <w:p>
      <w:pPr>
        <w:pStyle w:val="Heading1"/>
      </w:pPr>
      <w:r>
        <w:t>ARTICLE 9: PERFORMANCE &amp; EXPECTATIONS</w:t>
      </w:r>
    </w:p>
    <w:p>
      <w:pPr>
        <w:pStyle w:val="Heading2"/>
      </w:pPr>
      <w:r>
        <w:t>9.1 Quality Standards</w:t>
      </w:r>
    </w:p>
    <w:p>
      <w:r>
        <w:t>Advisor agrees to deliver work meeting industry best practices:</w:t>
      </w:r>
    </w:p>
    <w:p>
      <w:pPr>
        <w:pStyle w:val="ListBullet"/>
      </w:pPr>
      <w:r>
        <w:t>Code quality: 80%+ test coverage, code reviews, security audit</w:t>
      </w:r>
    </w:p>
    <w:p>
      <w:pPr>
        <w:pStyle w:val="ListBullet"/>
      </w:pPr>
      <w:r>
        <w:t>Documentation: Architecture docs, README, deployment runbooks</w:t>
      </w:r>
    </w:p>
    <w:p>
      <w:pPr>
        <w:pStyle w:val="ListBullet"/>
      </w:pPr>
      <w:r>
        <w:t>Scalability: System designed to scale to 100K+ users without major refactor</w:t>
      </w:r>
    </w:p>
    <w:p>
      <w:pPr>
        <w:pStyle w:val="ListBullet"/>
      </w:pPr>
      <w:r>
        <w:t>Security: RLS enforcement, encryption, audit logging</w:t>
      </w:r>
    </w:p>
    <w:p>
      <w:pPr>
        <w:pStyle w:val="ListBullet"/>
      </w:pPr>
      <w:r>
        <w:t>Performance: API latency p95 &lt; 500ms, uptime &gt; 99.5%</w:t>
      </w:r>
    </w:p>
    <w:p>
      <w:pPr>
        <w:pStyle w:val="Heading2"/>
      </w:pPr>
      <w:r>
        <w:t>9.2 Communication &amp; Meetings</w:t>
      </w:r>
    </w:p>
    <w:p>
      <w:r>
        <w:t>Weekly sync with Owner: 1 hour (Tuesday at [TIME TBD])</w:t>
      </w:r>
    </w:p>
    <w:p>
      <w:r>
        <w:t>Ad-hoc communication: Slack for urgent issues</w:t>
      </w:r>
    </w:p>
    <w:p>
      <w:r>
        <w:t>Monthly review: Progress against milestones + next month planning</w:t>
      </w:r>
    </w:p>
    <w:p>
      <w:pPr>
        <w:pStyle w:val="Heading2"/>
      </w:pPr>
      <w:r>
        <w:t>9.3 Flexibility &amp; Adjustments</w:t>
      </w:r>
    </w:p>
    <w:p>
      <w:r>
        <w:t>If unforeseen circumstances arise (e.g., critical bug, customer issue):</w:t>
      </w:r>
    </w:p>
    <w:p>
      <w:pPr>
        <w:pStyle w:val="ListBullet"/>
      </w:pPr>
      <w:r>
        <w:t>Hours may flex up temporarily</w:t>
      </w:r>
    </w:p>
    <w:p>
      <w:pPr>
        <w:pStyle w:val="ListBullet"/>
      </w:pPr>
      <w:r>
        <w:t>Advisor will communicate availability constraints immediately</w:t>
      </w:r>
    </w:p>
    <w:p>
      <w:pPr>
        <w:pStyle w:val="ListBullet"/>
      </w:pPr>
      <w:r>
        <w:t>Owner and Advisor will collaboratively adjust scope if needed</w:t>
      </w:r>
    </w:p>
    <w:p>
      <w:pPr>
        <w:pStyle w:val="Heading1"/>
      </w:pPr>
      <w:r>
        <w:t>ARTICLE 10: LIABILITY &amp; INDEMNIFICATION</w:t>
      </w:r>
    </w:p>
    <w:p>
      <w:pPr>
        <w:pStyle w:val="Heading2"/>
      </w:pPr>
      <w:r>
        <w:t>10.1 Limitation of Liability</w:t>
      </w:r>
    </w:p>
    <w:p/>
    <w:p>
      <w:r>
        <w:rPr>
          <w:b/>
        </w:rPr>
        <w:t xml:space="preserve">Advisor's total liability is capped at: </w:t>
      </w:r>
      <w:r>
        <w:t>Sum of all payments received under this agreement</w:t>
      </w:r>
    </w:p>
    <w:p>
      <w:r>
        <w:rPr>
          <w:b/>
        </w:rPr>
        <w:t xml:space="preserve">Specifically, Advisor is NOT liable for: </w:t>
      </w:r>
      <w:r/>
    </w:p>
    <w:p>
      <w:pPr>
        <w:pStyle w:val="ListBullet"/>
      </w:pPr>
      <w:r>
        <w:t>Lost revenue or business opportunities</w:t>
      </w:r>
    </w:p>
    <w:p>
      <w:pPr>
        <w:pStyle w:val="ListBullet"/>
      </w:pPr>
      <w:r>
        <w:t>Reputational damage</w:t>
      </w:r>
    </w:p>
    <w:p>
      <w:pPr>
        <w:pStyle w:val="ListBullet"/>
      </w:pPr>
      <w:r>
        <w:t>Indirect or consequential damages</w:t>
      </w:r>
    </w:p>
    <w:p>
      <w:pPr>
        <w:pStyle w:val="ListBullet"/>
      </w:pPr>
      <w:r>
        <w:t>Customer dissatisfaction (unless due to Advisor's gross negligence)</w:t>
      </w:r>
    </w:p>
    <w:p>
      <w:pPr>
        <w:pStyle w:val="Heading2"/>
      </w:pPr>
      <w:r>
        <w:t>10.2 Indemnification</w:t>
      </w:r>
    </w:p>
    <w:p>
      <w:r>
        <w:t>Advisor indemnifies Company against third-party claims that:</w:t>
      </w:r>
    </w:p>
    <w:p>
      <w:pPr>
        <w:pStyle w:val="ListBullet"/>
      </w:pPr>
      <w:r>
        <w:t>Code created by Advisor violates intellectual property rights</w:t>
      </w:r>
    </w:p>
    <w:p>
      <w:pPr>
        <w:pStyle w:val="ListBullet"/>
      </w:pPr>
      <w:r>
        <w:t>Advisor has breached this agreement or confidentiality obligations</w:t>
      </w:r>
    </w:p>
    <w:p>
      <w:pPr>
        <w:pStyle w:val="Heading2"/>
      </w:pPr>
      <w:r>
        <w:t>10.3 Insurance</w:t>
      </w:r>
    </w:p>
    <w:p>
      <w:r>
        <w:t>Advisor is responsible for professional liability insurance (recommended $1M coverage).</w:t>
      </w:r>
    </w:p>
    <w:p>
      <w:r>
        <w:t>Company may require proof of insurance if requested.</w:t>
      </w:r>
    </w:p>
    <w:p>
      <w:pPr>
        <w:pStyle w:val="Heading1"/>
      </w:pPr>
      <w:r>
        <w:t>ARTICLE 11: DISPUTE RESOLUTION</w:t>
      </w:r>
    </w:p>
    <w:p>
      <w:pPr>
        <w:pStyle w:val="Heading2"/>
      </w:pPr>
      <w:r>
        <w:t>11.1 Good Faith Negotiation</w:t>
      </w:r>
    </w:p>
    <w:p>
      <w:r>
        <w:t>If a dispute arises, parties will first attempt to resolve in good faith.</w:t>
      </w:r>
    </w:p>
    <w:p>
      <w:r>
        <w:t>Owner and Advisor will meet (in person or via video) within 5 business days.</w:t>
      </w:r>
    </w:p>
    <w:p>
      <w:pPr>
        <w:pStyle w:val="Heading2"/>
      </w:pPr>
      <w:r>
        <w:t>11.2 Mediation</w:t>
      </w:r>
    </w:p>
    <w:p>
      <w:r>
        <w:t>If negotiation fails, either party may request mediation.</w:t>
      </w:r>
    </w:p>
    <w:p>
      <w:r>
        <w:t>Mediator will be mutually agreed upon (or JAMS mediator if no agreement).</w:t>
      </w:r>
    </w:p>
    <w:p>
      <w:r>
        <w:t>Cost split 50/50 between parties.</w:t>
      </w:r>
    </w:p>
    <w:p>
      <w:pPr>
        <w:pStyle w:val="Heading2"/>
      </w:pPr>
      <w:r>
        <w:t>11.3 Arbitration</w:t>
      </w:r>
    </w:p>
    <w:p>
      <w:r>
        <w:t>If mediation fails, dispute will be resolved via binding arbitration.</w:t>
      </w:r>
    </w:p>
    <w:p>
      <w:r>
        <w:t>Arbitration rules: JAMS Streamlined Arbitration Rules (optional)</w:t>
      </w:r>
    </w:p>
    <w:p>
      <w:r>
        <w:t>Venue: San Jose, California (or mutually agreed location)</w:t>
      </w:r>
    </w:p>
    <w:p/>
    <w:p>
      <w:r>
        <w:t>Either party can pursue legal action for emergency injunctive relief (IP theft, breach of confidentiality).</w:t>
      </w:r>
    </w:p>
    <w:p>
      <w:pPr>
        <w:pStyle w:val="Heading2"/>
      </w:pPr>
      <w:r>
        <w:t>11.4 Attorney Fees</w:t>
      </w:r>
    </w:p>
    <w:p>
      <w:r>
        <w:t>Prevailing party in arbitration/litigation may recover reasonable attorney fees.</w:t>
      </w:r>
    </w:p>
    <w:p>
      <w:pPr>
        <w:pStyle w:val="Heading1"/>
      </w:pPr>
      <w:r>
        <w:t>ARTICLE 12: MISCELLANEOUS</w:t>
      </w:r>
    </w:p>
    <w:p>
      <w:pPr>
        <w:pStyle w:val="Heading2"/>
      </w:pPr>
      <w:r>
        <w:t>12.1 Governing Law</w:t>
      </w:r>
    </w:p>
    <w:p>
      <w:r>
        <w:t>This agreement is governed by the laws of California (or Delaware if Company incorporates in DE).</w:t>
      </w:r>
    </w:p>
    <w:p>
      <w:pPr>
        <w:pStyle w:val="Heading2"/>
      </w:pPr>
      <w:r>
        <w:t>12.2 Entire Agreement</w:t>
      </w:r>
    </w:p>
    <w:p>
      <w:r>
        <w:t>This agreement constitutes the entire agreement between parties.</w:t>
      </w:r>
    </w:p>
    <w:p>
      <w:r>
        <w:t>Supersedes all prior conversations, emails, and agreements.</w:t>
      </w:r>
    </w:p>
    <w:p>
      <w:r>
        <w:t>Amendments must be in writing and signed by both parties.</w:t>
      </w:r>
    </w:p>
    <w:p>
      <w:pPr>
        <w:pStyle w:val="Heading2"/>
      </w:pPr>
      <w:r>
        <w:t>12.3 Severability</w:t>
      </w:r>
    </w:p>
    <w:p>
      <w:r>
        <w:t>If any provision is found unenforceable, remaining provisions remain in effect.</w:t>
      </w:r>
    </w:p>
    <w:p>
      <w:pPr>
        <w:pStyle w:val="Heading2"/>
      </w:pPr>
      <w:r>
        <w:t>12.4 Notices</w:t>
      </w:r>
    </w:p>
    <w:p>
      <w:r>
        <w:t>All notices must be in writing and sent to:</w:t>
      </w:r>
    </w:p>
    <w:p/>
    <w:p>
      <w:pPr>
        <w:pStyle w:val="ListBullet"/>
      </w:pPr>
      <w:r>
        <w:t>For Owner (Niki Weiss):</w:t>
      </w:r>
    </w:p>
    <w:p>
      <w:pPr>
        <w:pStyle w:val="ListBullet2"/>
      </w:pPr>
      <w:r>
        <w:t>Email: niki@endevo.life</w:t>
      </w:r>
    </w:p>
    <w:p>
      <w:pPr>
        <w:pStyle w:val="ListBullet2"/>
      </w:pPr>
      <w:r>
        <w:t>Address: [TO BE PROVIDED]</w:t>
      </w:r>
    </w:p>
    <w:p/>
    <w:p>
      <w:pPr>
        <w:pStyle w:val="ListBullet"/>
      </w:pPr>
      <w:r>
        <w:t>For Advisor (Nermeen Nasim):</w:t>
      </w:r>
    </w:p>
    <w:p>
      <w:pPr>
        <w:pStyle w:val="ListBullet2"/>
      </w:pPr>
      <w:r>
        <w:t>Email: nermeen@bluesproutagency.com</w:t>
      </w:r>
    </w:p>
    <w:p>
      <w:pPr>
        <w:pStyle w:val="ListBullet2"/>
      </w:pPr>
      <w:r>
        <w:t>Address: [TO BE PROVIDED]</w:t>
      </w:r>
    </w:p>
    <w:p>
      <w:pPr>
        <w:pStyle w:val="Heading2"/>
      </w:pPr>
      <w:r>
        <w:t>12.5 Assignment</w:t>
      </w:r>
    </w:p>
    <w:p>
      <w:r>
        <w:t>Advisor may NOT assign this agreement without written consent.</w:t>
      </w:r>
    </w:p>
    <w:p>
      <w:r>
        <w:t>Company may assign to a successor entity (e.g., if acquired).</w:t>
      </w:r>
    </w:p>
    <w:p>
      <w:pPr>
        <w:pStyle w:val="Heading2"/>
      </w:pPr>
      <w:r>
        <w:t>12.6 No Partnership</w:t>
      </w:r>
    </w:p>
    <w:p>
      <w:r>
        <w:t>This agreement does NOT create a partnership, joint venture, or employment relationship.</w:t>
      </w:r>
    </w:p>
    <w:p>
      <w:r>
        <w:t>Advisor is an independent contractor.</w:t>
      </w:r>
    </w:p>
    <w:p>
      <w:pPr>
        <w:pStyle w:val="Heading1"/>
      </w:pPr>
      <w:r>
        <w:t>ARTICLE 13: SPECIAL PROVISIONS</w:t>
      </w:r>
    </w:p>
    <w:p>
      <w:pPr>
        <w:pStyle w:val="Heading2"/>
      </w:pPr>
      <w:r>
        <w:t>13.1 Milestone-Based Bonus (Optional)</w:t>
      </w:r>
    </w:p>
    <w:p>
      <w:r>
        <w:t>If Advisor chooses to accept equity later, consider the following bonus structure: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Completion Date</w:t>
            </w:r>
          </w:p>
        </w:tc>
        <w:tc>
          <w:tcPr>
            <w:tcW w:type="dxa" w:w="2880"/>
          </w:tcPr>
          <w:p>
            <w:r>
              <w:t>Bonus (if equity grant declined)</w:t>
            </w:r>
          </w:p>
        </w:tc>
      </w:tr>
      <w:tr>
        <w:tc>
          <w:tcPr>
            <w:tcW w:type="dxa" w:w="2880"/>
          </w:tcPr>
          <w:p>
            <w:r>
              <w:t>MVP deployed to production</w:t>
            </w:r>
          </w:p>
        </w:tc>
        <w:tc>
          <w:tcPr>
            <w:tcW w:type="dxa" w:w="2880"/>
          </w:tcPr>
          <w:p>
            <w:r>
              <w:t>March 30, 2026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  <w:tr>
        <w:tc>
          <w:tcPr>
            <w:tcW w:type="dxa" w:w="2880"/>
          </w:tcPr>
          <w:p>
            <w:r>
              <w:t>First paying customer onboarded</w:t>
            </w:r>
          </w:p>
        </w:tc>
        <w:tc>
          <w:tcPr>
            <w:tcW w:type="dxa" w:w="2880"/>
          </w:tcPr>
          <w:p>
            <w:r>
              <w:t>April 15, 2026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  <w:tr>
        <w:tc>
          <w:tcPr>
            <w:tcW w:type="dxa" w:w="2880"/>
          </w:tcPr>
          <w:p>
            <w:r>
              <w:t>3 paying customers + $10K MRR</w:t>
            </w:r>
          </w:p>
        </w:tc>
        <w:tc>
          <w:tcPr>
            <w:tcW w:type="dxa" w:w="2880"/>
          </w:tcPr>
          <w:p>
            <w:r>
              <w:t>May 15, 2026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</w:tr>
    </w:tbl>
    <w:p/>
    <w:p>
      <w:r>
        <w:t>Bonuses are optional incentives. Revenue share is guaranteed.</w:t>
      </w:r>
    </w:p>
    <w:p>
      <w:pPr>
        <w:pStyle w:val="Heading2"/>
      </w:pPr>
      <w:r>
        <w:t>13.2 Advisor as Technical Ambassador</w:t>
      </w:r>
    </w:p>
    <w:p>
      <w:r>
        <w:t>Advisor may represent ENDevo at conferences, podcasts, and speaking engagements.</w:t>
      </w:r>
    </w:p>
    <w:p>
      <w:r>
        <w:t>Time spent on approved activities counts toward weekly hours.</w:t>
      </w:r>
    </w:p>
    <w:p>
      <w:r>
        <w:t>Travel and speaking fees covered by Company.</w:t>
      </w:r>
    </w:p>
    <w:p>
      <w:pPr>
        <w:pStyle w:val="Heading2"/>
      </w:pPr>
      <w:r>
        <w:t>13.3 Post-Exit Clause</w:t>
      </w:r>
    </w:p>
    <w:p>
      <w:r>
        <w:t>If ENDevo is acquired or achieves exit event:</w:t>
      </w:r>
    </w:p>
    <w:p/>
    <w:p>
      <w:pPr>
        <w:pStyle w:val="ListBullet"/>
      </w:pPr>
      <w:r>
        <w:t>Advisor's revenue share (4%) continues for 12 months post-exit OR</w:t>
      </w:r>
    </w:p>
    <w:p>
      <w:pPr>
        <w:pStyle w:val="ListBullet"/>
      </w:pPr>
      <w:r>
        <w:t>Lump sum equivalent to 24 months of average revenue share (whichever is greater)</w:t>
      </w:r>
    </w:p>
    <w:p/>
    <w:p>
      <w:r>
        <w:t>Example: If acquired for $50M at average $40K MRR:</w:t>
      </w:r>
    </w:p>
    <w:p>
      <w:pPr>
        <w:pStyle w:val="ListBullet2"/>
      </w:pPr>
      <w:r>
        <w:t>Advisor receives: 24 × ($40K × 4%) = $38,400 (OR continues 4% share for 12 months)</w:t>
      </w:r>
    </w:p>
    <w:p>
      <w:r>
        <w:br w:type="page"/>
      </w:r>
    </w:p>
    <w:p>
      <w:pPr>
        <w:pStyle w:val="Heading1"/>
      </w:pPr>
      <w:r>
        <w:t>SIGNATURES</w:t>
      </w:r>
    </w:p>
    <w:p>
      <w:r>
        <w:t>IN WITNESS WHEREOF, the parties have executed this Agreement as of the Effective Date.</w:t>
      </w:r>
    </w:p>
    <w:p/>
    <w:p/>
    <w:p>
      <w:r>
        <w:t>FOR ENDEVO INC.:</w:t>
      </w:r>
    </w:p>
    <w:p/>
    <w:p>
      <w:r>
        <w:t>__________________________________________________</w:t>
      </w:r>
    </w:p>
    <w:p>
      <w:r>
        <w:t>Niki Weiss, Founder &amp; CEO</w:t>
      </w:r>
    </w:p>
    <w:p/>
    <w:p>
      <w:r>
        <w:t>Signature: ________________________</w:t>
      </w:r>
    </w:p>
    <w:p>
      <w:r>
        <w:t>Date: ________________________</w:t>
      </w:r>
    </w:p>
    <w:p/>
    <w:p/>
    <w:p/>
    <w:p>
      <w:r>
        <w:t>FOR NERMEEN NASIM (Independent Contractor):</w:t>
      </w:r>
    </w:p>
    <w:p/>
    <w:p>
      <w:r>
        <w:t>__________________________________________________</w:t>
      </w:r>
    </w:p>
    <w:p>
      <w:r>
        <w:t>Nermeen Nasim</w:t>
      </w:r>
    </w:p>
    <w:p/>
    <w:p>
      <w:r>
        <w:t>Signature: ________________________</w:t>
      </w:r>
    </w:p>
    <w:p>
      <w:r>
        <w:t>Date: ________________________</w:t>
      </w:r>
    </w:p>
    <w:p/>
    <w:p/>
    <w:p>
      <w:r>
        <w:t>Social Security / Tax ID: ________________________</w:t>
      </w:r>
    </w:p>
    <w:p>
      <w:r>
        <w:t>Business Address: ________________________</w:t>
      </w:r>
    </w:p>
    <w:p>
      <w:r>
        <w:br w:type="page"/>
      </w:r>
    </w:p>
    <w:p>
      <w:pPr>
        <w:pStyle w:val="Heading1"/>
      </w:pPr>
      <w:r>
        <w:t>APPENDIX A: PAYMENT SCHEDULE</w:t>
      </w:r>
    </w:p>
    <w:p>
      <w:r>
        <w:t>Phase 1 Monthly Retainer ($5,000/month):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February 2-28, 2026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March 1, 2026 (net 10)</w:t>
            </w:r>
          </w:p>
        </w:tc>
        <w:tc>
          <w:tcPr>
            <w:tcW w:type="dxa" w:w="2160"/>
          </w:tcPr>
          <w:p>
            <w:r>
              <w:t>Month 1</w:t>
            </w:r>
          </w:p>
        </w:tc>
      </w:tr>
      <w:tr>
        <w:tc>
          <w:tcPr>
            <w:tcW w:type="dxa" w:w="2160"/>
          </w:tcPr>
          <w:p>
            <w:r>
              <w:t>March 1-31, 2026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April 1, 2026 (net 10)</w:t>
            </w:r>
          </w:p>
        </w:tc>
        <w:tc>
          <w:tcPr>
            <w:tcW w:type="dxa" w:w="2160"/>
          </w:tcPr>
          <w:p>
            <w:r>
              <w:t>Month 2</w:t>
            </w:r>
          </w:p>
        </w:tc>
      </w:tr>
      <w:tr>
        <w:tc>
          <w:tcPr>
            <w:tcW w:type="dxa" w:w="2160"/>
          </w:tcPr>
          <w:p>
            <w:r>
              <w:t>April 1-30, 2026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May 1, 2026 (net 10)</w:t>
            </w:r>
          </w:p>
        </w:tc>
        <w:tc>
          <w:tcPr>
            <w:tcW w:type="dxa" w:w="2160"/>
          </w:tcPr>
          <w:p>
            <w:r>
              <w:t>Month 3</w:t>
            </w:r>
          </w:p>
        </w:tc>
      </w:tr>
      <w:tr>
        <w:tc>
          <w:tcPr>
            <w:tcW w:type="dxa" w:w="2160"/>
          </w:tcPr>
          <w:p>
            <w:r>
              <w:t>May 1-15, 2026</w:t>
            </w:r>
          </w:p>
        </w:tc>
        <w:tc>
          <w:tcPr>
            <w:tcW w:type="dxa" w:w="2160"/>
          </w:tcPr>
          <w:p>
            <w:r>
              <w:t>$2,500 (prorated)</w:t>
            </w:r>
          </w:p>
        </w:tc>
        <w:tc>
          <w:tcPr>
            <w:tcW w:type="dxa" w:w="2160"/>
          </w:tcPr>
          <w:p>
            <w:r>
              <w:t>May 16, 2026 (net 10)</w:t>
            </w:r>
          </w:p>
        </w:tc>
        <w:tc>
          <w:tcPr>
            <w:tcW w:type="dxa" w:w="2160"/>
          </w:tcPr>
          <w:p>
            <w:r>
              <w:t>Month 4 (partial)</w:t>
            </w:r>
          </w:p>
        </w:tc>
      </w:tr>
      <w:tr>
        <w:tc>
          <w:tcPr>
            <w:tcW w:type="dxa" w:w="2160"/>
          </w:tcPr>
          <w:p>
            <w:r>
              <w:t>TOTAL Phase 1</w:t>
            </w:r>
          </w:p>
        </w:tc>
        <w:tc>
          <w:tcPr>
            <w:tcW w:type="dxa" w:w="2160"/>
          </w:tcPr>
          <w:p>
            <w:r>
              <w:t>$17,500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Through Revenue Launch</w:t>
            </w:r>
          </w:p>
        </w:tc>
      </w:tr>
    </w:tbl>
    <w:p/>
    <w:p>
      <w:r>
        <w:t>Revenue Share Phase (Starting June 2026):</w:t>
      </w:r>
    </w:p>
    <w:p>
      <w:r>
        <w:t>4% of Company's monthly recurring revenue (MRR)</w:t>
      </w:r>
    </w:p>
    <w:p>
      <w:r>
        <w:t>Paid within 10 days of month-end invoice</w:t>
      </w:r>
    </w:p>
    <w:p/>
    <w:p>
      <w:r>
        <w:t>Example MRR Projections: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Projected MRR</w:t>
            </w:r>
          </w:p>
        </w:tc>
        <w:tc>
          <w:tcPr>
            <w:tcW w:type="dxa" w:w="2160"/>
          </w:tcPr>
          <w:p>
            <w:r>
              <w:t>Advisor 4% Share</w:t>
            </w:r>
          </w:p>
        </w:tc>
        <w:tc>
          <w:tcPr>
            <w:tcW w:type="dxa" w:w="2160"/>
          </w:tcPr>
          <w:p>
            <w:r>
              <w:t>Payment Due</w:t>
            </w:r>
          </w:p>
        </w:tc>
      </w:tr>
      <w:tr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$25,000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July 10</w:t>
            </w:r>
          </w:p>
        </w:tc>
      </w:tr>
      <w:tr>
        <w:tc>
          <w:tcPr>
            <w:tcW w:type="dxa" w:w="2160"/>
          </w:tcPr>
          <w:p>
            <w:r>
              <w:t>July 2026</w:t>
            </w:r>
          </w:p>
        </w:tc>
        <w:tc>
          <w:tcPr>
            <w:tcW w:type="dxa" w:w="2160"/>
          </w:tcPr>
          <w:p>
            <w:r>
              <w:t>$35,000</w:t>
            </w:r>
          </w:p>
        </w:tc>
        <w:tc>
          <w:tcPr>
            <w:tcW w:type="dxa" w:w="2160"/>
          </w:tcPr>
          <w:p>
            <w:r>
              <w:t>$1,400</w:t>
            </w:r>
          </w:p>
        </w:tc>
        <w:tc>
          <w:tcPr>
            <w:tcW w:type="dxa" w:w="2160"/>
          </w:tcPr>
          <w:p>
            <w:r>
              <w:t>August 10</w:t>
            </w:r>
          </w:p>
        </w:tc>
      </w:tr>
      <w:tr>
        <w:tc>
          <w:tcPr>
            <w:tcW w:type="dxa" w:w="2160"/>
          </w:tcPr>
          <w:p>
            <w:r>
              <w:t>August 2026</w:t>
            </w:r>
          </w:p>
        </w:tc>
        <w:tc>
          <w:tcPr>
            <w:tcW w:type="dxa" w:w="2160"/>
          </w:tcPr>
          <w:p>
            <w:r>
              <w:t>$45,000</w:t>
            </w:r>
          </w:p>
        </w:tc>
        <w:tc>
          <w:tcPr>
            <w:tcW w:type="dxa" w:w="2160"/>
          </w:tcPr>
          <w:p>
            <w:r>
              <w:t>$1,800</w:t>
            </w:r>
          </w:p>
        </w:tc>
        <w:tc>
          <w:tcPr>
            <w:tcW w:type="dxa" w:w="2160"/>
          </w:tcPr>
          <w:p>
            <w:r>
              <w:t>September 10</w:t>
            </w:r>
          </w:p>
        </w:tc>
      </w:tr>
      <w:tr>
        <w:tc>
          <w:tcPr>
            <w:tcW w:type="dxa" w:w="2160"/>
          </w:tcPr>
          <w:p>
            <w:r>
              <w:t>September 2026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$2,000</w:t>
            </w:r>
          </w:p>
        </w:tc>
        <w:tc>
          <w:tcPr>
            <w:tcW w:type="dxa" w:w="2160"/>
          </w:tcPr>
          <w:p>
            <w:r>
              <w:t>October 10</w:t>
            </w:r>
          </w:p>
        </w:tc>
      </w:tr>
    </w:tbl>
    <w:p>
      <w:r>
        <w:br w:type="page"/>
      </w:r>
    </w:p>
    <w:p>
      <w:pPr>
        <w:pStyle w:val="Heading1"/>
      </w:pPr>
      <w:r>
        <w:t>APPENDIX B: DETAILED SCOPE OF WORK</w:t>
      </w:r>
    </w:p>
    <w:p>
      <w:pPr>
        <w:pStyle w:val="Heading2"/>
      </w:pPr>
      <w:r>
        <w:t>Phase 1: MVP Development (Feb 2 - Mar 30, 2026)</w:t>
      </w:r>
    </w:p>
    <w:p>
      <w:pPr>
        <w:pStyle w:val="Heading3"/>
      </w:pPr>
      <w:r>
        <w:t>Week 1-2 (Infrastructure Setup)</w:t>
      </w:r>
    </w:p>
    <w:p>
      <w:pPr>
        <w:pStyle w:val="ListBullet"/>
      </w:pPr>
      <w:r>
        <w:t>AWS account creation + startup credits</w:t>
      </w:r>
    </w:p>
    <w:p>
      <w:pPr>
        <w:pStyle w:val="ListBullet"/>
      </w:pPr>
      <w:r>
        <w:t>GitHub organization + 3 repositories</w:t>
      </w:r>
    </w:p>
    <w:p>
      <w:pPr>
        <w:pStyle w:val="ListBullet"/>
      </w:pPr>
      <w:r>
        <w:t>RDS PostgreSQL + ElastiCache Redis provisioning</w:t>
      </w:r>
    </w:p>
    <w:p>
      <w:pPr>
        <w:pStyle w:val="ListBullet"/>
      </w:pPr>
      <w:r>
        <w:t>Cognito User Pool configuration</w:t>
      </w:r>
    </w:p>
    <w:p>
      <w:pPr>
        <w:pStyle w:val="ListBullet"/>
      </w:pPr>
      <w:r>
        <w:t>CloudWatch monitoring + alarms</w:t>
      </w:r>
    </w:p>
    <w:p>
      <w:pPr>
        <w:pStyle w:val="Heading3"/>
      </w:pPr>
      <w:r>
        <w:t>Week 2-3 (Database Design)</w:t>
      </w:r>
    </w:p>
    <w:p>
      <w:pPr>
        <w:pStyle w:val="ListBullet"/>
      </w:pPr>
      <w:r>
        <w:t>Schema design (9 tables)</w:t>
      </w:r>
    </w:p>
    <w:p>
      <w:pPr>
        <w:pStyle w:val="ListBullet"/>
      </w:pPr>
      <w:r>
        <w:t>Row-Level Security (RLS) policies implementation</w:t>
      </w:r>
    </w:p>
    <w:p>
      <w:pPr>
        <w:pStyle w:val="ListBullet"/>
      </w:pPr>
      <w:r>
        <w:t>Migration system setup</w:t>
      </w:r>
    </w:p>
    <w:p>
      <w:pPr>
        <w:pStyle w:val="ListBullet"/>
      </w:pPr>
      <w:r>
        <w:t>Seed data loading</w:t>
      </w:r>
    </w:p>
    <w:p>
      <w:pPr>
        <w:pStyle w:val="Heading3"/>
      </w:pPr>
      <w:r>
        <w:t>Week 3-5 (Backend Development)</w:t>
      </w:r>
    </w:p>
    <w:p>
      <w:pPr>
        <w:pStyle w:val="ListBullet"/>
      </w:pPr>
      <w:r>
        <w:t>Auth endpoints (signup, login, refresh, me)</w:t>
      </w:r>
    </w:p>
    <w:p>
      <w:pPr>
        <w:pStyle w:val="ListBullet"/>
      </w:pPr>
      <w:r>
        <w:t>Assessment engine (questionnaire → risk assessment)</w:t>
      </w:r>
    </w:p>
    <w:p>
      <w:pPr>
        <w:pStyle w:val="ListBullet"/>
      </w:pPr>
      <w:r>
        <w:t>Learning module endpoints</w:t>
      </w:r>
    </w:p>
    <w:p>
      <w:pPr>
        <w:pStyle w:val="ListBullet"/>
      </w:pPr>
      <w:r>
        <w:t>Dashboard APIs (employee + HR views)</w:t>
      </w:r>
    </w:p>
    <w:p>
      <w:pPr>
        <w:pStyle w:val="ListBullet"/>
      </w:pPr>
      <w:r>
        <w:t>Email service integration (SES)</w:t>
      </w:r>
    </w:p>
    <w:p>
      <w:pPr>
        <w:pStyle w:val="ListBullet"/>
      </w:pPr>
      <w:r>
        <w:t>Unit + integration tests (80%+ coverage)</w:t>
      </w:r>
    </w:p>
    <w:p>
      <w:pPr>
        <w:pStyle w:val="Heading3"/>
      </w:pPr>
      <w:r>
        <w:t>Week 6-7 (Quality Assurance)</w:t>
      </w:r>
    </w:p>
    <w:p>
      <w:pPr>
        <w:pStyle w:val="ListBullet"/>
      </w:pPr>
      <w:r>
        <w:t>Performance testing (1000 concurrent users)</w:t>
      </w:r>
    </w:p>
    <w:p>
      <w:pPr>
        <w:pStyle w:val="ListBullet"/>
      </w:pPr>
      <w:r>
        <w:t>Security audit (OWASP Top 10)</w:t>
      </w:r>
    </w:p>
    <w:p>
      <w:pPr>
        <w:pStyle w:val="ListBullet"/>
      </w:pPr>
      <w:r>
        <w:t>Load testing + optimization</w:t>
      </w:r>
    </w:p>
    <w:p>
      <w:pPr>
        <w:pStyle w:val="ListBullet"/>
      </w:pPr>
      <w:r>
        <w:t>RLS policy validation</w:t>
      </w:r>
    </w:p>
    <w:p>
      <w:pPr>
        <w:pStyle w:val="Heading3"/>
      </w:pPr>
      <w:r>
        <w:t>Week 8 (Production Deployment)</w:t>
      </w:r>
    </w:p>
    <w:p>
      <w:pPr>
        <w:pStyle w:val="ListBullet"/>
      </w:pPr>
      <w:r>
        <w:t>Staging environment deployment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Documentation + team training</w:t>
      </w:r>
    </w:p>
    <w:p>
      <w:pPr>
        <w:pStyle w:val="ListBullet"/>
      </w:pPr>
      <w:r>
        <w:t>First customer onboarding support</w:t>
      </w:r>
    </w:p>
    <w:p>
      <w:pPr>
        <w:pStyle w:val="Heading2"/>
      </w:pPr>
      <w:r>
        <w:t>Phase 2: Scale &amp; Enterprise Features (Apr 1 - May 15, 2026)</w:t>
      </w:r>
    </w:p>
    <w:p>
      <w:pPr>
        <w:pStyle w:val="ListBullet"/>
      </w:pPr>
      <w:r>
        <w:t>HRIS integrations (Workday, BambooHR, SAP SuccessFactors)</w:t>
      </w:r>
    </w:p>
    <w:p>
      <w:pPr>
        <w:pStyle w:val="ListBullet"/>
      </w:pPr>
      <w:r>
        <w:t>Bulk user enrollment (CSV import)</w:t>
      </w:r>
    </w:p>
    <w:p>
      <w:pPr>
        <w:pStyle w:val="ListBullet"/>
      </w:pPr>
      <w:r>
        <w:t>SSO/SAML implementation (Okta, Azure AD)</w:t>
      </w:r>
    </w:p>
    <w:p>
      <w:pPr>
        <w:pStyle w:val="ListBullet"/>
      </w:pPr>
      <w:r>
        <w:t>Advanced reporting + data exports</w:t>
      </w:r>
    </w:p>
    <w:p>
      <w:pPr>
        <w:pStyle w:val="ListBullet"/>
      </w:pPr>
      <w:r>
        <w:t>Organization branding customization</w:t>
      </w:r>
    </w:p>
    <w:p>
      <w:pPr>
        <w:pStyle w:val="ListBullet"/>
      </w:pPr>
      <w:r>
        <w:t>Customer API + webhooks</w:t>
      </w:r>
    </w:p>
    <w:p>
      <w:pPr>
        <w:pStyle w:val="ListBullet"/>
      </w:pPr>
      <w:r>
        <w:t>SOC 2 Type II audit preparation</w:t>
      </w:r>
    </w:p>
    <w:p>
      <w:pPr>
        <w:pStyle w:val="Heading2"/>
      </w:pPr>
      <w:r>
        <w:t>Phase 3: Advanced Features (Jun 1 - Jul 30, 2026)</w:t>
      </w:r>
    </w:p>
    <w:p>
      <w:pPr>
        <w:pStyle w:val="ListBullet"/>
      </w:pPr>
      <w:r>
        <w:t>Claude API integration (smart assessment → checklist)</w:t>
      </w:r>
    </w:p>
    <w:p>
      <w:pPr>
        <w:pStyle w:val="ListBullet"/>
      </w:pPr>
      <w:r>
        <w:t>Multi-language support (i18n)</w:t>
      </w:r>
    </w:p>
    <w:p>
      <w:pPr>
        <w:pStyle w:val="ListBullet"/>
      </w:pPr>
      <w:r>
        <w:t>PWA + mobile optimization</w:t>
      </w:r>
    </w:p>
    <w:p>
      <w:pPr>
        <w:pStyle w:val="ListBullet"/>
      </w:pPr>
      <w:r>
        <w:t>Advanced analytics + ML</w:t>
      </w:r>
    </w:p>
    <w:p>
      <w:pPr>
        <w:pStyle w:val="ListBullet"/>
      </w:pPr>
      <w:r>
        <w:t>White-label portal</w:t>
      </w:r>
    </w:p>
    <w:p/>
    <w:p>
      <w:r>
        <w:t>NOTE: If customer requirements change, scope may be adjusted via change order (mutual written agreement).</w:t>
      </w:r>
    </w:p>
    <w:p>
      <w:r>
        <w:br w:type="page"/>
      </w:r>
    </w:p>
    <w:p>
      <w:pPr>
        <w:pStyle w:val="Heading1"/>
      </w:pPr>
      <w:r>
        <w:t>APPENDIX C: EQUITY DISCUSSION FRAMEWORK (If Applicable)</w:t>
      </w:r>
    </w:p>
    <w:p>
      <w:r>
        <w:t>If Series A Funding or Equity Grant Discussion Occurs:</w:t>
      </w:r>
    </w:p>
    <w:p>
      <w:r>
        <w:rPr>
          <w:b/>
        </w:rPr>
        <w:t xml:space="preserve">Equity Percentage: </w:t>
      </w:r>
      <w:r>
        <w:t>2-3% (to be negotiated)</w:t>
      </w:r>
    </w:p>
    <w:p>
      <w:r>
        <w:rPr>
          <w:b/>
        </w:rPr>
        <w:t xml:space="preserve">Vesting Schedule: </w:t>
      </w:r>
      <w:r>
        <w:t>4-year vest, 1-year cliff (standard for technical founders)</w:t>
      </w:r>
    </w:p>
    <w:p>
      <w:r>
        <w:rPr>
          <w:b/>
        </w:rPr>
        <w:t xml:space="preserve">Strike Price: </w:t>
      </w:r>
      <w:r>
        <w:t>Fair Market Value at time of grant</w:t>
      </w:r>
    </w:p>
    <w:p>
      <w:r>
        <w:rPr>
          <w:b/>
        </w:rPr>
        <w:t xml:space="preserve">Acceleration: </w:t>
      </w:r>
      <w:r>
        <w:t>Upon change of control (M&amp;A), 50% acceleration of unvested shares</w:t>
      </w:r>
    </w:p>
    <w:p>
      <w:r>
        <w:rPr>
          <w:b/>
        </w:rPr>
        <w:t xml:space="preserve">Board Seat: </w:t>
      </w:r>
      <w:r>
        <w:t>Advisor may discuss board observation rights</w:t>
      </w:r>
    </w:p>
    <w:p>
      <w:r>
        <w:rPr>
          <w:b/>
        </w:rPr>
        <w:t xml:space="preserve">Employee Conversion: </w:t>
      </w:r>
      <w:r>
        <w:t>If equity granted, Advisor may later convert to full-time employee with salary</w:t>
      </w:r>
    </w:p>
    <w:p/>
    <w:p/>
    <w:p>
      <w:r>
        <w:t>THIS IS NOT A GUARANTEE OF EQUITY. This is framework for future discussion if circumstances warrant.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