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43A5" w14:textId="77777777" w:rsidR="00D85A08" w:rsidRDefault="00D85A0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Future Improvements</w:t>
      </w:r>
    </w:p>
    <w:p w14:paraId="59DAC8C3" w14:textId="77777777" w:rsidR="00D85A08" w:rsidRDefault="00D85A0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August 27, 2026</w:t>
      </w:r>
    </w:p>
    <w:p w14:paraId="3954C70B" w14:textId="77777777" w:rsidR="00D85A08" w:rsidRDefault="00D85A0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8:46 PM</w:t>
      </w:r>
    </w:p>
    <w:p w14:paraId="0464C18C" w14:textId="77777777" w:rsidR="00D85A08" w:rsidRDefault="00D85A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61D574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365F91"/>
          <w:sz w:val="22"/>
          <w:szCs w:val="22"/>
        </w:rPr>
      </w:pPr>
      <w:r>
        <w:rPr>
          <w:rFonts w:ascii="Calibri" w:hAnsi="Calibri" w:cs="Calibri"/>
          <w:b/>
          <w:bCs/>
          <w:color w:val="365F91"/>
          <w:sz w:val="22"/>
          <w:szCs w:val="22"/>
        </w:rPr>
        <w:t>Document Purpose</w:t>
      </w:r>
    </w:p>
    <w:p w14:paraId="4C468274" w14:textId="77777777" w:rsidR="00D85A08" w:rsidRDefault="00D85A08">
      <w:pPr>
        <w:pStyle w:val="NormalWeb"/>
        <w:spacing w:before="0" w:beforeAutospacing="0" w:after="12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This register consolidates future improvements, deferred capabilities, follow-on subsystems, and technical opportunities. Its purpose is to prevent useful ideas from disappearing into the chronological Engineering Journal.</w:t>
      </w:r>
    </w:p>
    <w:p w14:paraId="480788A3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365F91"/>
          <w:sz w:val="22"/>
          <w:szCs w:val="22"/>
        </w:rPr>
      </w:pPr>
      <w:r>
        <w:rPr>
          <w:rFonts w:ascii="Calibri" w:hAnsi="Calibri" w:cs="Calibri"/>
          <w:b/>
          <w:bCs/>
          <w:color w:val="365F91"/>
          <w:sz w:val="22"/>
          <w:szCs w:val="22"/>
        </w:rPr>
        <w:t>How to Use This Register</w:t>
      </w:r>
    </w:p>
    <w:p w14:paraId="6411AFA7" w14:textId="77777777" w:rsidR="00D85A08" w:rsidRDefault="00D85A08">
      <w:pPr>
        <w:pStyle w:val="NormalWeb"/>
        <w:spacing w:before="0" w:beforeAutospacing="0" w:after="12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Items are grouped by architectural area rather than by the date they appeared in the Journal. Each item records why it matters and the likely </w:t>
      </w:r>
      <w:r>
        <w:rPr>
          <w:rFonts w:ascii="Calibri" w:hAnsi="Calibri" w:cs="Calibri"/>
          <w:color w:val="000000"/>
          <w:sz w:val="22"/>
          <w:szCs w:val="22"/>
        </w:rPr>
        <w:t>future home. Before implementation, the current canonical AlphaOmega documentation must be reviewed and the item must be re-evaluated against the architecture that exists at that time.</w:t>
      </w:r>
    </w:p>
    <w:p w14:paraId="158C7CBA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365F91"/>
          <w:sz w:val="22"/>
          <w:szCs w:val="22"/>
        </w:rPr>
      </w:pPr>
      <w:r>
        <w:rPr>
          <w:rFonts w:ascii="Calibri" w:hAnsi="Calibri" w:cs="Calibri"/>
          <w:b/>
          <w:bCs/>
          <w:color w:val="365F91"/>
          <w:sz w:val="22"/>
          <w:szCs w:val="22"/>
        </w:rPr>
        <w:t>1. Master Future Improvement Register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6"/>
        <w:gridCol w:w="4413"/>
        <w:gridCol w:w="2227"/>
        <w:gridCol w:w="2014"/>
      </w:tblGrid>
      <w:tr w:rsidR="00000000" w14:paraId="42B481D9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A341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9A3F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79797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797979"/>
                <w:sz w:val="22"/>
                <w:szCs w:val="22"/>
              </w:rPr>
              <w:t>ID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A341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5187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79797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797979"/>
                <w:sz w:val="22"/>
                <w:szCs w:val="22"/>
              </w:rPr>
              <w:t>Improvement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A341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9961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79797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797979"/>
                <w:sz w:val="22"/>
                <w:szCs w:val="22"/>
              </w:rPr>
              <w:t>Area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A341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F643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79797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797979"/>
                <w:sz w:val="22"/>
                <w:szCs w:val="22"/>
              </w:rPr>
              <w:t>Horizon</w:t>
            </w:r>
          </w:p>
        </w:tc>
      </w:tr>
      <w:tr w:rsidR="00000000" w14:paraId="5DBED4E9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642F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F-01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2DA9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Production synchronization request/application layer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9825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Operationalization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929A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Near-term / Lab 8</w:t>
            </w:r>
          </w:p>
        </w:tc>
      </w:tr>
      <w:tr w:rsidR="00000000" w14:paraId="7F30E58E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ADD2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F-02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036B0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Minimal synchronization user interface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DAC3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Operationalization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43DB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Near-term / Lab 8</w:t>
            </w:r>
          </w:p>
        </w:tc>
      </w:tr>
      <w:tr w:rsidR="00000000" w14:paraId="6A74AE04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E36DD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F-03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A020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Scheduling and background synchronization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C014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B13D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302281D8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44AEF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F-04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9EA1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Broad repository population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96477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FF18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controlled rollout</w:t>
            </w:r>
          </w:p>
        </w:tc>
      </w:tr>
      <w:tr w:rsidR="00000000" w14:paraId="54342183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DC0A3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F-05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0EAE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DELETE synchronization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04A4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Synchronization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ED6B2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design</w:t>
            </w:r>
          </w:p>
        </w:tc>
      </w:tr>
      <w:tr w:rsidR="00000000" w14:paraId="19C130F7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68BD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F-06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F642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Legacy Microsoft Office extraction (.doc, .xls, .ppt)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172F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58A2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43A1FE71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03BD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F-07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36A5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Additional extraction formats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4366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F88F6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115E4709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B0C7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F-08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B16A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 technology evaluation (Apache Tika or alternative)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0556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</w:t>
            </w:r>
          </w:p>
        </w:tc>
        <w:tc>
          <w:tcPr>
            <w:tcW w:w="21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89F9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decision</w:t>
            </w:r>
          </w:p>
        </w:tc>
      </w:tr>
      <w:tr w:rsidR="00000000" w14:paraId="01CE6ACB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7D11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F-09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CB79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Unsupported-file-type registry</w:t>
            </w:r>
          </w:p>
        </w:tc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B249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 / Observability</w:t>
            </w:r>
          </w:p>
        </w:tc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6C84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6A17FB22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3B22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F-10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67C2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Binary/image duplicate identification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5C9E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Knowledge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Curation / Quality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602FD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106E0B41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A31C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F-11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369E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Broader duplicate detection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A2332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 / Quality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2665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476026AB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26DB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F-12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6F82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Domain curation and assignment tooling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0B4D6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Curation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A65D8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459028B1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8414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lastRenderedPageBreak/>
              <w:t>F-13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ADA58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AI-assisted hierarchy and repository organization suggestions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B4DAC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Curation / AIOS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8F15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677B71A1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5F91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F-14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1218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Metadata completion and repository quality workflows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FE06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Curation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E1B22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68E91782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31EE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F-15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66A7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Chunking pipeline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E9D6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Derived Knowledge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8B01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lab</w:t>
            </w:r>
          </w:p>
        </w:tc>
      </w:tr>
      <w:tr w:rsidR="00000000" w14:paraId="6DC36298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7C14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F-16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F701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Embedding pipeline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C7A1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Derived Knowledge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4029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lab</w:t>
            </w:r>
          </w:p>
        </w:tc>
      </w:tr>
      <w:tr w:rsidR="00000000" w14:paraId="0A79AA95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A4CF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F-17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7815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Vector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search / semantic retrieval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A9A5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FAF0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lab</w:t>
            </w:r>
          </w:p>
        </w:tc>
      </w:tr>
      <w:tr w:rsidR="00000000" w14:paraId="444360D8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91DB3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F-18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93929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Retrieval-Augmented Generation (RAG)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B7AF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8C32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lab</w:t>
            </w:r>
          </w:p>
        </w:tc>
      </w:tr>
      <w:tr w:rsidR="00000000" w14:paraId="33BF2E01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728B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F-19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1E40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 layer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68BF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4098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385595F9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54B6C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F-20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F5B98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Agentic AI / AIOS integration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B4ED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AIOS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BEC5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74D95005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7544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F-21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964C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Additional Sources of Truth / connectors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B6A6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Connector / Translator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EAC6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5A27B23E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FD72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F-22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D355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Connector scaling for many source types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49D2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Connector / Translator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DCAB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when needed</w:t>
            </w:r>
          </w:p>
        </w:tc>
      </w:tr>
      <w:tr w:rsidR="00000000" w14:paraId="42FD1929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DCF7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F-23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D598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Retry queues and resilient replay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F901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/ Reliability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6ACB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303773C8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B1F9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F-24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B7108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Parallel processing and worker management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2323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/ Scalability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D155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54D019E0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6191B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F-25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F7C4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Performance optimization and benchmarking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EECFF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/ Scalability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CDE1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2B685E67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D8F3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F-26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B75C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Operational observability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28D3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BF5D3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  <w:tr w:rsidR="00000000" w14:paraId="69FC0E11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A5CA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F-27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228B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Source scope navigation / selection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10CC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Application / UI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75459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Near-term</w:t>
            </w:r>
          </w:p>
        </w:tc>
      </w:tr>
      <w:tr w:rsidR="00000000" w14:paraId="7881793D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B49C6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F-28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03F4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Pipeline contract principle made explicit in canonical documentation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790C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A1F5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maintenance</w:t>
            </w:r>
          </w:p>
        </w:tc>
      </w:tr>
      <w:tr w:rsidR="00000000" w14:paraId="5D57605D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15062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F-29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AF7A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Reconcile orchestration module location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B1BC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/ Repository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4986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maintenance</w:t>
            </w:r>
          </w:p>
        </w:tc>
      </w:tr>
      <w:tr w:rsidR="00000000" w14:paraId="5C572F1C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8AB6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F-30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752DB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Clarify Translator failure wording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66C90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AD05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maintenance</w:t>
            </w:r>
          </w:p>
        </w:tc>
      </w:tr>
      <w:tr w:rsidR="00000000" w14:paraId="104732DF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7240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F-31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EE1F1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Retire or label stale test assumptions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2BD3E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Testing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6D2C3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Maintenance</w:t>
            </w:r>
          </w:p>
        </w:tc>
      </w:tr>
      <w:tr w:rsidR="00000000" w14:paraId="2F1E539A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761A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F-32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A89A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Production-like state-agnostic E2E test pattern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EBB4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Testing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3923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Ongoing standard</w:t>
            </w:r>
          </w:p>
        </w:tc>
      </w:tr>
      <w:tr w:rsidR="00000000" w14:paraId="5517119A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7A172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F-33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8308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Test harness distinction between bounded /children scopes and full /delta connectors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CB803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Testing / Connector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1B20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Maintenance</w:t>
            </w:r>
          </w:p>
        </w:tc>
      </w:tr>
      <w:tr w:rsidR="00000000" w14:paraId="6134CBEC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B2C1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F-34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764D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Canonical timestamp normalization utility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3868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Shared Infrastructure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C083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Maintenance</w:t>
            </w:r>
          </w:p>
        </w:tc>
      </w:tr>
      <w:tr w:rsidR="00000000" w14:paraId="1D39EF91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800CA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F-35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30E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Source-specific change-signal strategy research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28B30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Discovery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 / Connector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9504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 research</w:t>
            </w:r>
          </w:p>
        </w:tc>
      </w:tr>
      <w:tr w:rsidR="00000000" w14:paraId="2C5ED0F3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A8487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lastRenderedPageBreak/>
              <w:t>F-36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2112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Formal Lab completion-report pattern</w:t>
            </w:r>
          </w:p>
        </w:tc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9811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/ Process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9A9A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Ongoing standard</w:t>
            </w:r>
          </w:p>
        </w:tc>
      </w:tr>
      <w:tr w:rsidR="00000000" w14:paraId="3B6E273E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2CD3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F-37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7E07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Canonical-document initialization and conflict protocol</w:t>
            </w:r>
          </w:p>
        </w:tc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3B307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/ Process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FFD8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Ongoing standard</w:t>
            </w:r>
          </w:p>
        </w:tc>
      </w:tr>
      <w:tr w:rsidR="00000000" w14:paraId="36BE3B96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4516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F-38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1310F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Request Rejection Persistence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EB0F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Operationalization</w:t>
            </w:r>
          </w:p>
        </w:tc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56E5E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Near Term/Lab 8</w:t>
            </w:r>
          </w:p>
        </w:tc>
      </w:tr>
      <w:tr w:rsidR="00000000" w14:paraId="77A5DDEB" w14:textId="77777777">
        <w:trPr>
          <w:divId w:val="155412176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0C89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F-39</w:t>
            </w:r>
          </w:p>
        </w:tc>
        <w:tc>
          <w:tcPr>
            <w:tcW w:w="66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B9C8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Job Scheduling</w:t>
            </w:r>
          </w:p>
        </w:tc>
        <w:tc>
          <w:tcPr>
            <w:tcW w:w="2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F9FF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8627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Future</w:t>
            </w:r>
          </w:p>
        </w:tc>
      </w:tr>
    </w:tbl>
    <w:p w14:paraId="313F8239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365F91"/>
          <w:sz w:val="22"/>
          <w:szCs w:val="22"/>
        </w:rPr>
      </w:pPr>
      <w:r>
        <w:rPr>
          <w:rFonts w:ascii="Calibri" w:hAnsi="Calibri" w:cs="Calibri"/>
          <w:b/>
          <w:bCs/>
          <w:color w:val="365F91"/>
          <w:sz w:val="22"/>
          <w:szCs w:val="22"/>
        </w:rPr>
        <w:t>2. Detailed Improvement Notes</w:t>
      </w:r>
    </w:p>
    <w:p w14:paraId="6C73964D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F-01 Production synchronization request/application layer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1"/>
        <w:gridCol w:w="7669"/>
      </w:tblGrid>
      <w:tr w:rsidR="00000000" w14:paraId="1AE63E08" w14:textId="77777777">
        <w:trPr>
          <w:divId w:val="65306950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A00C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BE4D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Operationalization | Near-term / Lab 8</w:t>
            </w:r>
          </w:p>
        </w:tc>
      </w:tr>
      <w:tr w:rsidR="00000000" w14:paraId="1C4D86B6" w14:textId="77777777">
        <w:trPr>
          <w:divId w:val="65306950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E6888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118CA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Define the application contract above SynchronizationOrchestrator so a caller can specify Source, Scope, recursive behavior, and Synchronize without constructing test infrastructure.</w:t>
            </w:r>
          </w:p>
        </w:tc>
      </w:tr>
      <w:tr w:rsidR="00000000" w14:paraId="5614888D" w14:textId="77777777">
        <w:trPr>
          <w:divId w:val="653069505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5B5C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A8B7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The Orchestrator remains the pipeline binder. Do not create a second pipeline engine.</w:t>
            </w:r>
          </w:p>
        </w:tc>
      </w:tr>
    </w:tbl>
    <w:p w14:paraId="6CC777E4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F-02 Minimal synchronization user interface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11"/>
        <w:gridCol w:w="7329"/>
      </w:tblGrid>
      <w:tr w:rsidR="00000000" w14:paraId="3685C348" w14:textId="77777777">
        <w:trPr>
          <w:divId w:val="131664632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F4A8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B220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Operationalization | Near-term / Lab 8</w:t>
            </w:r>
          </w:p>
        </w:tc>
      </w:tr>
      <w:tr w:rsidR="00000000" w14:paraId="082E3388" w14:textId="77777777">
        <w:trPr>
          <w:divId w:val="131664632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17F7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4D28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Provide a simple source/scope selector, recursive control, Synchronize action, and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standardized result/status display.</w:t>
            </w:r>
          </w:p>
        </w:tc>
      </w:tr>
      <w:tr w:rsidR="00000000" w14:paraId="50E9E1E6" w14:textId="77777777">
        <w:trPr>
          <w:divId w:val="1316646323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BA6B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B8E30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GUI follows the request/application contract; do not begin by embedding pipeline logic in the UI.</w:t>
            </w:r>
          </w:p>
        </w:tc>
      </w:tr>
    </w:tbl>
    <w:p w14:paraId="378C1F7A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F-03 Scheduling and background synchronization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5"/>
        <w:gridCol w:w="7295"/>
      </w:tblGrid>
      <w:tr w:rsidR="00000000" w14:paraId="605ED9CD" w14:textId="77777777">
        <w:trPr>
          <w:divId w:val="155210864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06CE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7DBA3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| Future</w:t>
            </w:r>
          </w:p>
        </w:tc>
      </w:tr>
      <w:tr w:rsidR="00000000" w14:paraId="7926A352" w14:textId="77777777">
        <w:trPr>
          <w:divId w:val="155210864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6824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510B2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Allow synchronization to run without manual invocation, including recurring schedules and background execution.</w:t>
            </w:r>
          </w:p>
        </w:tc>
      </w:tr>
      <w:tr w:rsidR="00000000" w14:paraId="4CE67063" w14:textId="77777777">
        <w:trPr>
          <w:divId w:val="1552108641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54892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1EB3D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May eventually require scheduler, job queue, worker management, retry policy, and concurrency controls.</w:t>
            </w:r>
          </w:p>
        </w:tc>
      </w:tr>
    </w:tbl>
    <w:p w14:paraId="3F7256D0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F-04 Broad repository population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29"/>
        <w:gridCol w:w="7411"/>
      </w:tblGrid>
      <w:tr w:rsidR="00000000" w14:paraId="0146724C" w14:textId="77777777">
        <w:trPr>
          <w:divId w:val="171381053"/>
        </w:trPr>
        <w:tc>
          <w:tcPr>
            <w:tcW w:w="2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9430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D38B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| Future controlled rollout</w:t>
            </w:r>
          </w:p>
        </w:tc>
      </w:tr>
      <w:tr w:rsidR="00000000" w14:paraId="0821BC54" w14:textId="77777777">
        <w:trPr>
          <w:divId w:val="171381053"/>
        </w:trPr>
        <w:tc>
          <w:tcPr>
            <w:tcW w:w="2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B739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AE91F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Populate the canonical repository beyond controlled test scopes after production request controls and operational safeguards exist.</w:t>
            </w:r>
          </w:p>
        </w:tc>
      </w:tr>
      <w:tr w:rsidR="00000000" w14:paraId="721D4BF1" w14:textId="77777777">
        <w:trPr>
          <w:divId w:val="171381053"/>
        </w:trPr>
        <w:tc>
          <w:tcPr>
            <w:tcW w:w="2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29AB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562D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Not a test side effect. Scope selection and observability should precede broad ingestion.</w:t>
            </w:r>
          </w:p>
        </w:tc>
      </w:tr>
    </w:tbl>
    <w:p w14:paraId="68F7424D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F-05 DELETE synchronization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36"/>
        <w:gridCol w:w="7304"/>
      </w:tblGrid>
      <w:tr w:rsidR="00000000" w14:paraId="72DE0FB9" w14:textId="77777777">
        <w:trPr>
          <w:divId w:val="524557172"/>
        </w:trPr>
        <w:tc>
          <w:tcPr>
            <w:tcW w:w="2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7779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399B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Synchronization | Future design</w:t>
            </w:r>
          </w:p>
        </w:tc>
      </w:tr>
      <w:tr w:rsidR="00000000" w14:paraId="436AD688" w14:textId="77777777">
        <w:trPr>
          <w:divId w:val="524557172"/>
        </w:trPr>
        <w:tc>
          <w:tcPr>
            <w:tcW w:w="2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E162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4D06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Detect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and safely represent source deletions and any related restored/deleted lifecycle behavior.</w:t>
            </w:r>
          </w:p>
        </w:tc>
      </w:tr>
      <w:tr w:rsidR="00000000" w14:paraId="16143DBD" w14:textId="77777777">
        <w:trPr>
          <w:divId w:val="524557172"/>
        </w:trPr>
        <w:tc>
          <w:tcPr>
            <w:tcW w:w="2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4E93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3933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Explicitly excluded from Lab 7. Requires careful canonical semantics and Sync History rules before implementation.</w:t>
            </w:r>
          </w:p>
        </w:tc>
      </w:tr>
    </w:tbl>
    <w:p w14:paraId="21914671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F-06 Legacy Microsoft Office extraction (.doc, .xls, .ppt)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45"/>
        <w:gridCol w:w="7095"/>
      </w:tblGrid>
      <w:tr w:rsidR="00000000" w14:paraId="6A64EE58" w14:textId="77777777">
        <w:trPr>
          <w:divId w:val="1311982684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481B2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8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470A5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 | Future</w:t>
            </w:r>
          </w:p>
        </w:tc>
      </w:tr>
      <w:tr w:rsidR="00000000" w14:paraId="50B182B3" w14:textId="77777777">
        <w:trPr>
          <w:divId w:val="1311982684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18830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8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67944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Extend extraction coverage for substantial legacy document inventory observed in OneDrive.</w:t>
            </w:r>
          </w:p>
        </w:tc>
      </w:tr>
      <w:tr w:rsidR="00000000" w14:paraId="01C5889F" w14:textId="77777777">
        <w:trPr>
          <w:divId w:val="1311982684"/>
        </w:trPr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FEB5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8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51C9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Keep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format support extensible; avoid format-specific leakage into orchestration.</w:t>
            </w:r>
          </w:p>
        </w:tc>
      </w:tr>
    </w:tbl>
    <w:p w14:paraId="1216FA1B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F-07 Additional extraction formats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0"/>
        <w:gridCol w:w="7520"/>
      </w:tblGrid>
      <w:tr w:rsidR="00000000" w14:paraId="087A757E" w14:textId="77777777">
        <w:trPr>
          <w:divId w:val="2078018197"/>
        </w:trPr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85961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DB7DE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 | Future</w:t>
            </w:r>
          </w:p>
        </w:tc>
      </w:tr>
      <w:tr w:rsidR="00000000" w14:paraId="22C611E2" w14:textId="77777777">
        <w:trPr>
          <w:divId w:val="2078018197"/>
        </w:trPr>
        <w:tc>
          <w:tcPr>
            <w:tcW w:w="2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A236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E502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Evaluate other unsupported knowledge-bearing formats found in the full OneDrive inventory, including .pptx, .rtf, .xlsm and other evidence-backed formats.</w:t>
            </w:r>
          </w:p>
        </w:tc>
      </w:tr>
      <w:tr w:rsidR="00000000" w14:paraId="427A0616" w14:textId="77777777">
        <w:trPr>
          <w:divId w:val="2078018197"/>
        </w:trPr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A8CE8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860E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Prioritize by actual corpus value and prevalence rather than extension count alone.</w:t>
            </w:r>
          </w:p>
        </w:tc>
      </w:tr>
    </w:tbl>
    <w:p w14:paraId="5E484C1D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F-08 Extraction technology evaluation (Apache Tika or alternative)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3"/>
        <w:gridCol w:w="7407"/>
      </w:tblGrid>
      <w:tr w:rsidR="00000000" w14:paraId="6FF001DF" w14:textId="77777777">
        <w:trPr>
          <w:divId w:val="1069840525"/>
        </w:trPr>
        <w:tc>
          <w:tcPr>
            <w:tcW w:w="2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CD16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19056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 | Future decision</w:t>
            </w:r>
          </w:p>
        </w:tc>
      </w:tr>
      <w:tr w:rsidR="00000000" w14:paraId="694FF823" w14:textId="77777777">
        <w:trPr>
          <w:divId w:val="1069840525"/>
        </w:trPr>
        <w:tc>
          <w:tcPr>
            <w:tcW w:w="2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84CB9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311D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Evaluate whether a mature extraction framework should supplement or replace parts of the current format-specific extractor stack.</w:t>
            </w:r>
          </w:p>
        </w:tc>
      </w:tr>
      <w:tr w:rsidR="00000000" w14:paraId="22AD76B7" w14:textId="77777777">
        <w:trPr>
          <w:divId w:val="1069840525"/>
        </w:trPr>
        <w:tc>
          <w:tcPr>
            <w:tcW w:w="22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F35C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FC03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No technology adoption decision was made in Lab 7.</w:t>
            </w:r>
          </w:p>
        </w:tc>
      </w:tr>
    </w:tbl>
    <w:p w14:paraId="73B00C90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F-09 Unsupported-file-type registry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6"/>
        <w:gridCol w:w="7444"/>
      </w:tblGrid>
      <w:tr w:rsidR="00000000" w14:paraId="671790CB" w14:textId="77777777">
        <w:trPr>
          <w:divId w:val="18507707"/>
        </w:trPr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EF87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EE7BF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 / Observability | Future</w:t>
            </w:r>
          </w:p>
        </w:tc>
      </w:tr>
      <w:tr w:rsidR="00000000" w14:paraId="6A121AA8" w14:textId="77777777">
        <w:trPr>
          <w:divId w:val="18507707"/>
        </w:trPr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AAD9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8143C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Record one evidence-backed entry for each newly encountered unsupported extension so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extraction gaps become a measurable backlog.</w:t>
            </w:r>
          </w:p>
        </w:tc>
      </w:tr>
      <w:tr w:rsidR="00000000" w14:paraId="339A3AEF" w14:textId="77777777">
        <w:trPr>
          <w:divId w:val="18507707"/>
        </w:trPr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95986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4FE3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Schema, ownership, lifecycle, and whether this is operational or derived data remain to be designed.</w:t>
            </w:r>
          </w:p>
        </w:tc>
      </w:tr>
    </w:tbl>
    <w:p w14:paraId="3ED3B552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F-10 Binary/image duplicate identification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0"/>
        <w:gridCol w:w="7270"/>
      </w:tblGrid>
      <w:tr w:rsidR="00000000" w14:paraId="309C070D" w14:textId="77777777">
        <w:trPr>
          <w:divId w:val="1778791250"/>
        </w:trPr>
        <w:tc>
          <w:tcPr>
            <w:tcW w:w="2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DFE41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EA71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Curation / Quality | Future</w:t>
            </w:r>
          </w:p>
        </w:tc>
      </w:tr>
      <w:tr w:rsidR="00000000" w14:paraId="362B05B6" w14:textId="77777777">
        <w:trPr>
          <w:divId w:val="1778791250"/>
        </w:trPr>
        <w:tc>
          <w:tcPr>
            <w:tcW w:w="2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7495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4D98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Identify exact duplicate images, initially .jpg and .png, likely using binary hashes without semantic image analysis.</w:t>
            </w:r>
          </w:p>
        </w:tc>
      </w:tr>
      <w:tr w:rsidR="00000000" w14:paraId="4E301D18" w14:textId="77777777">
        <w:trPr>
          <w:divId w:val="177879125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6EAE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DE32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Duplicate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interpretation is not Synchronization state and should remain outside Discovery.</w:t>
            </w:r>
          </w:p>
        </w:tc>
      </w:tr>
    </w:tbl>
    <w:p w14:paraId="26D8F7F7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F-11 Broader duplicate detection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9"/>
        <w:gridCol w:w="7391"/>
      </w:tblGrid>
      <w:tr w:rsidR="00000000" w14:paraId="097FD3BD" w14:textId="77777777">
        <w:trPr>
          <w:divId w:val="577979059"/>
        </w:trPr>
        <w:tc>
          <w:tcPr>
            <w:tcW w:w="2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D74D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67C86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 / Quality | Future</w:t>
            </w:r>
          </w:p>
        </w:tc>
      </w:tr>
      <w:tr w:rsidR="00000000" w14:paraId="581B1200" w14:textId="77777777">
        <w:trPr>
          <w:divId w:val="577979059"/>
        </w:trPr>
        <w:tc>
          <w:tcPr>
            <w:tcW w:w="2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AB59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5BAC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Extend duplicate analysis beyond exact image duplicates to other knowledge assets when the derived-knowledge layer exists.</w:t>
            </w:r>
          </w:p>
        </w:tc>
      </w:tr>
      <w:tr w:rsidR="00000000" w14:paraId="0EB17AD7" w14:textId="77777777">
        <w:trPr>
          <w:divId w:val="577979059"/>
        </w:trPr>
        <w:tc>
          <w:tcPr>
            <w:tcW w:w="2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E5C3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3CDF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Earlier architecture already anticipated duplicate_detection as derived knowledge.</w:t>
            </w:r>
          </w:p>
        </w:tc>
      </w:tr>
    </w:tbl>
    <w:p w14:paraId="49C23231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F-12 Domain curation and assignment tooling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3"/>
        <w:gridCol w:w="7267"/>
      </w:tblGrid>
      <w:tr w:rsidR="00000000" w14:paraId="4F9438B0" w14:textId="77777777">
        <w:trPr>
          <w:divId w:val="2077783013"/>
        </w:trPr>
        <w:tc>
          <w:tcPr>
            <w:tcW w:w="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C627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A087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Knowledge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Curation | Future</w:t>
            </w:r>
          </w:p>
        </w:tc>
      </w:tr>
      <w:tr w:rsidR="00000000" w14:paraId="57EB0451" w14:textId="77777777">
        <w:trPr>
          <w:divId w:val="2077783013"/>
        </w:trPr>
        <w:tc>
          <w:tcPr>
            <w:tcW w:w="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4FA84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6AA2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Review canonical Knowledge Objects with domain_id = NULL and assign logical Domains after synchronization.</w:t>
            </w:r>
          </w:p>
        </w:tc>
      </w:tr>
      <w:tr w:rsidR="00000000" w14:paraId="2C72E00F" w14:textId="77777777">
        <w:trPr>
          <w:divId w:val="2077783013"/>
        </w:trPr>
        <w:tc>
          <w:tcPr>
            <w:tcW w:w="2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11896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0A5B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Synchronization never infers Domains. User and/or AIOS performs curation.</w:t>
            </w:r>
          </w:p>
        </w:tc>
      </w:tr>
    </w:tbl>
    <w:p w14:paraId="4E0A7338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F-13 AI-assisted hierarchy and repository organization suggestions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61"/>
        <w:gridCol w:w="7379"/>
      </w:tblGrid>
      <w:tr w:rsidR="00000000" w14:paraId="6FFC099F" w14:textId="77777777">
        <w:trPr>
          <w:divId w:val="1651445193"/>
        </w:trPr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F3080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7E8D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Curation / AIOS | Future</w:t>
            </w:r>
          </w:p>
        </w:tc>
      </w:tr>
      <w:tr w:rsidR="00000000" w14:paraId="15BA1045" w14:textId="77777777">
        <w:trPr>
          <w:divId w:val="1651445193"/>
        </w:trPr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A0C3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3E37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Use canonical knowledge and domain information to recommend more coherent Source-of-Truth hierarchy or organization.</w:t>
            </w:r>
          </w:p>
        </w:tc>
      </w:tr>
      <w:tr w:rsidR="00000000" w14:paraId="29A4DEF3" w14:textId="77777777">
        <w:trPr>
          <w:divId w:val="1651445193"/>
        </w:trPr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ED7D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B5CD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Recommendations are interpretive. User retains final organizational decisions.</w:t>
            </w:r>
          </w:p>
        </w:tc>
      </w:tr>
    </w:tbl>
    <w:p w14:paraId="3509D104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F-14 Metadata completion and repository quality workflows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2"/>
        <w:gridCol w:w="7518"/>
      </w:tblGrid>
      <w:tr w:rsidR="00000000" w14:paraId="2C234A43" w14:textId="77777777">
        <w:trPr>
          <w:divId w:val="1715960565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45DE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2F30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Curation | Future</w:t>
            </w:r>
          </w:p>
        </w:tc>
      </w:tr>
      <w:tr w:rsidR="00000000" w14:paraId="6171D16E" w14:textId="77777777">
        <w:trPr>
          <w:divId w:val="1715960565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4AE9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0A2D1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Provide post-synchronization processes for incomplete metadata, organizational cleanup, obsolete-content review, and repository-quality improvements.</w:t>
            </w:r>
          </w:p>
        </w:tc>
      </w:tr>
      <w:tr w:rsidR="00000000" w14:paraId="5E20E20F" w14:textId="77777777">
        <w:trPr>
          <w:divId w:val="1715960565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C5AA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D9B0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Keep interpretive judgments out of Synchronization.</w:t>
            </w:r>
          </w:p>
        </w:tc>
      </w:tr>
    </w:tbl>
    <w:p w14:paraId="2E8D5216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F-15 Chunking pipeline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54"/>
        <w:gridCol w:w="6986"/>
      </w:tblGrid>
      <w:tr w:rsidR="00000000" w14:paraId="1883CF63" w14:textId="77777777">
        <w:trPr>
          <w:divId w:val="1265918521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2DA6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7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1750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Derived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| Future lab</w:t>
            </w:r>
          </w:p>
        </w:tc>
      </w:tr>
      <w:tr w:rsidR="00000000" w14:paraId="290BA9F5" w14:textId="77777777">
        <w:trPr>
          <w:divId w:val="1265918521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7B8C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7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38331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Split canonical content into retrieval units with metadata and context preservation.</w:t>
            </w:r>
          </w:p>
        </w:tc>
      </w:tr>
      <w:tr w:rsidR="00000000" w14:paraId="77139733" w14:textId="77777777">
        <w:trPr>
          <w:divId w:val="1265918521"/>
        </w:trPr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83D7D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7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D64D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Derived knowledge must remain separate from canonical Knowledge Objects.</w:t>
            </w:r>
          </w:p>
        </w:tc>
      </w:tr>
    </w:tbl>
    <w:p w14:paraId="459C77B6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F-16 Embedding pipeline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84"/>
        <w:gridCol w:w="6666"/>
      </w:tblGrid>
      <w:tr w:rsidR="00000000" w14:paraId="20414C8F" w14:textId="77777777">
        <w:trPr>
          <w:divId w:val="2022509714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9687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65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8A36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Derived Knowledge | Future lab</w:t>
            </w:r>
          </w:p>
        </w:tc>
      </w:tr>
      <w:tr w:rsidR="00000000" w14:paraId="0E5E20FC" w14:textId="77777777">
        <w:trPr>
          <w:divId w:val="2022509714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2CEE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6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7922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Generate vector representations for semantic comparison and retrieval.</w:t>
            </w:r>
          </w:p>
        </w:tc>
      </w:tr>
      <w:tr w:rsidR="00000000" w14:paraId="06CA441F" w14:textId="77777777">
        <w:trPr>
          <w:divId w:val="2022509714"/>
        </w:trPr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415F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6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BD4A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Requires explicit derived-data storage and model/version metadata.</w:t>
            </w:r>
          </w:p>
        </w:tc>
      </w:tr>
    </w:tbl>
    <w:p w14:paraId="18A3FBE2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F-17 Vector search / semantic retrieval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96"/>
        <w:gridCol w:w="6944"/>
      </w:tblGrid>
      <w:tr w:rsidR="00000000" w14:paraId="7109A5AB" w14:textId="77777777">
        <w:trPr>
          <w:divId w:val="868908890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2BD6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7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2A04D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 | Future lab</w:t>
            </w:r>
          </w:p>
        </w:tc>
      </w:tr>
      <w:tr w:rsidR="00000000" w14:paraId="6B2BB3B0" w14:textId="77777777">
        <w:trPr>
          <w:divId w:val="868908890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575F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7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BBE2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Index embeddings and provide semantic retrieval over AlphaOmega knowledge.</w:t>
            </w:r>
          </w:p>
        </w:tc>
      </w:tr>
      <w:tr w:rsidR="00000000" w14:paraId="55BD9C9A" w14:textId="77777777">
        <w:trPr>
          <w:divId w:val="868908890"/>
        </w:trPr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963F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7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DE74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Technology selection should follow actual retrieval requirements.</w:t>
            </w:r>
          </w:p>
        </w:tc>
      </w:tr>
    </w:tbl>
    <w:p w14:paraId="662DA0AD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F-18 Retrieval-Augmented Generation (RAG)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7"/>
        <w:gridCol w:w="7183"/>
      </w:tblGrid>
      <w:tr w:rsidR="00000000" w14:paraId="514E1741" w14:textId="77777777">
        <w:trPr>
          <w:divId w:val="949046370"/>
        </w:trPr>
        <w:tc>
          <w:tcPr>
            <w:tcW w:w="2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9F9C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8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0BEA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 | Future lab</w:t>
            </w:r>
          </w:p>
        </w:tc>
      </w:tr>
      <w:tr w:rsidR="00000000" w14:paraId="0368BB4B" w14:textId="77777777">
        <w:trPr>
          <w:divId w:val="949046370"/>
        </w:trPr>
        <w:tc>
          <w:tcPr>
            <w:tcW w:w="2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F009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8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27655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Ground model responses in retrieved AlphaOmega knowledge with source traceability/citations.</w:t>
            </w:r>
          </w:p>
        </w:tc>
      </w:tr>
      <w:tr w:rsidR="00000000" w14:paraId="13B3D37F" w14:textId="77777777">
        <w:trPr>
          <w:divId w:val="949046370"/>
        </w:trPr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5CE5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8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9ABE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RAG consumes canonical/derived knowledge; it does not replace synchronization.</w:t>
            </w:r>
          </w:p>
        </w:tc>
      </w:tr>
    </w:tbl>
    <w:p w14:paraId="74C5732C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F-19 Knowledge Services layer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8"/>
        <w:gridCol w:w="7382"/>
      </w:tblGrid>
      <w:tr w:rsidR="00000000" w14:paraId="0DD1C9A8" w14:textId="77777777">
        <w:trPr>
          <w:divId w:val="411582811"/>
        </w:trPr>
        <w:tc>
          <w:tcPr>
            <w:tcW w:w="2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E04D2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BC56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Knowledge Services | Future</w:t>
            </w:r>
          </w:p>
        </w:tc>
      </w:tr>
      <w:tr w:rsidR="00000000" w14:paraId="6B9806BA" w14:textId="77777777">
        <w:trPr>
          <w:divId w:val="411582811"/>
        </w:trPr>
        <w:tc>
          <w:tcPr>
            <w:tcW w:w="2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1EA7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C355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Create reusable services above the canonical repository for retrieval, search, summarization, analysis, and other consumers.</w:t>
            </w:r>
          </w:p>
        </w:tc>
      </w:tr>
      <w:tr w:rsidR="00000000" w14:paraId="4ED7E5EC" w14:textId="77777777">
        <w:trPr>
          <w:divId w:val="411582811"/>
        </w:trPr>
        <w:tc>
          <w:tcPr>
            <w:tcW w:w="2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6F48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F825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Maintain boundary between factual canonical repository and derived/interpretive services.</w:t>
            </w:r>
          </w:p>
        </w:tc>
      </w:tr>
    </w:tbl>
    <w:p w14:paraId="4B9C6FEA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F-20 Agentic AI / AIOS integration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30"/>
        <w:gridCol w:w="7410"/>
      </w:tblGrid>
      <w:tr w:rsidR="00000000" w14:paraId="5A4DD257" w14:textId="77777777">
        <w:trPr>
          <w:divId w:val="2101289564"/>
        </w:trPr>
        <w:tc>
          <w:tcPr>
            <w:tcW w:w="2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E546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78B89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AIOS | Future</w:t>
            </w:r>
          </w:p>
        </w:tc>
      </w:tr>
      <w:tr w:rsidR="00000000" w14:paraId="39613DBD" w14:textId="77777777">
        <w:trPr>
          <w:divId w:val="2101289564"/>
        </w:trPr>
        <w:tc>
          <w:tcPr>
            <w:tcW w:w="2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8B45D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455E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Allow agents to reason over AlphaOmega, identify knowledge gaps, recommend organization, and support higher-level workflows.</w:t>
            </w:r>
          </w:p>
        </w:tc>
      </w:tr>
      <w:tr w:rsidR="00000000" w14:paraId="5949F30B" w14:textId="77777777">
        <w:trPr>
          <w:divId w:val="2101289564"/>
        </w:trPr>
        <w:tc>
          <w:tcPr>
            <w:tcW w:w="22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8A50E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F890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AIOS interprets facts; AlphaOmega Synchronization records facts.</w:t>
            </w:r>
          </w:p>
        </w:tc>
      </w:tr>
    </w:tbl>
    <w:p w14:paraId="04FDCABC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F-21 Additional Sources of Truth / connectors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0"/>
        <w:gridCol w:w="7280"/>
      </w:tblGrid>
      <w:tr w:rsidR="00000000" w14:paraId="485B9853" w14:textId="77777777">
        <w:trPr>
          <w:divId w:val="694037761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74AB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92B3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Connector / Translator | Future</w:t>
            </w:r>
          </w:p>
        </w:tc>
      </w:tr>
      <w:tr w:rsidR="00000000" w14:paraId="2F8E5B54" w14:textId="77777777">
        <w:trPr>
          <w:divId w:val="694037761"/>
        </w:trPr>
        <w:tc>
          <w:tcPr>
            <w:tcW w:w="2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EF7C9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BC84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Add sources such as SharePoint, GitHub, Obsidian, Google Drive, local folders, email, and other repositories.</w:t>
            </w:r>
          </w:p>
        </w:tc>
      </w:tr>
      <w:tr w:rsidR="00000000" w14:paraId="6D07A44B" w14:textId="77777777">
        <w:trPr>
          <w:divId w:val="694037761"/>
        </w:trPr>
        <w:tc>
          <w:tcPr>
            <w:tcW w:w="24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266B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AE24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New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sources should fit existing Connector/Translator boundaries without redesigning downstream stages.</w:t>
            </w:r>
          </w:p>
        </w:tc>
      </w:tr>
    </w:tbl>
    <w:p w14:paraId="5936D4A9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F-22 Connector scaling for many source types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6"/>
        <w:gridCol w:w="7284"/>
      </w:tblGrid>
      <w:tr w:rsidR="00000000" w14:paraId="5E44859C" w14:textId="77777777">
        <w:trPr>
          <w:divId w:val="1688755096"/>
        </w:trPr>
        <w:tc>
          <w:tcPr>
            <w:tcW w:w="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9390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D8F0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Connector / Translator | Future when needed</w:t>
            </w:r>
          </w:p>
        </w:tc>
      </w:tr>
      <w:tr w:rsidR="00000000" w14:paraId="53D9C7D2" w14:textId="77777777">
        <w:trPr>
          <w:divId w:val="1688755096"/>
        </w:trPr>
        <w:tc>
          <w:tcPr>
            <w:tcW w:w="2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C6A6D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C230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Revisit internal connector/translator organization if the number and diversity of Sources of Truth becomes large.</w:t>
            </w:r>
          </w:p>
        </w:tc>
      </w:tr>
      <w:tr w:rsidR="00000000" w14:paraId="5476B622" w14:textId="77777777">
        <w:trPr>
          <w:divId w:val="1688755096"/>
        </w:trPr>
        <w:tc>
          <w:tcPr>
            <w:tcW w:w="2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D3A72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C0FB5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Lab 7 concluded that many connectors are a more plausible scaling pressure than many users.</w:t>
            </w:r>
          </w:p>
        </w:tc>
      </w:tr>
    </w:tbl>
    <w:p w14:paraId="6936106A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F-23 Retry queues and resilient replay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60"/>
        <w:gridCol w:w="6980"/>
      </w:tblGrid>
      <w:tr w:rsidR="00000000" w14:paraId="4F29C52A" w14:textId="77777777">
        <w:trPr>
          <w:divId w:val="1554583023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0991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7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DAE0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/ Reliability | Future</w:t>
            </w:r>
          </w:p>
        </w:tc>
      </w:tr>
      <w:tr w:rsidR="00000000" w14:paraId="45F5AD7E" w14:textId="77777777">
        <w:trPr>
          <w:divId w:val="1554583023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7DC3D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7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DB71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Provide controlled retry/replay for transient source or processing failures.</w:t>
            </w:r>
          </w:p>
        </w:tc>
      </w:tr>
      <w:tr w:rsidR="00000000" w14:paraId="528FBA2D" w14:textId="77777777">
        <w:trPr>
          <w:divId w:val="1554583023"/>
        </w:trPr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0DA73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7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3FCA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Must preserve idempotency, Processing Job semantics, and stage trust boundaries.</w:t>
            </w:r>
          </w:p>
        </w:tc>
      </w:tr>
    </w:tbl>
    <w:p w14:paraId="6EE63CB1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F-24 Parallel processing and worker management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4"/>
        <w:gridCol w:w="6956"/>
      </w:tblGrid>
      <w:tr w:rsidR="00000000" w14:paraId="05D5D07F" w14:textId="77777777">
        <w:trPr>
          <w:divId w:val="2111703828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B3452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73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147A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/ Scalability | Future</w:t>
            </w:r>
          </w:p>
        </w:tc>
      </w:tr>
      <w:tr w:rsidR="00000000" w14:paraId="752A649A" w14:textId="77777777">
        <w:trPr>
          <w:divId w:val="2111703828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C45E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7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3218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Increase throughput for larger synchronization scopes through safe concurrency.</w:t>
            </w:r>
          </w:p>
        </w:tc>
      </w:tr>
      <w:tr w:rsidR="00000000" w14:paraId="0C5DC4B0" w14:textId="77777777">
        <w:trPr>
          <w:divId w:val="2111703828"/>
        </w:trPr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24DF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718C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Defer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until measured workload justifies complexity.</w:t>
            </w:r>
          </w:p>
        </w:tc>
      </w:tr>
    </w:tbl>
    <w:p w14:paraId="044F513C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F-25 Performance optimization and benchmarking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8"/>
        <w:gridCol w:w="7332"/>
      </w:tblGrid>
      <w:tr w:rsidR="00000000" w14:paraId="5FEF7B3B" w14:textId="77777777">
        <w:trPr>
          <w:divId w:val="1325477918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C0E3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B10C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/ Scalability | Future</w:t>
            </w:r>
          </w:p>
        </w:tc>
      </w:tr>
      <w:tr w:rsidR="00000000" w14:paraId="0F4775D6" w14:textId="77777777">
        <w:trPr>
          <w:divId w:val="1325477918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7779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326E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Measure stage throughput, Graph/API cost, database load, extraction time, and large-scope behavior before optimizing.</w:t>
            </w:r>
          </w:p>
        </w:tc>
      </w:tr>
      <w:tr w:rsidR="00000000" w14:paraId="0EFB43E5" w14:textId="77777777">
        <w:trPr>
          <w:divId w:val="1325477918"/>
        </w:trPr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0478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0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4F1C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Evidence first; avoid speculative optimization.</w:t>
            </w:r>
          </w:p>
        </w:tc>
      </w:tr>
    </w:tbl>
    <w:p w14:paraId="5868664E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F-26 Operational observability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93"/>
        <w:gridCol w:w="7347"/>
      </w:tblGrid>
      <w:tr w:rsidR="00000000" w14:paraId="7E1A1ABB" w14:textId="77777777">
        <w:trPr>
          <w:divId w:val="718168668"/>
        </w:trPr>
        <w:tc>
          <w:tcPr>
            <w:tcW w:w="2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9AE6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5819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Operations | Future</w:t>
            </w:r>
          </w:p>
        </w:tc>
      </w:tr>
      <w:tr w:rsidR="00000000" w14:paraId="41DB61C0" w14:textId="77777777">
        <w:trPr>
          <w:divId w:val="718168668"/>
        </w:trPr>
        <w:tc>
          <w:tcPr>
            <w:tcW w:w="2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8068B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D831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Expose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Processing Job status, counts, failures, timing, and useful synchronization diagnostics in a production-facing form.</w:t>
            </w:r>
          </w:p>
        </w:tc>
      </w:tr>
      <w:tr w:rsidR="00000000" w14:paraId="7DA5E20C" w14:textId="77777777">
        <w:trPr>
          <w:divId w:val="718168668"/>
        </w:trPr>
        <w:tc>
          <w:tcPr>
            <w:tcW w:w="2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1CC6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B7A7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Use existing stage/job ownership rather than leaking implementation internals.</w:t>
            </w:r>
          </w:p>
        </w:tc>
      </w:tr>
    </w:tbl>
    <w:p w14:paraId="5FDDD6C0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F-27 Source scope navigation / selection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34"/>
        <w:gridCol w:w="7506"/>
      </w:tblGrid>
      <w:tr w:rsidR="00000000" w14:paraId="226D21A2" w14:textId="77777777">
        <w:trPr>
          <w:divId w:val="1268926504"/>
        </w:trPr>
        <w:tc>
          <w:tcPr>
            <w:tcW w:w="2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46F4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AD9D0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Application / UI | Near-term</w:t>
            </w:r>
          </w:p>
        </w:tc>
      </w:tr>
      <w:tr w:rsidR="00000000" w14:paraId="6A892BB7" w14:textId="77777777">
        <w:trPr>
          <w:divId w:val="1268926504"/>
        </w:trPr>
        <w:tc>
          <w:tcPr>
            <w:tcW w:w="2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FF76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3030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Allow a user to browse from a source root into notebooks/folders/sections/subfolders and choose a bounded synchronization scope.</w:t>
            </w:r>
          </w:p>
        </w:tc>
      </w:tr>
      <w:tr w:rsidR="00000000" w14:paraId="1463E0AE" w14:textId="77777777">
        <w:trPr>
          <w:divId w:val="1268926504"/>
        </w:trPr>
        <w:tc>
          <w:tcPr>
            <w:tcW w:w="2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F007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0DDA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Scope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selection belongs above SynchronizationOrchestrator.</w:t>
            </w:r>
          </w:p>
        </w:tc>
      </w:tr>
    </w:tbl>
    <w:p w14:paraId="56AF2FAD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F-28 Pipeline contract principle made explicit in canonical documentation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74"/>
        <w:gridCol w:w="7266"/>
      </w:tblGrid>
      <w:tr w:rsidR="00000000" w14:paraId="0CA81560" w14:textId="77777777">
        <w:trPr>
          <w:divId w:val="1884440109"/>
        </w:trPr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4F01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B7FF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| Documentation maintenance</w:t>
            </w:r>
          </w:p>
        </w:tc>
      </w:tr>
      <w:tr w:rsidR="00000000" w14:paraId="7D86E1F7" w14:textId="77777777">
        <w:trPr>
          <w:divId w:val="1884440109"/>
        </w:trPr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48A8A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B62B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 explicitly that each stage consumes and produces a defined contract and owns its output boundary.</w:t>
            </w:r>
          </w:p>
        </w:tc>
      </w:tr>
      <w:tr w:rsidR="00000000" w14:paraId="2D3491AA" w14:textId="77777777">
        <w:trPr>
          <w:divId w:val="1884440109"/>
        </w:trPr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97B89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250D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The Journal identified this as an implicit design principle that should become explicit.</w:t>
            </w:r>
          </w:p>
        </w:tc>
      </w:tr>
    </w:tbl>
    <w:p w14:paraId="54C4F1C3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F-29 Reconcile orchestration module location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17"/>
        <w:gridCol w:w="7723"/>
      </w:tblGrid>
      <w:tr w:rsidR="00000000" w14:paraId="0392BE72" w14:textId="77777777">
        <w:trPr>
          <w:divId w:val="283583773"/>
        </w:trPr>
        <w:tc>
          <w:tcPr>
            <w:tcW w:w="1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B98D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A413A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Documentation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/ Repository | Documentation maintenance</w:t>
            </w:r>
          </w:p>
        </w:tc>
      </w:tr>
      <w:tr w:rsidR="00000000" w14:paraId="69899C62" w14:textId="77777777">
        <w:trPr>
          <w:divId w:val="283583773"/>
        </w:trPr>
        <w:tc>
          <w:tcPr>
            <w:tcW w:w="1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A0C7B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19DEE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Resolve the mismatch between canonical directory guidance placing synchronization orchestration under scripts/sync and historical implementation placing sync_orchestrator.py under scripts/orchestration.</w:t>
            </w:r>
          </w:p>
        </w:tc>
      </w:tr>
      <w:tr w:rsidR="00000000" w14:paraId="69C9D710" w14:textId="77777777">
        <w:trPr>
          <w:divId w:val="283583773"/>
        </w:trPr>
        <w:tc>
          <w:tcPr>
            <w:tcW w:w="1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1529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A2F6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Choose one canonical location and align code/documentation rather than silently carrying both.</w:t>
            </w:r>
          </w:p>
        </w:tc>
      </w:tr>
    </w:tbl>
    <w:p w14:paraId="7F4C6DAE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F-30 Clarify Translator failure wording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73"/>
        <w:gridCol w:w="7567"/>
      </w:tblGrid>
      <w:tr w:rsidR="00000000" w14:paraId="4ADA0C5D" w14:textId="77777777">
        <w:trPr>
          <w:divId w:val="154540370"/>
        </w:trPr>
        <w:tc>
          <w:tcPr>
            <w:tcW w:w="1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8A97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B153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| Documentation maintenance</w:t>
            </w:r>
          </w:p>
        </w:tc>
      </w:tr>
      <w:tr w:rsidR="00000000" w14:paraId="4BD60D91" w14:textId="77777777">
        <w:trPr>
          <w:divId w:val="154540370"/>
        </w:trPr>
        <w:tc>
          <w:tcPr>
            <w:tcW w:w="1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931E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CA79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Remove ambiguity between the universal record-level/stage-level exception model and wording suggesting all Translator processing stops immediately on any failure.</w:t>
            </w:r>
          </w:p>
        </w:tc>
      </w:tr>
      <w:tr w:rsidR="00000000" w14:paraId="628826DC" w14:textId="77777777">
        <w:trPr>
          <w:divId w:val="154540370"/>
        </w:trPr>
        <w:tc>
          <w:tcPr>
            <w:tcW w:w="1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358F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95ED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 the intended failure boundary precisely.</w:t>
            </w:r>
          </w:p>
        </w:tc>
      </w:tr>
    </w:tbl>
    <w:p w14:paraId="1C47AE13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F-31 Retire or label stale test assumptions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07"/>
        <w:gridCol w:w="7633"/>
      </w:tblGrid>
      <w:tr w:rsidR="00000000" w14:paraId="200C8924" w14:textId="77777777">
        <w:trPr>
          <w:divId w:val="436369073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DD4D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09F51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Testing | Maintenance</w:t>
            </w:r>
          </w:p>
        </w:tc>
      </w:tr>
      <w:tr w:rsidR="00000000" w14:paraId="596A6FCA" w14:textId="77777777">
        <w:trPr>
          <w:divId w:val="436369073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F5E16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3FBA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Update or clearly deprecate older tests whose assumptions were disproven, including the old OneNote unchanged-count expectation and stale translated-count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assumptions.</w:t>
            </w:r>
          </w:p>
        </w:tc>
      </w:tr>
      <w:tr w:rsidR="00000000" w14:paraId="5F91ADB1" w14:textId="77777777">
        <w:trPr>
          <w:divId w:val="436369073"/>
        </w:trPr>
        <w:tc>
          <w:tcPr>
            <w:tcW w:w="1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F79B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D397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Preserve historical evidence without allowing obsolete tests to masquerade as current authority.</w:t>
            </w:r>
          </w:p>
        </w:tc>
      </w:tr>
    </w:tbl>
    <w:p w14:paraId="72C15310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F-32 Production-like state-agnostic E2E test pattern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4"/>
        <w:gridCol w:w="7706"/>
      </w:tblGrid>
      <w:tr w:rsidR="00000000" w14:paraId="4667DF89" w14:textId="77777777">
        <w:trPr>
          <w:divId w:val="2134056109"/>
        </w:trPr>
        <w:tc>
          <w:tcPr>
            <w:tcW w:w="17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C7F0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11C4E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Testing | Ongoing standard</w:t>
            </w:r>
          </w:p>
        </w:tc>
      </w:tr>
      <w:tr w:rsidR="00000000" w14:paraId="0A714C4D" w14:textId="77777777">
        <w:trPr>
          <w:divId w:val="2134056109"/>
        </w:trPr>
        <w:tc>
          <w:tcPr>
            <w:tcW w:w="17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766B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C02B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Generalize the Lab 7 lesson that E2E tests should discover actual source counts/states and reconcile observations instead of hard-coding the answer when independent detection is the behavior under test.</w:t>
            </w:r>
          </w:p>
        </w:tc>
      </w:tr>
      <w:tr w:rsidR="00000000" w14:paraId="7E7DFACE" w14:textId="77777777">
        <w:trPr>
          <w:divId w:val="2134056109"/>
        </w:trPr>
        <w:tc>
          <w:tcPr>
            <w:tcW w:w="17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8D85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FC46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Use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hard-coded expectations only where the fixture itself is intentionally controlled.</w:t>
            </w:r>
          </w:p>
        </w:tc>
      </w:tr>
    </w:tbl>
    <w:p w14:paraId="420B9FCE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F-33 Test harness distinction between bounded /children scopes and full /delta connectors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84"/>
        <w:gridCol w:w="7556"/>
      </w:tblGrid>
      <w:tr w:rsidR="00000000" w14:paraId="1DABDC0D" w14:textId="77777777">
        <w:trPr>
          <w:divId w:val="1458449133"/>
        </w:trPr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E7C2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ECACBF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Testing / Connector | Maintenance</w:t>
            </w:r>
          </w:p>
        </w:tc>
      </w:tr>
      <w:tr w:rsidR="00000000" w14:paraId="44C3119A" w14:textId="77777777">
        <w:trPr>
          <w:divId w:val="1458449133"/>
        </w:trPr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5AF3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EEE2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Make the difference explicit so bounded tests do not require or fabricate a deltaLink while production full OneDrive enumeration retains its deltaLink validation.</w:t>
            </w:r>
          </w:p>
        </w:tc>
      </w:tr>
      <w:tr w:rsidR="00000000" w14:paraId="5CC2E703" w14:textId="77777777">
        <w:trPr>
          <w:divId w:val="1458449133"/>
        </w:trPr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72D1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D8C322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 not weaken production validation to accommodate a bounded test.</w:t>
            </w:r>
          </w:p>
        </w:tc>
      </w:tr>
    </w:tbl>
    <w:p w14:paraId="3C253B14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F-34 Canonical timestamp normalization utility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1"/>
        <w:gridCol w:w="7499"/>
      </w:tblGrid>
      <w:tr w:rsidR="00000000" w14:paraId="62486BD7" w14:textId="77777777">
        <w:trPr>
          <w:divId w:val="1519199451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831B3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78C2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Shared Infrastructure | Maintenance</w:t>
            </w:r>
          </w:p>
        </w:tc>
      </w:tr>
      <w:tr w:rsidR="00000000" w14:paraId="35F88164" w14:textId="77777777">
        <w:trPr>
          <w:divId w:val="1519199451"/>
        </w:trPr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5DEF6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4F3C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Centralize ISO-8601 timestamp parsing/normalization so Graph Z and database +00:00 forms are compared semantically across tests and services.</w:t>
            </w:r>
          </w:p>
        </w:tc>
      </w:tr>
      <w:tr w:rsidR="00000000" w14:paraId="507EF777" w14:textId="77777777">
        <w:trPr>
          <w:divId w:val="1519199451"/>
        </w:trPr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8B55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A1A68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Avoid raw timestamp-string equality where representations may differ.</w:t>
            </w:r>
          </w:p>
        </w:tc>
      </w:tr>
    </w:tbl>
    <w:p w14:paraId="31E86952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F-35 Source-specific change-signal strategy research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01"/>
        <w:gridCol w:w="7439"/>
      </w:tblGrid>
      <w:tr w:rsidR="00000000" w14:paraId="06703BEE" w14:textId="77777777">
        <w:trPr>
          <w:divId w:val="1847673657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D478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CFC1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Discovery / Connector | Future research</w:t>
            </w:r>
          </w:p>
        </w:tc>
      </w:tr>
      <w:tr w:rsidR="00000000" w14:paraId="063E8276" w14:textId="77777777">
        <w:trPr>
          <w:divId w:val="1847673657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7BBB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A8C29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Continue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learning how each Source of Truth exposes reliable change evidence, especially OneNote's coarse or stale timestamp behavior.</w:t>
            </w:r>
          </w:p>
        </w:tc>
      </w:tr>
      <w:tr w:rsidR="00000000" w14:paraId="4344D2B6" w14:textId="77777777">
        <w:trPr>
          <w:divId w:val="1847673657"/>
        </w:trPr>
        <w:tc>
          <w:tcPr>
            <w:tcW w:w="2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FADA7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55AFC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 not redesign Discovery merely to chase cleaner UNCHANGED counts. Preserve source-fact semantics and canonical hash gating.</w:t>
            </w:r>
          </w:p>
        </w:tc>
      </w:tr>
    </w:tbl>
    <w:p w14:paraId="42546828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F-36 Formal Lab completion-report pattern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3"/>
        <w:gridCol w:w="7297"/>
      </w:tblGrid>
      <w:tr w:rsidR="00000000" w14:paraId="16623086" w14:textId="77777777">
        <w:trPr>
          <w:divId w:val="1468431241"/>
        </w:trPr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CB0C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9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6B1DD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/ Process | Ongoing standard</w:t>
            </w:r>
          </w:p>
        </w:tc>
      </w:tr>
      <w:tr w:rsidR="00000000" w14:paraId="7A7F6D76" w14:textId="77777777">
        <w:trPr>
          <w:divId w:val="1468431241"/>
        </w:trPr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C31D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9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41B311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 xml:space="preserve">Use a concise Final Lab Report for each future lab while retaining the </w:t>
            </w:r>
            <w:r>
              <w:rPr>
                <w:rFonts w:ascii="Calibri" w:hAnsi="Calibri" w:cs="Calibri"/>
                <w:color w:val="292929"/>
                <w:sz w:val="22"/>
                <w:szCs w:val="22"/>
              </w:rPr>
              <w:t>chronological Engineering Journal separately.</w:t>
            </w:r>
          </w:p>
        </w:tc>
      </w:tr>
      <w:tr w:rsidR="00000000" w14:paraId="65EB5DE5" w14:textId="77777777">
        <w:trPr>
          <w:divId w:val="1468431241"/>
        </w:trPr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7435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9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F945C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Completion reports record what was built and proved; journals preserve how the work evolved.</w:t>
            </w:r>
          </w:p>
        </w:tc>
      </w:tr>
    </w:tbl>
    <w:p w14:paraId="117DF72E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F-37 Canonical-document initialization and conflict protocol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3"/>
        <w:gridCol w:w="7647"/>
      </w:tblGrid>
      <w:tr w:rsidR="00000000" w14:paraId="21666846" w14:textId="77777777">
        <w:trPr>
          <w:divId w:val="1765682318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0632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86E9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Documentation / Process | Ongoing standard</w:t>
            </w:r>
          </w:p>
        </w:tc>
      </w:tr>
      <w:tr w:rsidR="00000000" w14:paraId="10F5E384" w14:textId="77777777">
        <w:trPr>
          <w:divId w:val="1765682318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B16B9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3BA7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Continue inventory-first review of authoritative documents, reconcile attachment counts, verify by filename, and flag conflicts instead of silently merging historical and canonical truth.</w:t>
            </w:r>
          </w:p>
        </w:tc>
      </w:tr>
      <w:tr w:rsidR="00000000" w14:paraId="2DEAC88D" w14:textId="77777777">
        <w:trPr>
          <w:divId w:val="1765682318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2608D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DB0F8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This process was created after a Lab 7 document-review failure and became a project safeguard.</w:t>
            </w:r>
          </w:p>
        </w:tc>
      </w:tr>
    </w:tbl>
    <w:p w14:paraId="231C9461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F-38 Request Rejection Persistence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48"/>
        <w:gridCol w:w="7892"/>
      </w:tblGrid>
      <w:tr w:rsidR="00000000" w14:paraId="43547F9B" w14:textId="77777777">
        <w:trPr>
          <w:divId w:val="620576781"/>
        </w:trPr>
        <w:tc>
          <w:tcPr>
            <w:tcW w:w="1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51ED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10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CCA2A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Operationalization | Near-term / Lab 8</w:t>
            </w:r>
          </w:p>
        </w:tc>
      </w:tr>
      <w:tr w:rsidR="00000000" w14:paraId="6C2B12CF" w14:textId="77777777">
        <w:trPr>
          <w:divId w:val="620576781"/>
        </w:trPr>
        <w:tc>
          <w:tcPr>
            <w:tcW w:w="1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028B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10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5B770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AlphaOmega shall preserve a durable record of an operational request that reaches AlphaOmega but is rejected before Processing Job creation, including the requested operation, requested scope, time received, rejection reason, and other </w:t>
            </w:r>
            <w:r>
              <w:rPr>
                <w:rFonts w:ascii="Calibri" w:hAnsi="Calibri" w:cs="Calibri"/>
                <w:sz w:val="22"/>
                <w:szCs w:val="22"/>
              </w:rPr>
              <w:t>information needed to understand why execution did not begin.</w:t>
            </w:r>
          </w:p>
        </w:tc>
      </w:tr>
      <w:tr w:rsidR="00000000" w14:paraId="74BD5A1C" w14:textId="77777777">
        <w:trPr>
          <w:divId w:val="620576781"/>
        </w:trPr>
        <w:tc>
          <w:tcPr>
            <w:tcW w:w="1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D883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10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F409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This gap was discovered during document refresh and moved into Lab 8.</w:t>
            </w:r>
          </w:p>
        </w:tc>
      </w:tr>
    </w:tbl>
    <w:p w14:paraId="1F36D70A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4F81BD"/>
          <w:sz w:val="22"/>
          <w:szCs w:val="22"/>
        </w:rPr>
      </w:pPr>
      <w:r>
        <w:rPr>
          <w:rFonts w:ascii="Calibri" w:hAnsi="Calibri" w:cs="Calibri"/>
          <w:b/>
          <w:bCs/>
          <w:color w:val="4F81BD"/>
          <w:sz w:val="22"/>
          <w:szCs w:val="22"/>
        </w:rPr>
        <w:t>F-39 Job Scheduling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84"/>
        <w:gridCol w:w="3324"/>
      </w:tblGrid>
      <w:tr w:rsidR="00000000" w14:paraId="33015746" w14:textId="77777777">
        <w:trPr>
          <w:divId w:val="1421104398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45FA5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Area / Horizon</w:t>
            </w:r>
          </w:p>
        </w:tc>
        <w:tc>
          <w:tcPr>
            <w:tcW w:w="3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5FB9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Operation | Future</w:t>
            </w:r>
          </w:p>
        </w:tc>
      </w:tr>
      <w:tr w:rsidR="00000000" w14:paraId="19DC66ED" w14:textId="77777777">
        <w:trPr>
          <w:divId w:val="1421104398"/>
        </w:trPr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DF1AB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Future Opportunity</w:t>
            </w:r>
          </w:p>
        </w:tc>
        <w:tc>
          <w:tcPr>
            <w:tcW w:w="3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AD13C6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Create the ability to schedule jobs.</w:t>
            </w:r>
          </w:p>
        </w:tc>
      </w:tr>
      <w:tr w:rsidR="00000000" w14:paraId="6D93D3A1" w14:textId="77777777">
        <w:trPr>
          <w:divId w:val="1421104398"/>
        </w:trPr>
        <w:tc>
          <w:tcPr>
            <w:tcW w:w="2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4F1E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55D5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A322E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A322E"/>
                <w:sz w:val="22"/>
                <w:szCs w:val="22"/>
              </w:rPr>
              <w:t>Guardrail / Design Note</w:t>
            </w:r>
          </w:p>
        </w:tc>
        <w:tc>
          <w:tcPr>
            <w:tcW w:w="3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A2114" w14:textId="77777777" w:rsidR="00D85A08" w:rsidRDefault="00D85A0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292929"/>
                <w:sz w:val="22"/>
                <w:szCs w:val="22"/>
              </w:rPr>
            </w:pPr>
            <w:r>
              <w:rPr>
                <w:rFonts w:ascii="Calibri" w:hAnsi="Calibri" w:cs="Calibri"/>
                <w:color w:val="292929"/>
                <w:sz w:val="22"/>
                <w:szCs w:val="22"/>
              </w:rPr>
              <w:t>This a feature.</w:t>
            </w:r>
          </w:p>
        </w:tc>
      </w:tr>
    </w:tbl>
    <w:p w14:paraId="5B2ABFBF" w14:textId="77777777" w:rsidR="00D85A08" w:rsidRDefault="00D85A08">
      <w:pPr>
        <w:pStyle w:val="NormalWeb"/>
        <w:spacing w:before="240" w:beforeAutospacing="0" w:after="120" w:afterAutospacing="0"/>
        <w:rPr>
          <w:rFonts w:ascii="Calibri" w:hAnsi="Calibri" w:cs="Calibri"/>
          <w:color w:val="365F91"/>
          <w:sz w:val="22"/>
          <w:szCs w:val="22"/>
        </w:rPr>
      </w:pPr>
      <w:r>
        <w:rPr>
          <w:rFonts w:ascii="Calibri" w:hAnsi="Calibri" w:cs="Calibri"/>
          <w:b/>
          <w:bCs/>
          <w:color w:val="365F91"/>
          <w:sz w:val="22"/>
          <w:szCs w:val="22"/>
        </w:rPr>
        <w:t>Appendix A. Journal-Derived Future Themes</w:t>
      </w:r>
    </w:p>
    <w:p w14:paraId="120AF0C2" w14:textId="77777777" w:rsidR="00D85A08" w:rsidRDefault="00D85A08">
      <w:pPr>
        <w:pStyle w:val="NormalWeb"/>
        <w:spacing w:before="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Operational application/UI: menus, GUI, scheduling, background workers, source scope selection, and production invocation were repeatedly </w:t>
      </w:r>
      <w:r>
        <w:rPr>
          <w:rFonts w:ascii="Calibri" w:hAnsi="Calibri" w:cs="Calibri"/>
          <w:color w:val="000000"/>
          <w:sz w:val="22"/>
          <w:szCs w:val="22"/>
        </w:rPr>
        <w:t>parked outside Lab 7.</w:t>
      </w:r>
    </w:p>
    <w:p w14:paraId="48C30B4F" w14:textId="77777777" w:rsidR="00D85A08" w:rsidRDefault="00D85A08">
      <w:pPr>
        <w:pStyle w:val="NormalWeb"/>
        <w:spacing w:before="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Knowledge Curation: Domain assignment, metadata completion, repository organization, duplicate interpretation, and quality improvement were separated from Synchronization.</w:t>
      </w:r>
    </w:p>
    <w:p w14:paraId="7D959E73" w14:textId="77777777" w:rsidR="00D85A08" w:rsidRDefault="00D85A08">
      <w:pPr>
        <w:pStyle w:val="NormalWeb"/>
        <w:spacing w:before="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Extraction evolution: legacy formats, parser technology, OCR/format expansion, unsupported-type tracking, and binary duplicate work were deferred.</w:t>
      </w:r>
    </w:p>
    <w:p w14:paraId="6FECB04A" w14:textId="77777777" w:rsidR="00D85A08" w:rsidRDefault="00D85A08">
      <w:pPr>
        <w:pStyle w:val="NormalWeb"/>
        <w:spacing w:before="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Scalability/reliability: retry queues, parallel processing, workers, performance optimization, authentication and multi-user concerns were identified as later pressures.</w:t>
      </w:r>
    </w:p>
    <w:p w14:paraId="6633F34D" w14:textId="77777777" w:rsidR="00D85A08" w:rsidRDefault="00D85A08">
      <w:pPr>
        <w:pStyle w:val="NormalWeb"/>
        <w:spacing w:before="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Derived knowledge: chunks, embeddings, summaries, entities, tags, relationships, duplicate analysis, knowledge graph, semantic search, RAG, and agents remain later layers.</w:t>
      </w:r>
    </w:p>
    <w:p w14:paraId="7209CAE1" w14:textId="77777777" w:rsidR="00D85A08" w:rsidRDefault="00D85A08">
      <w:pPr>
        <w:pStyle w:val="NormalWeb"/>
        <w:spacing w:before="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Documentation/testing: explicit pipeline contracts, stale historical assumptions, state-agnostic E2E testing, timestamp normalization, and bounded-vs-delta connector semantics deserve continued maintenance.</w:t>
      </w:r>
    </w:p>
    <w:sectPr w:rsidR="00D85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A6"/>
    <w:rsid w:val="00A47C3A"/>
    <w:rsid w:val="00D12CA6"/>
    <w:rsid w:val="00D8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CF79A"/>
  <w15:chartTrackingRefBased/>
  <w15:docId w15:val="{F9C1D29C-4445-4FAD-90F8-C59D6D31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7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8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5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0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3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3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2733</Words>
  <Characters>15581</Characters>
  <Application>Microsoft Office Word</Application>
  <DocSecurity>0</DocSecurity>
  <Lines>129</Lines>
  <Paragraphs>36</Paragraphs>
  <ScaleCrop>false</ScaleCrop>
  <Company/>
  <LinksUpToDate>false</LinksUpToDate>
  <CharactersWithSpaces>18278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2026-09-03T01:12:00Z</dcterms:created>
  <dcterms:modified xsi:type="dcterms:W3CDTF">2026-09-03T01:12:00Z</dcterms:modified>
</cp:coreProperties>
</file>