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7AD41" w14:textId="77777777" w:rsidR="004D5549" w:rsidRDefault="004D554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Future Improvements</w:t>
      </w:r>
    </w:p>
    <w:p w14:paraId="6FCE4F42" w14:textId="77777777" w:rsidR="004D5549" w:rsidRDefault="004D554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August 27, 2026</w:t>
      </w:r>
    </w:p>
    <w:p w14:paraId="58C37D1B" w14:textId="77777777" w:rsidR="004D5549" w:rsidRDefault="004D554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8:46 PM</w:t>
      </w:r>
    </w:p>
    <w:p w14:paraId="5EA35564"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0FBC56" w14:textId="77777777" w:rsidR="004D5549" w:rsidRDefault="004D5549">
      <w:pPr>
        <w:pStyle w:val="NormalWeb"/>
        <w:spacing w:before="240" w:beforeAutospacing="0" w:after="120" w:afterAutospacing="0"/>
        <w:rPr>
          <w:rFonts w:ascii="Calibri" w:hAnsi="Calibri" w:cs="Calibri"/>
          <w:color w:val="365F91"/>
          <w:sz w:val="22"/>
          <w:szCs w:val="22"/>
        </w:rPr>
      </w:pPr>
      <w:r>
        <w:rPr>
          <w:rFonts w:ascii="Calibri" w:hAnsi="Calibri" w:cs="Calibri"/>
          <w:b/>
          <w:bCs/>
          <w:color w:val="365F91"/>
          <w:sz w:val="22"/>
          <w:szCs w:val="22"/>
        </w:rPr>
        <w:t>Document Purpose</w:t>
      </w:r>
    </w:p>
    <w:p w14:paraId="65B9155E" w14:textId="77777777" w:rsidR="004D5549" w:rsidRDefault="004D5549">
      <w:pPr>
        <w:pStyle w:val="NormalWeb"/>
        <w:spacing w:before="0" w:beforeAutospacing="0" w:after="120" w:afterAutospacing="0"/>
        <w:rPr>
          <w:rFonts w:ascii="Calibri" w:hAnsi="Calibri" w:cs="Calibri"/>
          <w:color w:val="000000"/>
          <w:sz w:val="22"/>
          <w:szCs w:val="22"/>
        </w:rPr>
      </w:pPr>
      <w:r>
        <w:rPr>
          <w:rFonts w:ascii="Calibri" w:hAnsi="Calibri" w:cs="Calibri"/>
          <w:color w:val="000000"/>
          <w:sz w:val="22"/>
          <w:szCs w:val="22"/>
        </w:rPr>
        <w:t>This register consolidates future improvements, deferred capabilities, follow-on subsystems, and technical opportunities. Its purpose is to prevent useful ideas from disappearing into the chronological Engineering Journal.</w:t>
      </w:r>
    </w:p>
    <w:p w14:paraId="0875A718" w14:textId="77777777" w:rsidR="004D5549" w:rsidRDefault="004D5549">
      <w:pPr>
        <w:pStyle w:val="NormalWeb"/>
        <w:spacing w:before="240" w:beforeAutospacing="0" w:after="120" w:afterAutospacing="0"/>
        <w:rPr>
          <w:rFonts w:ascii="Calibri" w:hAnsi="Calibri" w:cs="Calibri"/>
          <w:color w:val="365F91"/>
          <w:sz w:val="22"/>
          <w:szCs w:val="22"/>
        </w:rPr>
      </w:pPr>
      <w:r>
        <w:rPr>
          <w:rFonts w:ascii="Calibri" w:hAnsi="Calibri" w:cs="Calibri"/>
          <w:b/>
          <w:bCs/>
          <w:color w:val="365F91"/>
          <w:sz w:val="22"/>
          <w:szCs w:val="22"/>
        </w:rPr>
        <w:t>How to Use This Register</w:t>
      </w:r>
    </w:p>
    <w:p w14:paraId="2498056F" w14:textId="77777777" w:rsidR="004D5549" w:rsidRDefault="004D5549">
      <w:pPr>
        <w:pStyle w:val="NormalWeb"/>
        <w:spacing w:before="0" w:beforeAutospacing="0" w:after="120" w:afterAutospacing="0"/>
        <w:rPr>
          <w:rFonts w:ascii="Calibri" w:hAnsi="Calibri" w:cs="Calibri"/>
          <w:color w:val="000000"/>
          <w:sz w:val="22"/>
          <w:szCs w:val="22"/>
        </w:rPr>
      </w:pPr>
      <w:r>
        <w:rPr>
          <w:rFonts w:ascii="Calibri" w:hAnsi="Calibri" w:cs="Calibri"/>
          <w:color w:val="000000"/>
          <w:sz w:val="22"/>
          <w:szCs w:val="22"/>
        </w:rPr>
        <w:t xml:space="preserve">Items are grouped by architectural area rather than by the date they appeared in the Journal. Each item records why it matters and the likely </w:t>
      </w:r>
      <w:r>
        <w:rPr>
          <w:rFonts w:ascii="Calibri" w:hAnsi="Calibri" w:cs="Calibri"/>
          <w:color w:val="000000"/>
          <w:sz w:val="22"/>
          <w:szCs w:val="22"/>
        </w:rPr>
        <w:t>future home. Before implementation, the current canonical AlphaOmega documentation must be reviewed and the item must be re-evaluated against the architecture that exists at that time.</w:t>
      </w:r>
    </w:p>
    <w:p w14:paraId="77153243" w14:textId="77777777" w:rsidR="004D5549" w:rsidRDefault="004D5549">
      <w:pPr>
        <w:pStyle w:val="NormalWeb"/>
        <w:spacing w:before="240" w:beforeAutospacing="0" w:after="120" w:afterAutospacing="0"/>
        <w:rPr>
          <w:rFonts w:ascii="Calibri" w:hAnsi="Calibri" w:cs="Calibri"/>
          <w:color w:val="365F91"/>
          <w:sz w:val="22"/>
          <w:szCs w:val="22"/>
        </w:rPr>
      </w:pPr>
      <w:r>
        <w:rPr>
          <w:rFonts w:ascii="Calibri" w:hAnsi="Calibri" w:cs="Calibri"/>
          <w:b/>
          <w:bCs/>
          <w:color w:val="365F91"/>
          <w:sz w:val="22"/>
          <w:szCs w:val="22"/>
        </w:rPr>
        <w:t>1. Master Future Improvement Register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15"/>
        <w:gridCol w:w="5379"/>
        <w:gridCol w:w="2189"/>
        <w:gridCol w:w="1057"/>
      </w:tblGrid>
      <w:tr w:rsidR="00000000" w14:paraId="5CA231F9"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0A341F"/>
            <w:tcMar>
              <w:top w:w="80" w:type="dxa"/>
              <w:left w:w="80" w:type="dxa"/>
              <w:bottom w:w="80" w:type="dxa"/>
              <w:right w:w="80" w:type="dxa"/>
            </w:tcMar>
            <w:hideMark/>
          </w:tcPr>
          <w:p w14:paraId="0336245D" w14:textId="77777777" w:rsidR="004D5549" w:rsidRDefault="004D5549">
            <w:pPr>
              <w:pStyle w:val="NormalWeb"/>
              <w:spacing w:before="0" w:beforeAutospacing="0" w:after="0" w:afterAutospacing="0"/>
              <w:rPr>
                <w:rFonts w:ascii="Calibri" w:hAnsi="Calibri" w:cs="Calibri"/>
                <w:color w:val="797979"/>
                <w:sz w:val="22"/>
                <w:szCs w:val="22"/>
              </w:rPr>
            </w:pPr>
            <w:r>
              <w:rPr>
                <w:rFonts w:ascii="Calibri" w:hAnsi="Calibri" w:cs="Calibri"/>
                <w:b/>
                <w:bCs/>
                <w:color w:val="797979"/>
                <w:sz w:val="22"/>
                <w:szCs w:val="22"/>
              </w:rPr>
              <w:t>ID</w:t>
            </w:r>
          </w:p>
        </w:tc>
        <w:tc>
          <w:tcPr>
            <w:tcW w:w="7926" w:type="dxa"/>
            <w:tcBorders>
              <w:top w:val="single" w:sz="8" w:space="0" w:color="A3A3A3"/>
              <w:left w:val="single" w:sz="8" w:space="0" w:color="A3A3A3"/>
              <w:bottom w:val="single" w:sz="8" w:space="0" w:color="A3A3A3"/>
              <w:right w:val="single" w:sz="8" w:space="0" w:color="A3A3A3"/>
            </w:tcBorders>
            <w:shd w:val="clear" w:color="auto" w:fill="0A341F"/>
            <w:tcMar>
              <w:top w:w="80" w:type="dxa"/>
              <w:left w:w="80" w:type="dxa"/>
              <w:bottom w:w="80" w:type="dxa"/>
              <w:right w:w="80" w:type="dxa"/>
            </w:tcMar>
            <w:hideMark/>
          </w:tcPr>
          <w:p w14:paraId="4F1DA62D" w14:textId="77777777" w:rsidR="004D5549" w:rsidRDefault="004D5549">
            <w:pPr>
              <w:pStyle w:val="NormalWeb"/>
              <w:spacing w:before="0" w:beforeAutospacing="0" w:after="0" w:afterAutospacing="0"/>
              <w:rPr>
                <w:rFonts w:ascii="Calibri" w:hAnsi="Calibri" w:cs="Calibri"/>
                <w:color w:val="797979"/>
                <w:sz w:val="22"/>
                <w:szCs w:val="22"/>
              </w:rPr>
            </w:pPr>
            <w:r>
              <w:rPr>
                <w:rFonts w:ascii="Calibri" w:hAnsi="Calibri" w:cs="Calibri"/>
                <w:b/>
                <w:bCs/>
                <w:color w:val="797979"/>
                <w:sz w:val="22"/>
                <w:szCs w:val="22"/>
              </w:rPr>
              <w:t>Improvement</w:t>
            </w:r>
          </w:p>
        </w:tc>
        <w:tc>
          <w:tcPr>
            <w:tcW w:w="2608" w:type="dxa"/>
            <w:tcBorders>
              <w:top w:val="single" w:sz="8" w:space="0" w:color="A3A3A3"/>
              <w:left w:val="single" w:sz="8" w:space="0" w:color="A3A3A3"/>
              <w:bottom w:val="single" w:sz="8" w:space="0" w:color="A3A3A3"/>
              <w:right w:val="single" w:sz="8" w:space="0" w:color="A3A3A3"/>
            </w:tcBorders>
            <w:shd w:val="clear" w:color="auto" w:fill="0A341F"/>
            <w:tcMar>
              <w:top w:w="80" w:type="dxa"/>
              <w:left w:w="80" w:type="dxa"/>
              <w:bottom w:w="80" w:type="dxa"/>
              <w:right w:w="80" w:type="dxa"/>
            </w:tcMar>
            <w:hideMark/>
          </w:tcPr>
          <w:p w14:paraId="3F7CF480" w14:textId="77777777" w:rsidR="004D5549" w:rsidRDefault="004D5549">
            <w:pPr>
              <w:pStyle w:val="NormalWeb"/>
              <w:spacing w:before="0" w:beforeAutospacing="0" w:after="0" w:afterAutospacing="0"/>
              <w:rPr>
                <w:rFonts w:ascii="Calibri" w:hAnsi="Calibri" w:cs="Calibri"/>
                <w:color w:val="797979"/>
                <w:sz w:val="22"/>
                <w:szCs w:val="22"/>
              </w:rPr>
            </w:pPr>
            <w:r>
              <w:rPr>
                <w:rFonts w:ascii="Calibri" w:hAnsi="Calibri" w:cs="Calibri"/>
                <w:b/>
                <w:bCs/>
                <w:color w:val="797979"/>
                <w:sz w:val="22"/>
                <w:szCs w:val="22"/>
              </w:rPr>
              <w:t>Area</w:t>
            </w:r>
          </w:p>
        </w:tc>
        <w:tc>
          <w:tcPr>
            <w:tcW w:w="1017" w:type="dxa"/>
            <w:tcBorders>
              <w:top w:val="single" w:sz="8" w:space="0" w:color="A3A3A3"/>
              <w:left w:val="single" w:sz="8" w:space="0" w:color="A3A3A3"/>
              <w:bottom w:val="single" w:sz="8" w:space="0" w:color="A3A3A3"/>
              <w:right w:val="single" w:sz="8" w:space="0" w:color="A3A3A3"/>
            </w:tcBorders>
            <w:shd w:val="clear" w:color="auto" w:fill="0A341F"/>
            <w:tcMar>
              <w:top w:w="80" w:type="dxa"/>
              <w:left w:w="80" w:type="dxa"/>
              <w:bottom w:w="80" w:type="dxa"/>
              <w:right w:w="80" w:type="dxa"/>
            </w:tcMar>
            <w:hideMark/>
          </w:tcPr>
          <w:p w14:paraId="37BCAF69" w14:textId="77777777" w:rsidR="004D5549" w:rsidRDefault="004D5549">
            <w:pPr>
              <w:pStyle w:val="NormalWeb"/>
              <w:spacing w:before="0" w:beforeAutospacing="0" w:after="0" w:afterAutospacing="0"/>
              <w:rPr>
                <w:rFonts w:ascii="Calibri" w:hAnsi="Calibri" w:cs="Calibri"/>
                <w:color w:val="797979"/>
                <w:sz w:val="22"/>
                <w:szCs w:val="22"/>
              </w:rPr>
            </w:pPr>
            <w:r>
              <w:rPr>
                <w:rFonts w:ascii="Calibri" w:hAnsi="Calibri" w:cs="Calibri"/>
                <w:b/>
                <w:bCs/>
                <w:color w:val="797979"/>
                <w:sz w:val="22"/>
                <w:szCs w:val="22"/>
              </w:rPr>
              <w:t>Horizon</w:t>
            </w:r>
          </w:p>
        </w:tc>
      </w:tr>
      <w:tr w:rsidR="00000000" w14:paraId="7CCC5325"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5640DB3"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F-01</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A6E699C"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Production synchronization request/application layer</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8D680DA"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Operations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81A1CB6"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Current</w:t>
            </w:r>
          </w:p>
        </w:tc>
      </w:tr>
      <w:tr w:rsidR="00000000" w14:paraId="70C3A9FC"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59EBB43"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F-02</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582C6E3"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Minimal synchronization user interface</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514F298"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User Experience</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FAB7C12"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Current</w:t>
            </w:r>
          </w:p>
        </w:tc>
      </w:tr>
      <w:tr w:rsidR="00000000" w14:paraId="1FB2ACC3"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D5D14AC"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F-03</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6EEC22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Scheduling and background synchronization</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09B50CC"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Operations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1777AE6"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735010D0"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49A7B33"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F-04</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5751C82"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 xml:space="preserve">Broad </w:t>
            </w:r>
            <w:r>
              <w:rPr>
                <w:rFonts w:ascii="Calibri" w:hAnsi="Calibri" w:cs="Calibri"/>
                <w:color w:val="292929"/>
                <w:sz w:val="22"/>
                <w:szCs w:val="22"/>
              </w:rPr>
              <w:t>repository population</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8D37DEC"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Operations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4928048"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4FA4446F"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1A1E06A"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F-05</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A2B2F3B"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DELETE synchronization</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5BFB36B"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652C034"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3D02B93B"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BE24358"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F-06</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23E6BD2"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Legacy Microsoft Office extraction (.doc, .xls, .ppt)</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FBB4403"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E2CF013"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25629CD0"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C88EC58"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F-07</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BDFB2A1"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Additional extraction formats</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FD488FA"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797CB64"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06244A46"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326971A"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F-08</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A7F9B7D"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Extraction technology evaluation (Apache Tika or alternative)</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C7CB21F"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6CA3371"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32A7C11A"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9421933"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F-09</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7CD9517"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Unsupported-file-type registry</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4DD6BD8"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D7F2B2B"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48B267E4"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8A7C9ED"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F-10</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7FA6DE1"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Binary/image duplicate identification</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D560FFB"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Knowledge Management</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9AFCF5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10688BD9"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F487881"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F-11</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A43F58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 xml:space="preserve">Broader </w:t>
            </w:r>
            <w:r>
              <w:rPr>
                <w:rFonts w:ascii="Calibri" w:hAnsi="Calibri" w:cs="Calibri"/>
                <w:color w:val="292929"/>
                <w:sz w:val="22"/>
                <w:szCs w:val="22"/>
              </w:rPr>
              <w:t>duplicate detection</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C2F483C"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Knowledge Management</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CF2F9DD"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04575A84"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5C9C15A"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F-12</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80B520A"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Domain curation and assignment tooling</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5573A40"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Knowledge Management</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E628363"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493A861D"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6381C7F"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F-13</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1AA03DC"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AI-assisted hierarchy and repository organization suggestions</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262F2F5"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Knowledge Management</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90F40ED"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0197963B"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537D1FC"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lastRenderedPageBreak/>
              <w:t>F-14</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97FAD61"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Metadata completion and repository quality workflows</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22B2D3E"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Knowledge Management</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D73768B"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54C14DCB"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F6AFFEB"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F-15</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6E8B3D6"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Chunking pipeline</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847F971"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Knowledge Management</w:t>
            </w:r>
          </w:p>
        </w:tc>
        <w:tc>
          <w:tcPr>
            <w:tcW w:w="116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C391402"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Near-Term</w:t>
            </w:r>
          </w:p>
        </w:tc>
      </w:tr>
      <w:tr w:rsidR="00000000" w14:paraId="04D7BD2C"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6D24003"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F-16</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AEE6FB6"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Embedding pipeline</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8404A92"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Knowledge Management</w:t>
            </w:r>
          </w:p>
        </w:tc>
        <w:tc>
          <w:tcPr>
            <w:tcW w:w="116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5799861"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Near-Term</w:t>
            </w:r>
          </w:p>
        </w:tc>
      </w:tr>
      <w:tr w:rsidR="00000000" w14:paraId="58322119"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3810518"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F-17</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7AD47D4"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Vector search / semantic retrieval</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DA96F3F"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Knowledge Management</w:t>
            </w:r>
          </w:p>
        </w:tc>
        <w:tc>
          <w:tcPr>
            <w:tcW w:w="116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81DBEEB"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Near-Term</w:t>
            </w:r>
          </w:p>
        </w:tc>
      </w:tr>
      <w:tr w:rsidR="00000000" w14:paraId="1E3599A6"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62CB33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F-18</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BE43DD7"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Retrieval-Augmented Generation (RAG)</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E253A6C"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Knowledge Management</w:t>
            </w:r>
          </w:p>
        </w:tc>
        <w:tc>
          <w:tcPr>
            <w:tcW w:w="116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53F087E"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Near-Term</w:t>
            </w:r>
          </w:p>
        </w:tc>
      </w:tr>
      <w:tr w:rsidR="00000000" w14:paraId="2DC1052F"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95440E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F-19</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04AE8B0"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Knowledge Services layer</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4CD6AB3"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Knowledge Management</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78328CC"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7A2E5D73"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0F0A534"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F-20</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AFEA086"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Agentic AI / AIOS integration</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560E5FB"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AIOS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163BBF4"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111309DD"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FC3EE80"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F-21</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AA189BA"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Additional Sources of Truth / connectors</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22D8D9F"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89ED9B6"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32C872AA"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26E289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F-22</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71829BB"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Connector scaling for many source types</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505D4F4"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BC795BD"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 xml:space="preserve">Future </w:t>
            </w:r>
          </w:p>
        </w:tc>
      </w:tr>
      <w:tr w:rsidR="00000000" w14:paraId="73782D78"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EE3B91A"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F-23</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140F004"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Retry queues and resilient replay</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3448D91"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Operations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7F7AB6B"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63E275D8"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4754044"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F-24</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12F4B4C"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Parallel processing and worker management</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E6846E1"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Operations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173D5EB"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30151293"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1CFBCFC"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F-25</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991B70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 xml:space="preserve">Performance </w:t>
            </w:r>
            <w:r>
              <w:rPr>
                <w:rFonts w:ascii="Calibri" w:hAnsi="Calibri" w:cs="Calibri"/>
                <w:color w:val="292929"/>
                <w:sz w:val="22"/>
                <w:szCs w:val="22"/>
              </w:rPr>
              <w:t>optimization and benchmarking</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627A38D"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Operations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9BA0315"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662C4AF6"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37651FE"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F-26</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D3446C7"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Operational observability</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98C2167"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Operations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FEA2F7A"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426F6CBD"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C44B1EF"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F-27</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26AED41"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Source scope navigation / selection</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B1C7868"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User Experience</w:t>
            </w:r>
          </w:p>
        </w:tc>
        <w:tc>
          <w:tcPr>
            <w:tcW w:w="11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E44048C"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Near-term</w:t>
            </w:r>
          </w:p>
        </w:tc>
      </w:tr>
      <w:tr w:rsidR="00000000" w14:paraId="7C936CB7"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7AB6E7E"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F-28</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6BABDD4"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Pipeline contract principle made explicit in canonical documentation</w:t>
            </w:r>
          </w:p>
        </w:tc>
        <w:tc>
          <w:tcPr>
            <w:tcW w:w="263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51130A1"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Documentation &amp; Process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F835652"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Ongoing</w:t>
            </w:r>
          </w:p>
        </w:tc>
      </w:tr>
      <w:tr w:rsidR="00000000" w14:paraId="0BA4E19E"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EBE9C05"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F-29</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1744941"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Reconcile orchestration module location</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52B097F"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Engineering</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F182088"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Ongoing</w:t>
            </w:r>
          </w:p>
        </w:tc>
      </w:tr>
      <w:tr w:rsidR="00000000" w14:paraId="43C36960"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F702691"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F-30</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C845D0C"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Clarify Translator failure wording</w:t>
            </w:r>
          </w:p>
        </w:tc>
        <w:tc>
          <w:tcPr>
            <w:tcW w:w="263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CF25D11"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Documentation &amp; Process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8E92880"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Ongoing</w:t>
            </w:r>
          </w:p>
        </w:tc>
      </w:tr>
      <w:tr w:rsidR="00000000" w14:paraId="59D29232"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AAE6E87"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F-31</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0D3050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Retire or label stale test assumptions</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A751BDC"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Engineering</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9BAAEDA"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Ongoing</w:t>
            </w:r>
          </w:p>
        </w:tc>
      </w:tr>
      <w:tr w:rsidR="00000000" w14:paraId="0E374854"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E3F806C"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F-32</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52E9D87"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Production-like state-agnostic E2E test pattern</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85E2C45"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Engineering</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FD51FF1"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Ongoing</w:t>
            </w:r>
          </w:p>
        </w:tc>
      </w:tr>
      <w:tr w:rsidR="00000000" w14:paraId="31E97A39"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9DE87F1"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F-33</w:t>
            </w:r>
          </w:p>
        </w:tc>
        <w:tc>
          <w:tcPr>
            <w:tcW w:w="795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912290D"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Test harness distinction between bounded /children scopes and full /delta connectors</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8BDC557"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Engineering</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34890D8"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Ongoing</w:t>
            </w:r>
          </w:p>
        </w:tc>
      </w:tr>
      <w:tr w:rsidR="00000000" w14:paraId="1C4207BC"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502A8AF"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F-34</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20E2275"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Canonical timestamp normalization utility</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34CB705"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Engineering</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11636D3"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Ongoing</w:t>
            </w:r>
          </w:p>
        </w:tc>
      </w:tr>
      <w:tr w:rsidR="00000000" w14:paraId="2001D33D"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C2F6AED"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F-35</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225BF58"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Source-specific change-signal strategy research</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D2A641D"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Engineering</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E4FA1E0"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03EA624F"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1117BDE"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lastRenderedPageBreak/>
              <w:t>F-36</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6C9A9AD"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Formal Lab completion-report pattern</w:t>
            </w:r>
          </w:p>
        </w:tc>
        <w:tc>
          <w:tcPr>
            <w:tcW w:w="263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17F03E6"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Documentation &amp; Process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0C580C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Ongoing</w:t>
            </w:r>
          </w:p>
        </w:tc>
      </w:tr>
      <w:tr w:rsidR="00000000" w14:paraId="0F7ABDD7"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1CA2885"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F-37</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3815C85"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Canonical-document initialization and conflict protocol</w:t>
            </w:r>
          </w:p>
        </w:tc>
        <w:tc>
          <w:tcPr>
            <w:tcW w:w="263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4C72ADE"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Documentation &amp; Process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7C4443E"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Ongoing</w:t>
            </w:r>
          </w:p>
        </w:tc>
      </w:tr>
      <w:tr w:rsidR="00000000" w14:paraId="661153FB"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2D1A73C"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F-38</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009A99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Request Rejection Persistence</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DBC35B6"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Operations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8656CF1"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Current</w:t>
            </w:r>
          </w:p>
        </w:tc>
      </w:tr>
      <w:tr w:rsidR="00000000" w14:paraId="6203579F"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1CFBCE5"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F-39</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98E6891"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Job Scheduling</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74E788A"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Operations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8731542"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70D12179"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5455604"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F-40</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0019678"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Configurable Retry Policy</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7F64A38"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Operations</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E8A0AE7"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4628812C"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1FE0BD4"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F-41</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A189B02"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Out-of-Box Sources</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CFF7126"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EA474FA"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r w:rsidR="00000000" w14:paraId="750FB6D6" w14:textId="77777777">
        <w:trPr>
          <w:divId w:val="588585886"/>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AF0537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F-42</w:t>
            </w:r>
          </w:p>
        </w:tc>
        <w:tc>
          <w:tcPr>
            <w:tcW w:w="7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0BEFE4F"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Extensible Source integration</w:t>
            </w:r>
          </w:p>
        </w:tc>
        <w:tc>
          <w:tcPr>
            <w:tcW w:w="26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A2EDCC4"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w:t>
            </w:r>
          </w:p>
        </w:tc>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2D80A4B"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Future</w:t>
            </w:r>
          </w:p>
        </w:tc>
      </w:tr>
    </w:tbl>
    <w:p w14:paraId="76E6168A" w14:textId="77777777" w:rsidR="004D5549" w:rsidRDefault="004D5549">
      <w:pPr>
        <w:pStyle w:val="NormalWeb"/>
        <w:spacing w:before="240" w:beforeAutospacing="0" w:after="120" w:afterAutospacing="0"/>
        <w:rPr>
          <w:rFonts w:ascii="Calibri" w:hAnsi="Calibri" w:cs="Calibri"/>
          <w:color w:val="365F91"/>
          <w:sz w:val="22"/>
          <w:szCs w:val="22"/>
        </w:rPr>
      </w:pPr>
      <w:r>
        <w:rPr>
          <w:rFonts w:ascii="Calibri" w:hAnsi="Calibri" w:cs="Calibri"/>
          <w:b/>
          <w:bCs/>
          <w:color w:val="365F91"/>
          <w:sz w:val="22"/>
          <w:szCs w:val="22"/>
        </w:rPr>
        <w:t>2. Detailed Improvement Notes</w:t>
      </w:r>
    </w:p>
    <w:p w14:paraId="73FBB46D"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F-01 Production synchronization request/application layer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71"/>
        <w:gridCol w:w="7669"/>
      </w:tblGrid>
      <w:tr w:rsidR="00000000" w14:paraId="1E17E8F1" w14:textId="77777777">
        <w:trPr>
          <w:divId w:val="1815950817"/>
        </w:trPr>
        <w:tc>
          <w:tcPr>
            <w:tcW w:w="188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A45A306"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46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C8BE688"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Operationalization | Near-term / Lab 8</w:t>
            </w:r>
          </w:p>
        </w:tc>
      </w:tr>
      <w:tr w:rsidR="00000000" w14:paraId="246FBB62" w14:textId="77777777">
        <w:trPr>
          <w:divId w:val="1815950817"/>
        </w:trPr>
        <w:tc>
          <w:tcPr>
            <w:tcW w:w="188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6503102"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46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D74C9D5"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 xml:space="preserve">Define </w:t>
            </w:r>
            <w:r>
              <w:rPr>
                <w:rFonts w:ascii="Calibri" w:hAnsi="Calibri" w:cs="Calibri"/>
                <w:color w:val="292929"/>
                <w:sz w:val="22"/>
                <w:szCs w:val="22"/>
              </w:rPr>
              <w:t>the application contract above SynchronizationOrchestrator so a caller can specify Source, Scope, recursive behavior, and Synchronize without constructing test infrastructure.</w:t>
            </w:r>
          </w:p>
        </w:tc>
      </w:tr>
      <w:tr w:rsidR="00000000" w14:paraId="2179E6A0" w14:textId="77777777">
        <w:trPr>
          <w:divId w:val="1815950817"/>
        </w:trPr>
        <w:tc>
          <w:tcPr>
            <w:tcW w:w="188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D74719F"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46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737C47E"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The Orchestrator remains the pipeline binder. Do not create a second pipeline engine.</w:t>
            </w:r>
          </w:p>
        </w:tc>
      </w:tr>
    </w:tbl>
    <w:p w14:paraId="5C913B3A"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F-02 Minimal synchronization user interface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11"/>
        <w:gridCol w:w="7329"/>
      </w:tblGrid>
      <w:tr w:rsidR="00000000" w14:paraId="63042498" w14:textId="77777777">
        <w:trPr>
          <w:divId w:val="530146120"/>
        </w:trPr>
        <w:tc>
          <w:tcPr>
            <w:tcW w:w="236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4A99F543"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99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F62F956"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Operationalization | Near-term / Lab 8</w:t>
            </w:r>
          </w:p>
        </w:tc>
      </w:tr>
      <w:tr w:rsidR="00000000" w14:paraId="7E093982" w14:textId="77777777">
        <w:trPr>
          <w:divId w:val="530146120"/>
        </w:trPr>
        <w:tc>
          <w:tcPr>
            <w:tcW w:w="236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0FCB895"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99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A41EC0A"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 xml:space="preserve">Provide a simple source/scope selector, recursive control, Synchronize action, and </w:t>
            </w:r>
            <w:r>
              <w:rPr>
                <w:rFonts w:ascii="Calibri" w:hAnsi="Calibri" w:cs="Calibri"/>
                <w:color w:val="292929"/>
                <w:sz w:val="22"/>
                <w:szCs w:val="22"/>
              </w:rPr>
              <w:t>standardized result/status display.</w:t>
            </w:r>
          </w:p>
        </w:tc>
      </w:tr>
      <w:tr w:rsidR="00000000" w14:paraId="7641C05D" w14:textId="77777777">
        <w:trPr>
          <w:divId w:val="530146120"/>
        </w:trPr>
        <w:tc>
          <w:tcPr>
            <w:tcW w:w="236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42F0366C"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99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464B35D"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GUI follows the request/application contract; do not begin by embedding pipeline logic in the UI.</w:t>
            </w:r>
          </w:p>
        </w:tc>
      </w:tr>
    </w:tbl>
    <w:p w14:paraId="537D97DC"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F-03 Scheduling and background synchronization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45"/>
        <w:gridCol w:w="7295"/>
      </w:tblGrid>
      <w:tr w:rsidR="00000000" w14:paraId="5AEFDC24" w14:textId="77777777">
        <w:trPr>
          <w:divId w:val="2012370779"/>
        </w:trPr>
        <w:tc>
          <w:tcPr>
            <w:tcW w:w="239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437B84E"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995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8A6329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Operations | Future</w:t>
            </w:r>
          </w:p>
        </w:tc>
      </w:tr>
      <w:tr w:rsidR="00000000" w14:paraId="74D4591F" w14:textId="77777777">
        <w:trPr>
          <w:divId w:val="2012370779"/>
        </w:trPr>
        <w:tc>
          <w:tcPr>
            <w:tcW w:w="239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EDD32A3"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995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6EC5DB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Allow synchronization to run without manual invocation, including recurring schedules and background execution.</w:t>
            </w:r>
          </w:p>
        </w:tc>
      </w:tr>
      <w:tr w:rsidR="00000000" w14:paraId="73830FCB" w14:textId="77777777">
        <w:trPr>
          <w:divId w:val="2012370779"/>
        </w:trPr>
        <w:tc>
          <w:tcPr>
            <w:tcW w:w="239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16BEF14"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995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4BF8CA2"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May eventually require scheduler, job queue, worker management, retry policy, and concurrency controls.</w:t>
            </w:r>
          </w:p>
        </w:tc>
      </w:tr>
    </w:tbl>
    <w:p w14:paraId="0601E326"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F-04 Broad repository population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29"/>
        <w:gridCol w:w="7411"/>
      </w:tblGrid>
      <w:tr w:rsidR="00000000" w14:paraId="37A56398" w14:textId="77777777">
        <w:trPr>
          <w:divId w:val="834493011"/>
        </w:trPr>
        <w:tc>
          <w:tcPr>
            <w:tcW w:w="221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173DAC9"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13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49D0A6B"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Operations | Future controlled rollout</w:t>
            </w:r>
          </w:p>
        </w:tc>
      </w:tr>
      <w:tr w:rsidR="00000000" w14:paraId="74568987" w14:textId="77777777">
        <w:trPr>
          <w:divId w:val="834493011"/>
        </w:trPr>
        <w:tc>
          <w:tcPr>
            <w:tcW w:w="221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EEA84F3"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13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5FB4A1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Populate the canonical repository beyond controlled test scopes after production request controls and operational safeguards exist.</w:t>
            </w:r>
          </w:p>
        </w:tc>
      </w:tr>
      <w:tr w:rsidR="00000000" w14:paraId="0F8DF99F" w14:textId="77777777">
        <w:trPr>
          <w:divId w:val="834493011"/>
        </w:trPr>
        <w:tc>
          <w:tcPr>
            <w:tcW w:w="221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6E70830"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13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831F4EC"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Not a test side effect. Scope selection and observability should precede broad ingestion.</w:t>
            </w:r>
          </w:p>
        </w:tc>
      </w:tr>
    </w:tbl>
    <w:p w14:paraId="54AE1437"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F-05 DELETE synchronization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36"/>
        <w:gridCol w:w="7304"/>
      </w:tblGrid>
      <w:tr w:rsidR="00000000" w14:paraId="4C4E11AD" w14:textId="77777777">
        <w:trPr>
          <w:divId w:val="1232081304"/>
        </w:trPr>
        <w:tc>
          <w:tcPr>
            <w:tcW w:w="2390"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54A5873"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996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02FFEC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Synchronization | Future design</w:t>
            </w:r>
          </w:p>
        </w:tc>
      </w:tr>
      <w:tr w:rsidR="00000000" w14:paraId="518B52CC" w14:textId="77777777">
        <w:trPr>
          <w:divId w:val="1232081304"/>
        </w:trPr>
        <w:tc>
          <w:tcPr>
            <w:tcW w:w="2390"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A08FD94"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996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5F4F5EC"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 xml:space="preserve">Detect </w:t>
            </w:r>
            <w:r>
              <w:rPr>
                <w:rFonts w:ascii="Calibri" w:hAnsi="Calibri" w:cs="Calibri"/>
                <w:color w:val="292929"/>
                <w:sz w:val="22"/>
                <w:szCs w:val="22"/>
              </w:rPr>
              <w:t>and safely represent source deletions and any related restored/deleted lifecycle behavior.</w:t>
            </w:r>
          </w:p>
        </w:tc>
      </w:tr>
      <w:tr w:rsidR="00000000" w14:paraId="27DD3F55" w14:textId="77777777">
        <w:trPr>
          <w:divId w:val="1232081304"/>
        </w:trPr>
        <w:tc>
          <w:tcPr>
            <w:tcW w:w="2390"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8F443E2"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996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DDD24E4"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Explicitly excluded from Lab 7. Requires careful canonical semantics and Sync History rules before implementation.</w:t>
            </w:r>
          </w:p>
        </w:tc>
      </w:tr>
    </w:tbl>
    <w:p w14:paraId="6DD36722"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F-06 Legacy Microsoft Office extraction (.doc, .xls, .ppt)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45"/>
        <w:gridCol w:w="7095"/>
      </w:tblGrid>
      <w:tr w:rsidR="00000000" w14:paraId="732669A5" w14:textId="77777777">
        <w:trPr>
          <w:divId w:val="867572282"/>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2287996"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841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5CD619C"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Extraction | Future</w:t>
            </w:r>
          </w:p>
        </w:tc>
      </w:tr>
      <w:tr w:rsidR="00000000" w14:paraId="6621D384" w14:textId="77777777">
        <w:trPr>
          <w:divId w:val="867572282"/>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3AFE630"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851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E1E9408"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Extend extraction coverage for substantial legacy document inventory observed in OneDrive.</w:t>
            </w:r>
          </w:p>
        </w:tc>
      </w:tr>
      <w:tr w:rsidR="00000000" w14:paraId="3B601ED5" w14:textId="77777777">
        <w:trPr>
          <w:divId w:val="867572282"/>
        </w:trPr>
        <w:tc>
          <w:tcPr>
            <w:tcW w:w="2484"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ABC5C46"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838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72CC3CB"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 xml:space="preserve">Keep </w:t>
            </w:r>
            <w:r>
              <w:rPr>
                <w:rFonts w:ascii="Calibri" w:hAnsi="Calibri" w:cs="Calibri"/>
                <w:color w:val="292929"/>
                <w:sz w:val="22"/>
                <w:szCs w:val="22"/>
              </w:rPr>
              <w:t>format support extensible; avoid format-specific leakage into orchestration.</w:t>
            </w:r>
          </w:p>
        </w:tc>
      </w:tr>
    </w:tbl>
    <w:p w14:paraId="718BB448"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F-07 Additional extraction formats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20"/>
        <w:gridCol w:w="7520"/>
      </w:tblGrid>
      <w:tr w:rsidR="00000000" w14:paraId="79E81C19" w14:textId="77777777">
        <w:trPr>
          <w:divId w:val="208415931"/>
        </w:trPr>
        <w:tc>
          <w:tcPr>
            <w:tcW w:w="2032"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790255F"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32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FF660B1"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Extraction | Future</w:t>
            </w:r>
          </w:p>
        </w:tc>
      </w:tr>
      <w:tr w:rsidR="00000000" w14:paraId="051ECAA6" w14:textId="77777777">
        <w:trPr>
          <w:divId w:val="208415931"/>
        </w:trPr>
        <w:tc>
          <w:tcPr>
            <w:tcW w:w="2059"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88AD4F4"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29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11887CE"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Evaluate other unsupported knowledge-bearing formats found in the full OneDrive inventory, including .pptx, .rtf, .xlsm and other evidence-backed formats.</w:t>
            </w:r>
          </w:p>
        </w:tc>
      </w:tr>
      <w:tr w:rsidR="00000000" w14:paraId="0EF658D7" w14:textId="77777777">
        <w:trPr>
          <w:divId w:val="208415931"/>
        </w:trPr>
        <w:tc>
          <w:tcPr>
            <w:tcW w:w="2032"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950E97F"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32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01A608B"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Prioritize by actual corpus value and prevalence rather than extension count alone.</w:t>
            </w:r>
          </w:p>
        </w:tc>
      </w:tr>
    </w:tbl>
    <w:p w14:paraId="1BBAE742"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F-08 Extraction technology evaluation (Apache Tika or alternative)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33"/>
        <w:gridCol w:w="7407"/>
      </w:tblGrid>
      <w:tr w:rsidR="00000000" w14:paraId="2D48F806" w14:textId="77777777">
        <w:trPr>
          <w:divId w:val="1435636350"/>
        </w:trPr>
        <w:tc>
          <w:tcPr>
            <w:tcW w:w="221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C4684D4"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13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862B1B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Extraction | Future decision</w:t>
            </w:r>
          </w:p>
        </w:tc>
      </w:tr>
      <w:tr w:rsidR="00000000" w14:paraId="00EB3CB9" w14:textId="77777777">
        <w:trPr>
          <w:divId w:val="1435636350"/>
        </w:trPr>
        <w:tc>
          <w:tcPr>
            <w:tcW w:w="221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35FD4A5"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13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E6DAF4E"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Evaluate whether a mature extraction framework should supplement or replace parts of the current format-specific extractor stack.</w:t>
            </w:r>
          </w:p>
        </w:tc>
      </w:tr>
      <w:tr w:rsidR="00000000" w14:paraId="1E26E64F" w14:textId="77777777">
        <w:trPr>
          <w:divId w:val="1435636350"/>
        </w:trPr>
        <w:tc>
          <w:tcPr>
            <w:tcW w:w="221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B854292"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13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257D22E"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No technology adoption decision was made in Lab 7.</w:t>
            </w:r>
          </w:p>
        </w:tc>
      </w:tr>
    </w:tbl>
    <w:p w14:paraId="555E35FF"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F-09 Unsupported-file-type registry</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96"/>
        <w:gridCol w:w="7444"/>
      </w:tblGrid>
      <w:tr w:rsidR="00000000" w14:paraId="2DA28D2E" w14:textId="77777777">
        <w:trPr>
          <w:divId w:val="1371227177"/>
        </w:trPr>
        <w:tc>
          <w:tcPr>
            <w:tcW w:w="2169"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A4A548D"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18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09A61B1"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Extraction / Observability | Future</w:t>
            </w:r>
          </w:p>
        </w:tc>
      </w:tr>
      <w:tr w:rsidR="00000000" w14:paraId="3B4BB21D" w14:textId="77777777">
        <w:trPr>
          <w:divId w:val="1371227177"/>
        </w:trPr>
        <w:tc>
          <w:tcPr>
            <w:tcW w:w="2169"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00EFB4C"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18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9CB676D"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 xml:space="preserve">Record one evidence-backed entry for each newly encountered unsupported extension so </w:t>
            </w:r>
            <w:r>
              <w:rPr>
                <w:rFonts w:ascii="Calibri" w:hAnsi="Calibri" w:cs="Calibri"/>
                <w:color w:val="292929"/>
                <w:sz w:val="22"/>
                <w:szCs w:val="22"/>
              </w:rPr>
              <w:t>extraction gaps become a measurable backlog.</w:t>
            </w:r>
          </w:p>
        </w:tc>
      </w:tr>
      <w:tr w:rsidR="00000000" w14:paraId="2BD1BFDD" w14:textId="77777777">
        <w:trPr>
          <w:divId w:val="1371227177"/>
        </w:trPr>
        <w:tc>
          <w:tcPr>
            <w:tcW w:w="2169"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1FCE37E"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18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DB03443"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Schema, ownership, lifecycle, and whether this is operational or derived data remain to be designed.</w:t>
            </w:r>
          </w:p>
        </w:tc>
      </w:tr>
    </w:tbl>
    <w:p w14:paraId="28BA4CBD"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F-10 Binary/image duplicate identification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28"/>
        <w:gridCol w:w="7312"/>
      </w:tblGrid>
      <w:tr w:rsidR="00000000" w14:paraId="5B25DC4B" w14:textId="77777777">
        <w:trPr>
          <w:divId w:val="1086000221"/>
        </w:trPr>
        <w:tc>
          <w:tcPr>
            <w:tcW w:w="2372"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E1EC521"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99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D7D4DFE"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Knowledge Curation / Quality | Future</w:t>
            </w:r>
          </w:p>
        </w:tc>
      </w:tr>
      <w:tr w:rsidR="00000000" w14:paraId="181FD0B8" w14:textId="77777777">
        <w:trPr>
          <w:divId w:val="1086000221"/>
        </w:trPr>
        <w:tc>
          <w:tcPr>
            <w:tcW w:w="2372"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6810CF9"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99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FDBA398"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Identify exact duplicate images, initially .jpg and .png, likely using binary hashes without semantic image analysis.</w:t>
            </w:r>
          </w:p>
        </w:tc>
      </w:tr>
      <w:tr w:rsidR="00000000" w14:paraId="34BE7806" w14:textId="77777777">
        <w:trPr>
          <w:divId w:val="1086000221"/>
        </w:trPr>
        <w:tc>
          <w:tcPr>
            <w:tcW w:w="2372"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796D5CC"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99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094BA5F"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 xml:space="preserve">Duplicate </w:t>
            </w:r>
            <w:r>
              <w:rPr>
                <w:rFonts w:ascii="Calibri" w:hAnsi="Calibri" w:cs="Calibri"/>
                <w:color w:val="292929"/>
                <w:sz w:val="22"/>
                <w:szCs w:val="22"/>
              </w:rPr>
              <w:t>interpretation is not Synchronization state and should remain outside Discovery.</w:t>
            </w:r>
          </w:p>
        </w:tc>
      </w:tr>
    </w:tbl>
    <w:p w14:paraId="0A0F49C9"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F-11 Broader duplicate detection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49"/>
        <w:gridCol w:w="7391"/>
      </w:tblGrid>
      <w:tr w:rsidR="00000000" w14:paraId="5AB9552C" w14:textId="77777777">
        <w:trPr>
          <w:divId w:val="2045135076"/>
        </w:trPr>
        <w:tc>
          <w:tcPr>
            <w:tcW w:w="227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78E6210"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07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C54C292"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Knowledge Services / Quality | Future</w:t>
            </w:r>
          </w:p>
        </w:tc>
      </w:tr>
      <w:tr w:rsidR="00000000" w14:paraId="5895E72B" w14:textId="77777777">
        <w:trPr>
          <w:divId w:val="2045135076"/>
        </w:trPr>
        <w:tc>
          <w:tcPr>
            <w:tcW w:w="227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30555D3"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07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EBA3527"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Extend duplicate analysis beyond exact image duplicates to other knowledge assets when the derived-knowledge layer exists.</w:t>
            </w:r>
          </w:p>
        </w:tc>
      </w:tr>
      <w:tr w:rsidR="00000000" w14:paraId="10810A9B" w14:textId="77777777">
        <w:trPr>
          <w:divId w:val="2045135076"/>
        </w:trPr>
        <w:tc>
          <w:tcPr>
            <w:tcW w:w="227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9D239D6"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07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10178B8"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Earlier architecture already anticipated duplicate_detection as derived knowledge.</w:t>
            </w:r>
          </w:p>
        </w:tc>
      </w:tr>
    </w:tbl>
    <w:p w14:paraId="41809508"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F-12 Domain curation and assignment tooling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89"/>
        <w:gridCol w:w="7251"/>
      </w:tblGrid>
      <w:tr w:rsidR="00000000" w14:paraId="638E00CB" w14:textId="77777777">
        <w:trPr>
          <w:divId w:val="1094397571"/>
        </w:trPr>
        <w:tc>
          <w:tcPr>
            <w:tcW w:w="244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CE21AA3"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991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924CB0A"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 xml:space="preserve">Knowledge </w:t>
            </w:r>
            <w:r>
              <w:rPr>
                <w:rFonts w:ascii="Calibri" w:hAnsi="Calibri" w:cs="Calibri"/>
                <w:color w:val="292929"/>
                <w:sz w:val="22"/>
                <w:szCs w:val="22"/>
              </w:rPr>
              <w:t>Curation | Future</w:t>
            </w:r>
          </w:p>
        </w:tc>
      </w:tr>
      <w:tr w:rsidR="00000000" w14:paraId="109A3DE4" w14:textId="77777777">
        <w:trPr>
          <w:divId w:val="1094397571"/>
        </w:trPr>
        <w:tc>
          <w:tcPr>
            <w:tcW w:w="244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9C1547F"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991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8D3636D"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Review canonical Knowledge Objects with domain_id = NULL and assign logical Domains after synchronization.</w:t>
            </w:r>
          </w:p>
        </w:tc>
      </w:tr>
      <w:tr w:rsidR="00000000" w14:paraId="0DD58B42" w14:textId="77777777">
        <w:trPr>
          <w:divId w:val="1094397571"/>
        </w:trPr>
        <w:tc>
          <w:tcPr>
            <w:tcW w:w="246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8451FE2"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988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EE4E296"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Synchronization never infers Domains. User and/or AIOS performs curation.</w:t>
            </w:r>
          </w:p>
        </w:tc>
      </w:tr>
    </w:tbl>
    <w:p w14:paraId="544C12A1"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F-13 AI-assisted hierarchy and repository organization suggestions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61"/>
        <w:gridCol w:w="7379"/>
      </w:tblGrid>
      <w:tr w:rsidR="00000000" w14:paraId="369C5187" w14:textId="77777777">
        <w:trPr>
          <w:divId w:val="1744640576"/>
        </w:trPr>
        <w:tc>
          <w:tcPr>
            <w:tcW w:w="2292"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5739869"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0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EAAB987"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Knowledge Curation / AIOS | Future</w:t>
            </w:r>
          </w:p>
        </w:tc>
      </w:tr>
      <w:tr w:rsidR="00000000" w14:paraId="4EA131B2" w14:textId="77777777">
        <w:trPr>
          <w:divId w:val="1744640576"/>
        </w:trPr>
        <w:tc>
          <w:tcPr>
            <w:tcW w:w="2292"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5F06796"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10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2C29A2B"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Use canonical knowledge and domain information to recommend more coherent Source-of-Truth hierarchy or organization.</w:t>
            </w:r>
          </w:p>
        </w:tc>
      </w:tr>
      <w:tr w:rsidR="00000000" w14:paraId="01CC6F13" w14:textId="77777777">
        <w:trPr>
          <w:divId w:val="1744640576"/>
        </w:trPr>
        <w:tc>
          <w:tcPr>
            <w:tcW w:w="2292"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8FC5DD9"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0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4A8FBB1"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Recommendations are interpretive. User retains final organizational decisions.</w:t>
            </w:r>
          </w:p>
        </w:tc>
      </w:tr>
    </w:tbl>
    <w:p w14:paraId="1ACDE11B"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F-14 Metadata completion and repository quality workflows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22"/>
        <w:gridCol w:w="7518"/>
      </w:tblGrid>
      <w:tr w:rsidR="00000000" w14:paraId="2AF70D75" w14:textId="77777777">
        <w:trPr>
          <w:divId w:val="2065173719"/>
        </w:trPr>
        <w:tc>
          <w:tcPr>
            <w:tcW w:w="204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7417AF0"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3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6162785"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Knowledge Curation | Future</w:t>
            </w:r>
          </w:p>
        </w:tc>
      </w:tr>
      <w:tr w:rsidR="00000000" w14:paraId="6A91328D" w14:textId="77777777">
        <w:trPr>
          <w:divId w:val="2065173719"/>
        </w:trPr>
        <w:tc>
          <w:tcPr>
            <w:tcW w:w="207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2CC09CF"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27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8A12EE7"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Provide post-synchronization processes for incomplete metadata, organizational cleanup, obsolete-content review, and repository-quality improvements.</w:t>
            </w:r>
          </w:p>
        </w:tc>
      </w:tr>
      <w:tr w:rsidR="00000000" w14:paraId="78BCBD5D" w14:textId="77777777">
        <w:trPr>
          <w:divId w:val="2065173719"/>
        </w:trPr>
        <w:tc>
          <w:tcPr>
            <w:tcW w:w="204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F4D34DF"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3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FF22D33"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Keep interpretive judgments out of Synchronization.</w:t>
            </w:r>
          </w:p>
        </w:tc>
      </w:tr>
    </w:tbl>
    <w:p w14:paraId="7BB98FB1"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F-15 Chunking pipeline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54"/>
        <w:gridCol w:w="6986"/>
      </w:tblGrid>
      <w:tr w:rsidR="00000000" w14:paraId="0A2C512A" w14:textId="77777777">
        <w:trPr>
          <w:divId w:val="1045371833"/>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8CA83B2"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75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C2B0A06"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 xml:space="preserve">Derived </w:t>
            </w:r>
            <w:r>
              <w:rPr>
                <w:rFonts w:ascii="Calibri" w:hAnsi="Calibri" w:cs="Calibri"/>
                <w:color w:val="292929"/>
                <w:sz w:val="22"/>
                <w:szCs w:val="22"/>
              </w:rPr>
              <w:t>Knowledge | Future lab</w:t>
            </w:r>
          </w:p>
        </w:tc>
      </w:tr>
      <w:tr w:rsidR="00000000" w14:paraId="55AB9013" w14:textId="77777777">
        <w:trPr>
          <w:divId w:val="1045371833"/>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1326896"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767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5E32266"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Split canonical content into retrieval units with metadata and context preservation.</w:t>
            </w:r>
          </w:p>
        </w:tc>
      </w:tr>
      <w:tr w:rsidR="00000000" w14:paraId="7528C7FA" w14:textId="77777777">
        <w:trPr>
          <w:divId w:val="1045371833"/>
        </w:trPr>
        <w:tc>
          <w:tcPr>
            <w:tcW w:w="2484"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1C30DC2"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754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2F391B0"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Derived knowledge must remain separate from canonical Knowledge Objects.</w:t>
            </w:r>
          </w:p>
        </w:tc>
      </w:tr>
    </w:tbl>
    <w:p w14:paraId="388CC71E"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F-16 Embedding pipeline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484"/>
        <w:gridCol w:w="6666"/>
      </w:tblGrid>
      <w:tr w:rsidR="00000000" w14:paraId="69FF6D65" w14:textId="77777777">
        <w:trPr>
          <w:divId w:val="1509712043"/>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BBFA923"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656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2C85205"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Derived Knowledge | Future lab</w:t>
            </w:r>
          </w:p>
        </w:tc>
      </w:tr>
      <w:tr w:rsidR="00000000" w14:paraId="1E3E283E" w14:textId="77777777">
        <w:trPr>
          <w:divId w:val="1509712043"/>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714A4E5"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666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E069991"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Generate vector representations for semantic comparison and retrieval.</w:t>
            </w:r>
          </w:p>
        </w:tc>
      </w:tr>
      <w:tr w:rsidR="00000000" w14:paraId="2D8DD7BC" w14:textId="77777777">
        <w:trPr>
          <w:divId w:val="1509712043"/>
        </w:trPr>
        <w:tc>
          <w:tcPr>
            <w:tcW w:w="2484"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19AA0D3"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653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4189160"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Requires explicit derived-data storage and model/version metadata.</w:t>
            </w:r>
          </w:p>
        </w:tc>
      </w:tr>
    </w:tbl>
    <w:p w14:paraId="359A0231"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F-17 Vector search / semantic retrieval</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96"/>
        <w:gridCol w:w="6944"/>
      </w:tblGrid>
      <w:tr w:rsidR="00000000" w14:paraId="6DCED58A" w14:textId="77777777">
        <w:trPr>
          <w:divId w:val="1064717874"/>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052E2CC"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728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6D39383"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Knowledge Services | Future lab</w:t>
            </w:r>
          </w:p>
        </w:tc>
      </w:tr>
      <w:tr w:rsidR="00000000" w14:paraId="2D87749E" w14:textId="77777777">
        <w:trPr>
          <w:divId w:val="1064717874"/>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2E2FDE1"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738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9326632"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Index embeddings and provide semantic retrieval over AlphaOmega knowledge.</w:t>
            </w:r>
          </w:p>
        </w:tc>
      </w:tr>
      <w:tr w:rsidR="00000000" w14:paraId="23771929" w14:textId="77777777">
        <w:trPr>
          <w:divId w:val="1064717874"/>
        </w:trPr>
        <w:tc>
          <w:tcPr>
            <w:tcW w:w="2484"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40918CD1"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725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AD40957"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Technology selection should follow actual retrieval requirements.</w:t>
            </w:r>
          </w:p>
        </w:tc>
      </w:tr>
    </w:tbl>
    <w:p w14:paraId="2B0D0978"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F-18 Retrieval-Augmented Generation (RAG)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57"/>
        <w:gridCol w:w="7183"/>
      </w:tblGrid>
      <w:tr w:rsidR="00000000" w14:paraId="34F6927E" w14:textId="77777777">
        <w:trPr>
          <w:divId w:val="1329795640"/>
        </w:trPr>
        <w:tc>
          <w:tcPr>
            <w:tcW w:w="241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E3116B0"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874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C402C77"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Knowledge Services | Future lab</w:t>
            </w:r>
          </w:p>
        </w:tc>
      </w:tr>
      <w:tr w:rsidR="00000000" w14:paraId="32B3E085" w14:textId="77777777">
        <w:trPr>
          <w:divId w:val="1329795640"/>
        </w:trPr>
        <w:tc>
          <w:tcPr>
            <w:tcW w:w="241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25ECDA1"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884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A037BDF"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Ground model responses in retrieved AlphaOmega knowledge with source traceability/citations.</w:t>
            </w:r>
          </w:p>
        </w:tc>
      </w:tr>
      <w:tr w:rsidR="00000000" w14:paraId="4BF87A8B" w14:textId="77777777">
        <w:trPr>
          <w:divId w:val="1329795640"/>
        </w:trPr>
        <w:tc>
          <w:tcPr>
            <w:tcW w:w="243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9B9253C"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871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ED63D40"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RAG consumes canonical/derived knowledge; it does not replace synchronization.</w:t>
            </w:r>
          </w:p>
        </w:tc>
      </w:tr>
    </w:tbl>
    <w:p w14:paraId="16820C7A"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F-19 Knowledge Services layer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58"/>
        <w:gridCol w:w="7382"/>
      </w:tblGrid>
      <w:tr w:rsidR="00000000" w14:paraId="3C272E21" w14:textId="77777777">
        <w:trPr>
          <w:divId w:val="1607424826"/>
        </w:trPr>
        <w:tc>
          <w:tcPr>
            <w:tcW w:w="2290"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6255FF7"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0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2DF50B0"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Knowledge Services | Future</w:t>
            </w:r>
          </w:p>
        </w:tc>
      </w:tr>
      <w:tr w:rsidR="00000000" w14:paraId="169A89AB" w14:textId="77777777">
        <w:trPr>
          <w:divId w:val="1607424826"/>
        </w:trPr>
        <w:tc>
          <w:tcPr>
            <w:tcW w:w="2290"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462178B0"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0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D1FC378"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Create reusable services above the canonical repository for retrieval, search, summarization, analysis, and other consumers.</w:t>
            </w:r>
          </w:p>
        </w:tc>
      </w:tr>
      <w:tr w:rsidR="00000000" w14:paraId="7714F3AE" w14:textId="77777777">
        <w:trPr>
          <w:divId w:val="1607424826"/>
        </w:trPr>
        <w:tc>
          <w:tcPr>
            <w:tcW w:w="2290"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41A02C01"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0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8C4F5C2"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Maintain boundary between factual canonical repository and derived/interpretive services.</w:t>
            </w:r>
          </w:p>
        </w:tc>
      </w:tr>
    </w:tbl>
    <w:p w14:paraId="79D5631A"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F-20 Agentic AI / AIOS integration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30"/>
        <w:gridCol w:w="7410"/>
      </w:tblGrid>
      <w:tr w:rsidR="00000000" w14:paraId="503670F4" w14:textId="77777777">
        <w:trPr>
          <w:divId w:val="1847943435"/>
        </w:trPr>
        <w:tc>
          <w:tcPr>
            <w:tcW w:w="2229"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A47D742"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12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119A75E"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AIOS | Future</w:t>
            </w:r>
          </w:p>
        </w:tc>
      </w:tr>
      <w:tr w:rsidR="00000000" w14:paraId="7256F500" w14:textId="77777777">
        <w:trPr>
          <w:divId w:val="1847943435"/>
        </w:trPr>
        <w:tc>
          <w:tcPr>
            <w:tcW w:w="2229"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3981622"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12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C960553"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Allow agents to reason over AlphaOmega, identify knowledge gaps, recommend organization, and support higher-level workflows.</w:t>
            </w:r>
          </w:p>
        </w:tc>
      </w:tr>
      <w:tr w:rsidR="00000000" w14:paraId="3E313BA1" w14:textId="77777777">
        <w:trPr>
          <w:divId w:val="1847943435"/>
        </w:trPr>
        <w:tc>
          <w:tcPr>
            <w:tcW w:w="2229"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D01F584"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12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F348DD1"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AIOS interprets facts; AlphaOmega Synchronization records facts.</w:t>
            </w:r>
          </w:p>
        </w:tc>
      </w:tr>
    </w:tbl>
    <w:p w14:paraId="01C96BE1"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F-21 Additional Sources of Truth / connectors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60"/>
        <w:gridCol w:w="7280"/>
      </w:tblGrid>
      <w:tr w:rsidR="00000000" w14:paraId="69C4A823" w14:textId="77777777">
        <w:trPr>
          <w:divId w:val="530072841"/>
        </w:trPr>
        <w:tc>
          <w:tcPr>
            <w:tcW w:w="241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73C48CB"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977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EC1541C"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Connector / Translator | Future</w:t>
            </w:r>
          </w:p>
        </w:tc>
      </w:tr>
      <w:tr w:rsidR="00000000" w14:paraId="73FC44F2" w14:textId="77777777">
        <w:trPr>
          <w:divId w:val="530072841"/>
        </w:trPr>
        <w:tc>
          <w:tcPr>
            <w:tcW w:w="241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8732B1F"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987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54A0706"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Add sources such as SharePoint, GitHub, Obsidian, Google Drive, local folders, email, and other repositories.</w:t>
            </w:r>
          </w:p>
        </w:tc>
      </w:tr>
      <w:tr w:rsidR="00000000" w14:paraId="3AB31A25" w14:textId="77777777">
        <w:trPr>
          <w:divId w:val="530072841"/>
        </w:trPr>
        <w:tc>
          <w:tcPr>
            <w:tcW w:w="244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FEDFAF7"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974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7C1A3BB"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 xml:space="preserve">New </w:t>
            </w:r>
            <w:r>
              <w:rPr>
                <w:rFonts w:ascii="Calibri" w:hAnsi="Calibri" w:cs="Calibri"/>
                <w:color w:val="292929"/>
                <w:sz w:val="22"/>
                <w:szCs w:val="22"/>
              </w:rPr>
              <w:t>sources should fit existing Connector/Translator boundaries without redesigning downstream stages.</w:t>
            </w:r>
          </w:p>
        </w:tc>
      </w:tr>
    </w:tbl>
    <w:p w14:paraId="03FED5C9"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F-22 Connector scaling for many source types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18"/>
        <w:gridCol w:w="7322"/>
      </w:tblGrid>
      <w:tr w:rsidR="00000000" w14:paraId="10B96BF4" w14:textId="77777777">
        <w:trPr>
          <w:divId w:val="1524705088"/>
        </w:trPr>
        <w:tc>
          <w:tcPr>
            <w:tcW w:w="238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25C396A"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996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7137698"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Connector / Translator | Future when needed</w:t>
            </w:r>
          </w:p>
        </w:tc>
      </w:tr>
      <w:tr w:rsidR="00000000" w14:paraId="39698B30" w14:textId="77777777">
        <w:trPr>
          <w:divId w:val="1524705088"/>
        </w:trPr>
        <w:tc>
          <w:tcPr>
            <w:tcW w:w="238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46F351A"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996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954E88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Revisit internal connector/translator organization if the number and diversity of Sources of Truth becomes large.</w:t>
            </w:r>
          </w:p>
        </w:tc>
      </w:tr>
      <w:tr w:rsidR="00000000" w14:paraId="624C3952" w14:textId="77777777">
        <w:trPr>
          <w:divId w:val="1524705088"/>
        </w:trPr>
        <w:tc>
          <w:tcPr>
            <w:tcW w:w="238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10D8BDA"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996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FBAF4C0"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Lab 7 concluded that many connectors are a more plausible scaling pressure than many users.</w:t>
            </w:r>
          </w:p>
        </w:tc>
      </w:tr>
    </w:tbl>
    <w:p w14:paraId="213FFB3F"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F-23 Retry queues and resilient replay</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60"/>
        <w:gridCol w:w="6980"/>
      </w:tblGrid>
      <w:tr w:rsidR="00000000" w14:paraId="6A15FC6C" w14:textId="77777777">
        <w:trPr>
          <w:divId w:val="680662921"/>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E966E6A"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755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C1699C5"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Operations / Reliability | Future</w:t>
            </w:r>
          </w:p>
        </w:tc>
      </w:tr>
      <w:tr w:rsidR="00000000" w14:paraId="4229C754" w14:textId="77777777">
        <w:trPr>
          <w:divId w:val="680662921"/>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8819D9D"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755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F887CD5"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Provide controlled retry/replay for transient source or processing failures.</w:t>
            </w:r>
          </w:p>
        </w:tc>
      </w:tr>
      <w:tr w:rsidR="00000000" w14:paraId="2A40B6EE" w14:textId="77777777">
        <w:trPr>
          <w:divId w:val="680662921"/>
        </w:trPr>
        <w:tc>
          <w:tcPr>
            <w:tcW w:w="2484"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7D0B416"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762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C999046"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Must preserve idempotency, Processing Job semantics, and stage trust boundaries.</w:t>
            </w:r>
          </w:p>
        </w:tc>
      </w:tr>
    </w:tbl>
    <w:p w14:paraId="0FB698B6"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F-24 Parallel processing and worker management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84"/>
        <w:gridCol w:w="6956"/>
      </w:tblGrid>
      <w:tr w:rsidR="00000000" w14:paraId="0ED9753A" w14:textId="77777777">
        <w:trPr>
          <w:divId w:val="1289971512"/>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B0D4632"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734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74AE253"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Operations / Scalability | Future</w:t>
            </w:r>
          </w:p>
        </w:tc>
      </w:tr>
      <w:tr w:rsidR="00000000" w14:paraId="2DBB1817" w14:textId="77777777">
        <w:trPr>
          <w:divId w:val="1289971512"/>
        </w:trPr>
        <w:tc>
          <w:tcPr>
            <w:tcW w:w="2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4772FB46"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744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11E9807"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Increase throughput for larger synchronization scopes through safe concurrency.</w:t>
            </w:r>
          </w:p>
        </w:tc>
      </w:tr>
      <w:tr w:rsidR="00000000" w14:paraId="784D128E" w14:textId="77777777">
        <w:trPr>
          <w:divId w:val="1289971512"/>
        </w:trPr>
        <w:tc>
          <w:tcPr>
            <w:tcW w:w="2484"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D97F222"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732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9310301"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 xml:space="preserve">Defer </w:t>
            </w:r>
            <w:r>
              <w:rPr>
                <w:rFonts w:ascii="Calibri" w:hAnsi="Calibri" w:cs="Calibri"/>
                <w:color w:val="292929"/>
                <w:sz w:val="22"/>
                <w:szCs w:val="22"/>
              </w:rPr>
              <w:t>until measured workload justifies complexity.</w:t>
            </w:r>
          </w:p>
        </w:tc>
      </w:tr>
    </w:tbl>
    <w:p w14:paraId="3FCDBF95"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F-25 Performance optimization and benchmarking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08"/>
        <w:gridCol w:w="7332"/>
      </w:tblGrid>
      <w:tr w:rsidR="00000000" w14:paraId="21260347" w14:textId="77777777">
        <w:trPr>
          <w:divId w:val="1705015541"/>
        </w:trPr>
        <w:tc>
          <w:tcPr>
            <w:tcW w:w="233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33B837B"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02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D2FE30C"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Operations / Scalability | Future</w:t>
            </w:r>
          </w:p>
        </w:tc>
      </w:tr>
      <w:tr w:rsidR="00000000" w14:paraId="42A03F70" w14:textId="77777777">
        <w:trPr>
          <w:divId w:val="1705015541"/>
        </w:trPr>
        <w:tc>
          <w:tcPr>
            <w:tcW w:w="233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4A586BF2"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02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D3202BF"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Measure stage throughput, Graph/API cost, database load, extraction time, and large-scope behavior before optimizing.</w:t>
            </w:r>
          </w:p>
        </w:tc>
      </w:tr>
      <w:tr w:rsidR="00000000" w14:paraId="55B89CC8" w14:textId="77777777">
        <w:trPr>
          <w:divId w:val="1705015541"/>
        </w:trPr>
        <w:tc>
          <w:tcPr>
            <w:tcW w:w="233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8AE94AA"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02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C8A0396"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Evidence first; avoid speculative optimization.</w:t>
            </w:r>
          </w:p>
        </w:tc>
      </w:tr>
    </w:tbl>
    <w:p w14:paraId="26639846"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F-26 Operational observability</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93"/>
        <w:gridCol w:w="7347"/>
      </w:tblGrid>
      <w:tr w:rsidR="00000000" w14:paraId="762AB1D4" w14:textId="77777777">
        <w:trPr>
          <w:divId w:val="843937183"/>
        </w:trPr>
        <w:tc>
          <w:tcPr>
            <w:tcW w:w="232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5D57352"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0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8B5EBF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Operations | Future</w:t>
            </w:r>
          </w:p>
        </w:tc>
      </w:tr>
      <w:tr w:rsidR="00000000" w14:paraId="1231A7A8" w14:textId="77777777">
        <w:trPr>
          <w:divId w:val="843937183"/>
        </w:trPr>
        <w:tc>
          <w:tcPr>
            <w:tcW w:w="232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EF51450"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0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B193C77"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 xml:space="preserve">Expose </w:t>
            </w:r>
            <w:r>
              <w:rPr>
                <w:rFonts w:ascii="Calibri" w:hAnsi="Calibri" w:cs="Calibri"/>
                <w:color w:val="292929"/>
                <w:sz w:val="22"/>
                <w:szCs w:val="22"/>
              </w:rPr>
              <w:t>Processing Job status, counts, failures, timing, and useful synchronization diagnostics in a production-facing form.</w:t>
            </w:r>
          </w:p>
        </w:tc>
      </w:tr>
      <w:tr w:rsidR="00000000" w14:paraId="280BEF61" w14:textId="77777777">
        <w:trPr>
          <w:divId w:val="843937183"/>
        </w:trPr>
        <w:tc>
          <w:tcPr>
            <w:tcW w:w="232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5F9866A"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0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0A654B2"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Use existing stage/job ownership rather than leaking implementation internals.</w:t>
            </w:r>
          </w:p>
        </w:tc>
      </w:tr>
    </w:tbl>
    <w:p w14:paraId="6CEB3759"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F-27 Source scope navigation / selection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34"/>
        <w:gridCol w:w="7506"/>
      </w:tblGrid>
      <w:tr w:rsidR="00000000" w14:paraId="73951D4E" w14:textId="77777777">
        <w:trPr>
          <w:divId w:val="824860431"/>
        </w:trPr>
        <w:tc>
          <w:tcPr>
            <w:tcW w:w="220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6B74CBE"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14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107CECC"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Application / UI | Near-term</w:t>
            </w:r>
          </w:p>
        </w:tc>
      </w:tr>
      <w:tr w:rsidR="00000000" w14:paraId="26240A11" w14:textId="77777777">
        <w:trPr>
          <w:divId w:val="824860431"/>
        </w:trPr>
        <w:tc>
          <w:tcPr>
            <w:tcW w:w="220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A923831"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14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6827736"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Allow a user to browse from a source root into notebooks/folders/sections/subfolders and choose a bounded synchronization scope.</w:t>
            </w:r>
          </w:p>
        </w:tc>
      </w:tr>
      <w:tr w:rsidR="00000000" w14:paraId="0E38B4D2" w14:textId="77777777">
        <w:trPr>
          <w:divId w:val="824860431"/>
        </w:trPr>
        <w:tc>
          <w:tcPr>
            <w:tcW w:w="2208"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4FA2F189"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14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918F9EC"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 xml:space="preserve">Scope </w:t>
            </w:r>
            <w:r>
              <w:rPr>
                <w:rFonts w:ascii="Calibri" w:hAnsi="Calibri" w:cs="Calibri"/>
                <w:color w:val="292929"/>
                <w:sz w:val="22"/>
                <w:szCs w:val="22"/>
              </w:rPr>
              <w:t>selection belongs above SynchronizationOrchestrator.</w:t>
            </w:r>
          </w:p>
        </w:tc>
      </w:tr>
    </w:tbl>
    <w:p w14:paraId="307D86DA"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F-28 Pipeline contract principle made explicit in canonical documentation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83"/>
        <w:gridCol w:w="7257"/>
      </w:tblGrid>
      <w:tr w:rsidR="00000000" w14:paraId="0704E24E" w14:textId="77777777">
        <w:trPr>
          <w:divId w:val="330564511"/>
        </w:trPr>
        <w:tc>
          <w:tcPr>
            <w:tcW w:w="242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AAB1343"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9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00EE8C6"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Documentation | Documentation maintenance</w:t>
            </w:r>
          </w:p>
        </w:tc>
      </w:tr>
      <w:tr w:rsidR="00000000" w14:paraId="055A69E6" w14:textId="77777777">
        <w:trPr>
          <w:divId w:val="330564511"/>
        </w:trPr>
        <w:tc>
          <w:tcPr>
            <w:tcW w:w="2425"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16A6CE0"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99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ADFC376"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Document explicitly that each stage consumes and produces a defined contract and owns its output boundary.</w:t>
            </w:r>
          </w:p>
        </w:tc>
      </w:tr>
      <w:tr w:rsidR="00000000" w14:paraId="2A701DCA" w14:textId="77777777">
        <w:trPr>
          <w:divId w:val="330564511"/>
        </w:trPr>
        <w:tc>
          <w:tcPr>
            <w:tcW w:w="2454"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89D62D6"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989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8E5941E"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The Journal identified this as an implicit design principle that should become explicit.</w:t>
            </w:r>
          </w:p>
        </w:tc>
      </w:tr>
    </w:tbl>
    <w:p w14:paraId="2A338E86"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F-29 Reconcile orchestration module location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17"/>
        <w:gridCol w:w="7723"/>
      </w:tblGrid>
      <w:tr w:rsidR="00000000" w14:paraId="6C57972A" w14:textId="77777777">
        <w:trPr>
          <w:divId w:val="1649243484"/>
        </w:trPr>
        <w:tc>
          <w:tcPr>
            <w:tcW w:w="178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6EF70BE"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57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AC4D621"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 xml:space="preserve">Documentation </w:t>
            </w:r>
            <w:r>
              <w:rPr>
                <w:rFonts w:ascii="Calibri" w:hAnsi="Calibri" w:cs="Calibri"/>
                <w:color w:val="292929"/>
                <w:sz w:val="22"/>
                <w:szCs w:val="22"/>
              </w:rPr>
              <w:t>/ Repository | Documentation maintenance</w:t>
            </w:r>
          </w:p>
        </w:tc>
      </w:tr>
      <w:tr w:rsidR="00000000" w14:paraId="1AA59AAC" w14:textId="77777777">
        <w:trPr>
          <w:divId w:val="1649243484"/>
        </w:trPr>
        <w:tc>
          <w:tcPr>
            <w:tcW w:w="178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74F04BD"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57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D75C8D0"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Resolve the mismatch between canonical directory guidance placing synchronization orchestration under scripts/sync and historical implementation placing sync_orchestrator.py under scripts/orchestration.</w:t>
            </w:r>
          </w:p>
        </w:tc>
      </w:tr>
      <w:tr w:rsidR="00000000" w14:paraId="5240C3EB" w14:textId="77777777">
        <w:trPr>
          <w:divId w:val="1649243484"/>
        </w:trPr>
        <w:tc>
          <w:tcPr>
            <w:tcW w:w="178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E2B7A6B"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57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5045514"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Choose one canonical location and align code/documentation rather than silently carrying both.</w:t>
            </w:r>
          </w:p>
        </w:tc>
      </w:tr>
    </w:tbl>
    <w:p w14:paraId="19A8FE8B"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F-30 Clarify Translator failure wording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73"/>
        <w:gridCol w:w="7567"/>
      </w:tblGrid>
      <w:tr w:rsidR="00000000" w14:paraId="0F3B5116" w14:textId="77777777">
        <w:trPr>
          <w:divId w:val="1597403748"/>
        </w:trPr>
        <w:tc>
          <w:tcPr>
            <w:tcW w:w="197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339CAC1"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3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B2400B0"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Documentation | Documentation maintenance</w:t>
            </w:r>
          </w:p>
        </w:tc>
      </w:tr>
      <w:tr w:rsidR="00000000" w14:paraId="1AA4400F" w14:textId="77777777">
        <w:trPr>
          <w:divId w:val="1597403748"/>
        </w:trPr>
        <w:tc>
          <w:tcPr>
            <w:tcW w:w="197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1A267BF"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3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E72F16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Remove ambiguity between the universal record-level/stage-level exception model and wording suggesting all Translator processing stops immediately on any failure.</w:t>
            </w:r>
          </w:p>
        </w:tc>
      </w:tr>
      <w:tr w:rsidR="00000000" w14:paraId="2A5AC316" w14:textId="77777777">
        <w:trPr>
          <w:divId w:val="1597403748"/>
        </w:trPr>
        <w:tc>
          <w:tcPr>
            <w:tcW w:w="1999"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A3A3D1E"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35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7476E2F"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Document the intended failure boundary precisely.</w:t>
            </w:r>
          </w:p>
        </w:tc>
      </w:tr>
    </w:tbl>
    <w:p w14:paraId="76FAFDCD"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F-31 Retire or label stale test assumptions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07"/>
        <w:gridCol w:w="7633"/>
      </w:tblGrid>
      <w:tr w:rsidR="00000000" w14:paraId="490C8644" w14:textId="77777777">
        <w:trPr>
          <w:divId w:val="2047480368"/>
        </w:trPr>
        <w:tc>
          <w:tcPr>
            <w:tcW w:w="190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5E7A75F"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45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30CB1C3"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Testing | Maintenance</w:t>
            </w:r>
          </w:p>
        </w:tc>
      </w:tr>
      <w:tr w:rsidR="00000000" w14:paraId="71A73634" w14:textId="77777777">
        <w:trPr>
          <w:divId w:val="2047480368"/>
        </w:trPr>
        <w:tc>
          <w:tcPr>
            <w:tcW w:w="190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087C56F"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55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3ADE7EC"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 xml:space="preserve">Update or clearly deprecate older tests whose assumptions were disproven, including the old OneNote unchanged-count expectation and stale translated-count </w:t>
            </w:r>
            <w:r>
              <w:rPr>
                <w:rFonts w:ascii="Calibri" w:hAnsi="Calibri" w:cs="Calibri"/>
                <w:color w:val="292929"/>
                <w:sz w:val="22"/>
                <w:szCs w:val="22"/>
              </w:rPr>
              <w:t>assumptions.</w:t>
            </w:r>
          </w:p>
        </w:tc>
      </w:tr>
      <w:tr w:rsidR="00000000" w14:paraId="295BD285" w14:textId="77777777">
        <w:trPr>
          <w:divId w:val="2047480368"/>
        </w:trPr>
        <w:tc>
          <w:tcPr>
            <w:tcW w:w="190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6D75CCE"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45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F1024AC"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Preserve historical evidence without allowing obsolete tests to masquerade as current authority.</w:t>
            </w:r>
          </w:p>
        </w:tc>
      </w:tr>
    </w:tbl>
    <w:p w14:paraId="42A811DB"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F-32 Production-like state-agnostic E2E test pattern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34"/>
        <w:gridCol w:w="7706"/>
      </w:tblGrid>
      <w:tr w:rsidR="00000000" w14:paraId="3B6B9592" w14:textId="77777777">
        <w:trPr>
          <w:divId w:val="1079671766"/>
        </w:trPr>
        <w:tc>
          <w:tcPr>
            <w:tcW w:w="1790"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44C1DAB8"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56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BF0AEB7"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Testing | Ongoing standard</w:t>
            </w:r>
          </w:p>
        </w:tc>
      </w:tr>
      <w:tr w:rsidR="00000000" w14:paraId="1F724D89" w14:textId="77777777">
        <w:trPr>
          <w:divId w:val="1079671766"/>
        </w:trPr>
        <w:tc>
          <w:tcPr>
            <w:tcW w:w="1790"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955DBE1"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56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DE1186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Generalize the Lab 7 lesson that E2E tests should discover actual source counts/states and reconcile observations instead of hard-coding the answer when independent detection is the behavior under test.</w:t>
            </w:r>
          </w:p>
        </w:tc>
      </w:tr>
      <w:tr w:rsidR="00000000" w14:paraId="433FC061" w14:textId="77777777">
        <w:trPr>
          <w:divId w:val="1079671766"/>
        </w:trPr>
        <w:tc>
          <w:tcPr>
            <w:tcW w:w="1790"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F154EFE"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56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F845863"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 xml:space="preserve">Use </w:t>
            </w:r>
            <w:r>
              <w:rPr>
                <w:rFonts w:ascii="Calibri" w:hAnsi="Calibri" w:cs="Calibri"/>
                <w:color w:val="292929"/>
                <w:sz w:val="22"/>
                <w:szCs w:val="22"/>
              </w:rPr>
              <w:t>hard-coded expectations only where the fixture itself is intentionally controlled.</w:t>
            </w:r>
          </w:p>
        </w:tc>
      </w:tr>
    </w:tbl>
    <w:p w14:paraId="7FC43129"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F-33 Test harness distinction between bounded /children scopes and full /delta connectors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84"/>
        <w:gridCol w:w="7556"/>
      </w:tblGrid>
      <w:tr w:rsidR="00000000" w14:paraId="55F630DA" w14:textId="77777777">
        <w:trPr>
          <w:divId w:val="1657880011"/>
        </w:trPr>
        <w:tc>
          <w:tcPr>
            <w:tcW w:w="200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49EEFA0"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34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05B9F2D"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Testing / Connector | Maintenance</w:t>
            </w:r>
          </w:p>
        </w:tc>
      </w:tr>
      <w:tr w:rsidR="00000000" w14:paraId="1E856825" w14:textId="77777777">
        <w:trPr>
          <w:divId w:val="1657880011"/>
        </w:trPr>
        <w:tc>
          <w:tcPr>
            <w:tcW w:w="200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0BCFB2E"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34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CFCEFB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Make the difference explicit so bounded tests do not require or fabricate a deltaLink while production full OneDrive enumeration retains its deltaLink validation.</w:t>
            </w:r>
          </w:p>
        </w:tc>
      </w:tr>
      <w:tr w:rsidR="00000000" w14:paraId="2EBE5F97" w14:textId="77777777">
        <w:trPr>
          <w:divId w:val="1657880011"/>
        </w:trPr>
        <w:tc>
          <w:tcPr>
            <w:tcW w:w="2009"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EF92868"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34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7901D3C"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Do not weaken production validation to accommodate a bounded test.</w:t>
            </w:r>
          </w:p>
        </w:tc>
      </w:tr>
    </w:tbl>
    <w:p w14:paraId="5865E0B2"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F-34 Canonical timestamp normalization utility</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41"/>
        <w:gridCol w:w="7499"/>
      </w:tblGrid>
      <w:tr w:rsidR="00000000" w14:paraId="33B7019B" w14:textId="77777777">
        <w:trPr>
          <w:divId w:val="327711517"/>
        </w:trPr>
        <w:tc>
          <w:tcPr>
            <w:tcW w:w="210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769F962"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25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79113F3"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Shared Infrastructure | Maintenance</w:t>
            </w:r>
          </w:p>
        </w:tc>
      </w:tr>
      <w:tr w:rsidR="00000000" w14:paraId="4104F2DB" w14:textId="77777777">
        <w:trPr>
          <w:divId w:val="327711517"/>
        </w:trPr>
        <w:tc>
          <w:tcPr>
            <w:tcW w:w="2124"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0EC57738"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22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87B6600"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Centralize ISO-8601 timestamp parsing/normalization so Graph Z and database +00:00 forms are compared semantically across tests and services.</w:t>
            </w:r>
          </w:p>
        </w:tc>
      </w:tr>
      <w:tr w:rsidR="00000000" w14:paraId="7F6CC89A" w14:textId="77777777">
        <w:trPr>
          <w:divId w:val="327711517"/>
        </w:trPr>
        <w:tc>
          <w:tcPr>
            <w:tcW w:w="210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5E581C3"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25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0B01D9D"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Avoid raw timestamp-string equality where representations may differ.</w:t>
            </w:r>
          </w:p>
        </w:tc>
      </w:tr>
    </w:tbl>
    <w:p w14:paraId="0B58C179"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F-35 Source-specific change-signal strategy research</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01"/>
        <w:gridCol w:w="7439"/>
      </w:tblGrid>
      <w:tr w:rsidR="00000000" w14:paraId="7DBE89E6" w14:textId="77777777">
        <w:trPr>
          <w:divId w:val="829369168"/>
        </w:trPr>
        <w:tc>
          <w:tcPr>
            <w:tcW w:w="217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702F1D5"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17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7045F07"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Discovery / Connector | Future research</w:t>
            </w:r>
          </w:p>
        </w:tc>
      </w:tr>
      <w:tr w:rsidR="00000000" w14:paraId="06A91C48" w14:textId="77777777">
        <w:trPr>
          <w:divId w:val="829369168"/>
        </w:trPr>
        <w:tc>
          <w:tcPr>
            <w:tcW w:w="217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1BD2E39"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17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1A30951"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 xml:space="preserve">Continue </w:t>
            </w:r>
            <w:r>
              <w:rPr>
                <w:rFonts w:ascii="Calibri" w:hAnsi="Calibri" w:cs="Calibri"/>
                <w:color w:val="292929"/>
                <w:sz w:val="22"/>
                <w:szCs w:val="22"/>
              </w:rPr>
              <w:t>learning how each Source of Truth exposes reliable change evidence, especially OneNote's coarse or stale timestamp behavior.</w:t>
            </w:r>
          </w:p>
        </w:tc>
      </w:tr>
      <w:tr w:rsidR="00000000" w14:paraId="7929D01F" w14:textId="77777777">
        <w:trPr>
          <w:divId w:val="829369168"/>
        </w:trPr>
        <w:tc>
          <w:tcPr>
            <w:tcW w:w="217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0AE9DF2"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17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5EE11B2"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Do not redesign Discovery merely to chase cleaner UNCHANGED counts. Preserve source-fact semantics and canonical hash gating.</w:t>
            </w:r>
          </w:p>
        </w:tc>
      </w:tr>
    </w:tbl>
    <w:p w14:paraId="54223C22"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F-36 Formal Lab completion-report pattern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43"/>
        <w:gridCol w:w="7297"/>
      </w:tblGrid>
      <w:tr w:rsidR="00000000" w14:paraId="7F3A20F8" w14:textId="77777777">
        <w:trPr>
          <w:divId w:val="241107993"/>
        </w:trPr>
        <w:tc>
          <w:tcPr>
            <w:tcW w:w="2392"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4069BC65"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9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36D3294"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Documentation / Process | Ongoing standard</w:t>
            </w:r>
          </w:p>
        </w:tc>
      </w:tr>
      <w:tr w:rsidR="00000000" w14:paraId="13A4BEB1" w14:textId="77777777">
        <w:trPr>
          <w:divId w:val="241107993"/>
        </w:trPr>
        <w:tc>
          <w:tcPr>
            <w:tcW w:w="2392"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40FB5B0"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9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9BA1AD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 xml:space="preserve">Use a concise Final Lab Report for each future lab while retaining the </w:t>
            </w:r>
            <w:r>
              <w:rPr>
                <w:rFonts w:ascii="Calibri" w:hAnsi="Calibri" w:cs="Calibri"/>
                <w:color w:val="292929"/>
                <w:sz w:val="22"/>
                <w:szCs w:val="22"/>
              </w:rPr>
              <w:t>chronological Engineering Journal separately.</w:t>
            </w:r>
          </w:p>
        </w:tc>
      </w:tr>
      <w:tr w:rsidR="00000000" w14:paraId="71A47E4B" w14:textId="77777777">
        <w:trPr>
          <w:divId w:val="241107993"/>
        </w:trPr>
        <w:tc>
          <w:tcPr>
            <w:tcW w:w="2392"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2344732"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9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A9C1A2A"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Completion reports record what was built and proved; journals preserve how the work evolved.</w:t>
            </w:r>
          </w:p>
        </w:tc>
      </w:tr>
    </w:tbl>
    <w:p w14:paraId="4E8DF68F"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F-37 Canonical-document initialization and conflict protocol</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93"/>
        <w:gridCol w:w="7647"/>
      </w:tblGrid>
      <w:tr w:rsidR="00000000" w14:paraId="446EABDC" w14:textId="77777777">
        <w:trPr>
          <w:divId w:val="1791822056"/>
        </w:trPr>
        <w:tc>
          <w:tcPr>
            <w:tcW w:w="188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3738BAC5"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47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661E3D9"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Documentation / Process | Ongoing standard</w:t>
            </w:r>
          </w:p>
        </w:tc>
      </w:tr>
      <w:tr w:rsidR="00000000" w14:paraId="3FB2F6D1" w14:textId="77777777">
        <w:trPr>
          <w:divId w:val="1791822056"/>
        </w:trPr>
        <w:tc>
          <w:tcPr>
            <w:tcW w:w="188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4C40151"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47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E737DEE"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Continue inventory-first review of authoritative documents, reconcile attachment counts, verify by filename, and flag conflicts instead of silently merging historical and canonical truth.</w:t>
            </w:r>
          </w:p>
        </w:tc>
      </w:tr>
      <w:tr w:rsidR="00000000" w14:paraId="3362CFDB" w14:textId="77777777">
        <w:trPr>
          <w:divId w:val="1791822056"/>
        </w:trPr>
        <w:tc>
          <w:tcPr>
            <w:tcW w:w="1881"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4FB38438"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47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4E43F72"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This process was created after a Lab 7 document-review failure and became a project safeguard.</w:t>
            </w:r>
          </w:p>
        </w:tc>
      </w:tr>
    </w:tbl>
    <w:p w14:paraId="70CCDD6C"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F-38 Request Rejection Persistence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01"/>
        <w:gridCol w:w="7939"/>
      </w:tblGrid>
      <w:tr w:rsidR="00000000" w14:paraId="032210E8" w14:textId="77777777">
        <w:trPr>
          <w:divId w:val="273902732"/>
        </w:trPr>
        <w:tc>
          <w:tcPr>
            <w:tcW w:w="1430"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E576267"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92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9671874"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Operationalization | Near-term / Lab 8</w:t>
            </w:r>
          </w:p>
        </w:tc>
      </w:tr>
      <w:tr w:rsidR="00000000" w14:paraId="2FAB86AA" w14:textId="77777777">
        <w:trPr>
          <w:divId w:val="273902732"/>
        </w:trPr>
        <w:tc>
          <w:tcPr>
            <w:tcW w:w="1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4CEF4403"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90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210F59F"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Preserve a durable record of an operational request that reaches AlphaOmega but is rejected before Processing Job creation. The record should preserve enough information to determine what operation was requested, what scope was requested, when the </w:t>
            </w:r>
            <w:r>
              <w:rPr>
                <w:rFonts w:ascii="Calibri" w:hAnsi="Calibri" w:cs="Calibri"/>
                <w:sz w:val="22"/>
                <w:szCs w:val="22"/>
              </w:rPr>
              <w:t>request was received, why execution did not begin, and other information needed to understand the rejection.</w:t>
            </w:r>
          </w:p>
        </w:tc>
      </w:tr>
      <w:tr w:rsidR="00000000" w14:paraId="27FAF889" w14:textId="77777777">
        <w:trPr>
          <w:divId w:val="273902732"/>
        </w:trPr>
        <w:tc>
          <w:tcPr>
            <w:tcW w:w="1457"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25A008C"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98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1D3DE11"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A rejected request does not represent work that began and shall not be represented as a failed Processing Job merely to obtain persistence. The persistence model, ownership, lifecycle, relationship to accepted requests, required fields, and retrieval interface remain to be designed during Lab 8.</w:t>
            </w:r>
          </w:p>
        </w:tc>
      </w:tr>
    </w:tbl>
    <w:p w14:paraId="621D68BF"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F-39 Job Scheduling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99"/>
        <w:gridCol w:w="7941"/>
      </w:tblGrid>
      <w:tr w:rsidR="00000000" w14:paraId="6D43FE06" w14:textId="77777777">
        <w:trPr>
          <w:divId w:val="1572156119"/>
        </w:trPr>
        <w:tc>
          <w:tcPr>
            <w:tcW w:w="1426"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D486472"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9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D4222F5"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 | Future</w:t>
            </w:r>
          </w:p>
        </w:tc>
      </w:tr>
      <w:tr w:rsidR="00000000" w14:paraId="729B0F7C" w14:textId="77777777">
        <w:trPr>
          <w:divId w:val="1572156119"/>
        </w:trPr>
        <w:tc>
          <w:tcPr>
            <w:tcW w:w="145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6475111B"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99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A1E2C6B"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Provide a general scheduling capability for AlphaOmega operations so supported work can be requested for future or recurring execution without requiring immediate human initiation. Synchronization may be one scheduled operation, but the scheduling capability should not be limited to synchronization if other AlphaOmega operations later require scheduled execution.</w:t>
            </w:r>
          </w:p>
        </w:tc>
      </w:tr>
      <w:tr w:rsidR="00000000" w14:paraId="68D36CCE" w14:textId="77777777">
        <w:trPr>
          <w:divId w:val="1572156119"/>
        </w:trPr>
        <w:tc>
          <w:tcPr>
            <w:tcW w:w="145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41AE09BF"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91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CB8CE69"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Scheduling initiates AlphaOmega operations through their approved application interfaces </w:t>
            </w:r>
            <w:r>
              <w:rPr>
                <w:rFonts w:ascii="Calibri" w:hAnsi="Calibri" w:cs="Calibri"/>
                <w:sz w:val="22"/>
                <w:szCs w:val="22"/>
              </w:rPr>
              <w:t>and does not bypass request validation, authorization, conflict detection, reservation, Processing Job creation, or other operational controls. F-03 remains the synchronization-specific use case; this item represents the broader scheduling capability.</w:t>
            </w:r>
          </w:p>
        </w:tc>
      </w:tr>
    </w:tbl>
    <w:p w14:paraId="120212CD"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F-40 Configurable Retry Policy</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29"/>
        <w:gridCol w:w="7911"/>
      </w:tblGrid>
      <w:tr w:rsidR="00000000" w14:paraId="2BCB1C91" w14:textId="77777777">
        <w:trPr>
          <w:divId w:val="966929798"/>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7497EE87"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8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3A6A9C2"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 | Future</w:t>
            </w:r>
          </w:p>
        </w:tc>
      </w:tr>
      <w:tr w:rsidR="00000000" w14:paraId="48938B6F" w14:textId="77777777">
        <w:trPr>
          <w:divId w:val="966929798"/>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A13BD25"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85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24BFF72"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Establish a configurable AlphaOmega retry policy for temporary operational failures. Future design should determine which failures are retryable, maximum </w:t>
            </w:r>
            <w:r>
              <w:rPr>
                <w:rFonts w:ascii="Calibri" w:hAnsi="Calibri" w:cs="Calibri"/>
                <w:sz w:val="22"/>
                <w:szCs w:val="22"/>
              </w:rPr>
              <w:t>attempts, retry timing and backoff, Source-of-Truth-provided retry instructions, diagnostic recording, and the conditions under which retry stops and the operation is reported as failed.</w:t>
            </w:r>
          </w:p>
        </w:tc>
      </w:tr>
      <w:tr w:rsidR="00000000" w14:paraId="76C45C6A" w14:textId="77777777">
        <w:trPr>
          <w:divId w:val="966929798"/>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5F59050D"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8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523BADB"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Existing provider-specific recovery behavior, including Microsoft Graph retry and throttling handling, must be considered rather than duplicated or accidentally replaced. Deterministic failures requiring changes to data, configuration, authorization, code, or human action should not be repeatedly </w:t>
            </w:r>
            <w:r>
              <w:rPr>
                <w:rFonts w:ascii="Calibri" w:hAnsi="Calibri" w:cs="Calibri"/>
                <w:sz w:val="22"/>
                <w:szCs w:val="22"/>
              </w:rPr>
              <w:t>retried. Retry behavior must preserve idempotency and remain visible through operational records.</w:t>
            </w:r>
          </w:p>
        </w:tc>
      </w:tr>
    </w:tbl>
    <w:p w14:paraId="661A4E42"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F-41 Out-of-Box Sources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27"/>
        <w:gridCol w:w="7913"/>
      </w:tblGrid>
      <w:tr w:rsidR="00000000" w14:paraId="24AD7DD5" w14:textId="77777777">
        <w:trPr>
          <w:divId w:val="475076880"/>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A392EA4"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8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EBF1C4D"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 | Future</w:t>
            </w:r>
          </w:p>
        </w:tc>
      </w:tr>
      <w:tr w:rsidR="00000000" w14:paraId="56D059FF" w14:textId="77777777">
        <w:trPr>
          <w:divId w:val="475076880"/>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EC10F46"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9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F73C16D"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Determine which Sources of Truth AlphaOmega should officially support as built-in integrations. Microsoft 365 is a natural candidate because OneDrive and OneNote integrations already exist. Additional built-in Sources should be selected through future research based on actual use cases, architectural </w:t>
            </w:r>
            <w:r>
              <w:rPr>
                <w:rFonts w:ascii="Calibri" w:hAnsi="Calibri" w:cs="Calibri"/>
                <w:sz w:val="22"/>
                <w:szCs w:val="22"/>
              </w:rPr>
              <w:t>fit, demand, and maintenance cost rather than assumed in advance.</w:t>
            </w:r>
          </w:p>
        </w:tc>
      </w:tr>
      <w:tr w:rsidR="00000000" w14:paraId="593AEE7D" w14:textId="77777777">
        <w:trPr>
          <w:divId w:val="475076880"/>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12197EF4"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8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7281F05"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Built-in Source support should not create Source-specific behavior in downstream synchronization stages. Each supported Source must conform to the established Source integration boundaries and AlphaOmega's canonical synchronization contracts.</w:t>
            </w:r>
          </w:p>
        </w:tc>
      </w:tr>
    </w:tbl>
    <w:p w14:paraId="44DC0C00" w14:textId="77777777" w:rsidR="004D5549" w:rsidRDefault="004D5549">
      <w:pPr>
        <w:pStyle w:val="NormalWeb"/>
        <w:spacing w:before="240" w:beforeAutospacing="0" w:after="120" w:afterAutospacing="0"/>
        <w:rPr>
          <w:rFonts w:ascii="Calibri" w:hAnsi="Calibri" w:cs="Calibri"/>
          <w:color w:val="4F81BD"/>
          <w:sz w:val="22"/>
          <w:szCs w:val="22"/>
        </w:rPr>
      </w:pPr>
      <w:r>
        <w:rPr>
          <w:rFonts w:ascii="Calibri" w:hAnsi="Calibri" w:cs="Calibri"/>
          <w:b/>
          <w:bCs/>
          <w:color w:val="4F81BD"/>
          <w:sz w:val="22"/>
          <w:szCs w:val="22"/>
        </w:rPr>
        <w:t>F-42 Extensible Source Integration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28"/>
        <w:gridCol w:w="7912"/>
      </w:tblGrid>
      <w:tr w:rsidR="00000000" w14:paraId="7DFE95E0" w14:textId="77777777">
        <w:trPr>
          <w:divId w:val="1859271982"/>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48C526A1"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Area / Horizon</w:t>
            </w:r>
          </w:p>
        </w:tc>
        <w:tc>
          <w:tcPr>
            <w:tcW w:w="108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E67C508" w14:textId="77777777" w:rsidR="004D5549" w:rsidRDefault="004D5549">
            <w:pPr>
              <w:pStyle w:val="NormalWeb"/>
              <w:spacing w:before="0" w:beforeAutospacing="0" w:after="0" w:afterAutospacing="0"/>
              <w:rPr>
                <w:rFonts w:ascii="Calibri" w:hAnsi="Calibri" w:cs="Calibri"/>
                <w:color w:val="292929"/>
                <w:sz w:val="22"/>
                <w:szCs w:val="22"/>
              </w:rPr>
            </w:pPr>
            <w:r>
              <w:rPr>
                <w:rFonts w:ascii="Calibri" w:hAnsi="Calibri" w:cs="Calibri"/>
                <w:color w:val="292929"/>
                <w:sz w:val="22"/>
                <w:szCs w:val="22"/>
              </w:rPr>
              <w:t>Operation | Future</w:t>
            </w:r>
          </w:p>
        </w:tc>
      </w:tr>
      <w:tr w:rsidR="00000000" w14:paraId="558682E9" w14:textId="77777777">
        <w:trPr>
          <w:divId w:val="1859271982"/>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AC8A7A4"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Future Opportunity</w:t>
            </w:r>
          </w:p>
        </w:tc>
        <w:tc>
          <w:tcPr>
            <w:tcW w:w="108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ED3FC64"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Establish a </w:t>
            </w:r>
            <w:r>
              <w:rPr>
                <w:rFonts w:ascii="Calibri" w:hAnsi="Calibri" w:cs="Calibri"/>
                <w:sz w:val="22"/>
                <w:szCs w:val="22"/>
              </w:rPr>
              <w:t>standardized Source integration model so adding support for a new Source of Truth does not require redesigning AlphaOmega. The target is for a new integration to provide the required Connector behavior, Translator behavior, authentication configuration, Source-type registration, and validation while existing downstream synchronization stages continue operating through their established canonical contracts.</w:t>
            </w:r>
          </w:p>
        </w:tc>
      </w:tr>
      <w:tr w:rsidR="00000000" w14:paraId="0D34A70D" w14:textId="77777777">
        <w:trPr>
          <w:divId w:val="1859271982"/>
        </w:trPr>
        <w:tc>
          <w:tcPr>
            <w:tcW w:w="1493" w:type="dxa"/>
            <w:tcBorders>
              <w:top w:val="single" w:sz="8" w:space="0" w:color="A3A3A3"/>
              <w:left w:val="single" w:sz="8" w:space="0" w:color="A3A3A3"/>
              <w:bottom w:val="single" w:sz="8" w:space="0" w:color="A3A3A3"/>
              <w:right w:val="single" w:sz="8" w:space="0" w:color="A3A3A3"/>
            </w:tcBorders>
            <w:shd w:val="clear" w:color="auto" w:fill="F4F1EA"/>
            <w:tcMar>
              <w:top w:w="80" w:type="dxa"/>
              <w:left w:w="80" w:type="dxa"/>
              <w:bottom w:w="80" w:type="dxa"/>
              <w:right w:w="80" w:type="dxa"/>
            </w:tcMar>
            <w:hideMark/>
          </w:tcPr>
          <w:p w14:paraId="245904C8" w14:textId="77777777" w:rsidR="004D5549" w:rsidRDefault="004D5549">
            <w:pPr>
              <w:pStyle w:val="NormalWeb"/>
              <w:spacing w:before="0" w:beforeAutospacing="0" w:after="0" w:afterAutospacing="0"/>
              <w:rPr>
                <w:rFonts w:ascii="Calibri" w:hAnsi="Calibri" w:cs="Calibri"/>
                <w:color w:val="2A322E"/>
                <w:sz w:val="22"/>
                <w:szCs w:val="22"/>
              </w:rPr>
            </w:pPr>
            <w:r>
              <w:rPr>
                <w:rFonts w:ascii="Calibri" w:hAnsi="Calibri" w:cs="Calibri"/>
                <w:b/>
                <w:bCs/>
                <w:color w:val="2A322E"/>
                <w:sz w:val="22"/>
                <w:szCs w:val="22"/>
              </w:rPr>
              <w:t>Guardrail / Design Note</w:t>
            </w:r>
          </w:p>
        </w:tc>
        <w:tc>
          <w:tcPr>
            <w:tcW w:w="108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61921DC"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Adding a Source </w:t>
            </w:r>
            <w:r>
              <w:rPr>
                <w:rFonts w:ascii="Calibri" w:hAnsi="Calibri" w:cs="Calibri"/>
                <w:sz w:val="22"/>
                <w:szCs w:val="22"/>
              </w:rPr>
              <w:t>should be an extension, not a project-wide modification. Source-specific behavior shall remain behind the appropriate Connector, Translator, authentication, and registration boundaries. Discovery, Extraction, Load, and Orchestration should not require Source-specific redesign merely because a new Source is introduced.</w:t>
            </w:r>
          </w:p>
        </w:tc>
      </w:tr>
    </w:tbl>
    <w:p w14:paraId="37F9650E" w14:textId="77777777" w:rsidR="004D5549" w:rsidRDefault="004D5549">
      <w:pPr>
        <w:pStyle w:val="NormalWeb"/>
        <w:spacing w:before="240" w:beforeAutospacing="0" w:after="120" w:afterAutospacing="0"/>
        <w:rPr>
          <w:rFonts w:ascii="Calibri" w:hAnsi="Calibri" w:cs="Calibri"/>
          <w:color w:val="365F91"/>
          <w:sz w:val="22"/>
          <w:szCs w:val="22"/>
        </w:rPr>
      </w:pPr>
      <w:r>
        <w:rPr>
          <w:rFonts w:ascii="Calibri" w:hAnsi="Calibri" w:cs="Calibri"/>
          <w:color w:val="365F91"/>
          <w:sz w:val="22"/>
          <w:szCs w:val="22"/>
        </w:rPr>
        <w:t> </w:t>
      </w:r>
    </w:p>
    <w:p w14:paraId="75A6A0ED" w14:textId="77777777" w:rsidR="004D5549" w:rsidRDefault="004D5549">
      <w:pPr>
        <w:pStyle w:val="NormalWeb"/>
        <w:spacing w:before="240" w:beforeAutospacing="0" w:after="120" w:afterAutospacing="0"/>
        <w:rPr>
          <w:rFonts w:ascii="Calibri" w:hAnsi="Calibri" w:cs="Calibri"/>
          <w:color w:val="365F91"/>
          <w:sz w:val="22"/>
          <w:szCs w:val="22"/>
        </w:rPr>
      </w:pPr>
      <w:r>
        <w:rPr>
          <w:rFonts w:ascii="Calibri" w:hAnsi="Calibri" w:cs="Calibri"/>
          <w:b/>
          <w:bCs/>
          <w:color w:val="365F91"/>
          <w:sz w:val="22"/>
          <w:szCs w:val="22"/>
        </w:rPr>
        <w:t>Appendix A. Journal-Derived Future Themes</w:t>
      </w:r>
    </w:p>
    <w:p w14:paraId="147891F2" w14:textId="77777777" w:rsidR="004D5549" w:rsidRDefault="004D5549">
      <w:pPr>
        <w:pStyle w:val="NormalWeb"/>
        <w:spacing w:before="0" w:beforeAutospacing="0" w:after="60" w:afterAutospacing="0"/>
        <w:rPr>
          <w:rFonts w:ascii="Calibri" w:hAnsi="Calibri" w:cs="Calibri"/>
          <w:color w:val="000000"/>
          <w:sz w:val="22"/>
          <w:szCs w:val="22"/>
        </w:rPr>
      </w:pPr>
      <w:r>
        <w:rPr>
          <w:rFonts w:ascii="Calibri" w:hAnsi="Calibri" w:cs="Calibri"/>
          <w:color w:val="000000"/>
          <w:sz w:val="22"/>
          <w:szCs w:val="22"/>
        </w:rPr>
        <w:t xml:space="preserve">Operational application/UI: menus, GUI, scheduling, background workers, source scope selection, and production invocation were repeatedly </w:t>
      </w:r>
      <w:r>
        <w:rPr>
          <w:rFonts w:ascii="Calibri" w:hAnsi="Calibri" w:cs="Calibri"/>
          <w:color w:val="000000"/>
          <w:sz w:val="22"/>
          <w:szCs w:val="22"/>
        </w:rPr>
        <w:t>parked outside Lab 7.</w:t>
      </w:r>
    </w:p>
    <w:p w14:paraId="7083AF7A" w14:textId="77777777" w:rsidR="004D5549" w:rsidRDefault="004D5549">
      <w:pPr>
        <w:pStyle w:val="NormalWeb"/>
        <w:spacing w:before="0" w:beforeAutospacing="0" w:after="60" w:afterAutospacing="0"/>
        <w:rPr>
          <w:rFonts w:ascii="Calibri" w:hAnsi="Calibri" w:cs="Calibri"/>
          <w:color w:val="000000"/>
          <w:sz w:val="22"/>
          <w:szCs w:val="22"/>
        </w:rPr>
      </w:pPr>
      <w:r>
        <w:rPr>
          <w:rFonts w:ascii="Calibri" w:hAnsi="Calibri" w:cs="Calibri"/>
          <w:color w:val="000000"/>
          <w:sz w:val="22"/>
          <w:szCs w:val="22"/>
        </w:rPr>
        <w:t>Knowledge Curation: Domain assignment, metadata completion, repository organization, duplicate interpretation, and quality improvement were separated from Synchronization.</w:t>
      </w:r>
    </w:p>
    <w:p w14:paraId="06EFCEDD" w14:textId="77777777" w:rsidR="004D5549" w:rsidRDefault="004D5549">
      <w:pPr>
        <w:pStyle w:val="NormalWeb"/>
        <w:spacing w:before="0" w:beforeAutospacing="0" w:after="60" w:afterAutospacing="0"/>
        <w:rPr>
          <w:rFonts w:ascii="Calibri" w:hAnsi="Calibri" w:cs="Calibri"/>
          <w:color w:val="000000"/>
          <w:sz w:val="22"/>
          <w:szCs w:val="22"/>
        </w:rPr>
      </w:pPr>
      <w:r>
        <w:rPr>
          <w:rFonts w:ascii="Calibri" w:hAnsi="Calibri" w:cs="Calibri"/>
          <w:color w:val="000000"/>
          <w:sz w:val="22"/>
          <w:szCs w:val="22"/>
        </w:rPr>
        <w:t>Extraction evolution: legacy formats, parser technology, OCR/format expansion, unsupported-type tracking, and binary duplicate work were deferred.</w:t>
      </w:r>
    </w:p>
    <w:p w14:paraId="38DFAB5C" w14:textId="77777777" w:rsidR="004D5549" w:rsidRDefault="004D5549">
      <w:pPr>
        <w:pStyle w:val="NormalWeb"/>
        <w:spacing w:before="0" w:beforeAutospacing="0" w:after="60" w:afterAutospacing="0"/>
        <w:rPr>
          <w:rFonts w:ascii="Calibri" w:hAnsi="Calibri" w:cs="Calibri"/>
          <w:color w:val="000000"/>
          <w:sz w:val="22"/>
          <w:szCs w:val="22"/>
        </w:rPr>
      </w:pPr>
      <w:r>
        <w:rPr>
          <w:rFonts w:ascii="Calibri" w:hAnsi="Calibri" w:cs="Calibri"/>
          <w:color w:val="000000"/>
          <w:sz w:val="22"/>
          <w:szCs w:val="22"/>
        </w:rPr>
        <w:t>Scalability/reliability: retry queues, parallel processing, workers, performance optimization, authentication and multi-user concerns were identified as later pressures.</w:t>
      </w:r>
    </w:p>
    <w:p w14:paraId="77BDAF4D" w14:textId="77777777" w:rsidR="004D5549" w:rsidRDefault="004D5549">
      <w:pPr>
        <w:pStyle w:val="NormalWeb"/>
        <w:spacing w:before="0" w:beforeAutospacing="0" w:after="60" w:afterAutospacing="0"/>
        <w:rPr>
          <w:rFonts w:ascii="Calibri" w:hAnsi="Calibri" w:cs="Calibri"/>
          <w:color w:val="000000"/>
          <w:sz w:val="22"/>
          <w:szCs w:val="22"/>
        </w:rPr>
      </w:pPr>
      <w:r>
        <w:rPr>
          <w:rFonts w:ascii="Calibri" w:hAnsi="Calibri" w:cs="Calibri"/>
          <w:color w:val="000000"/>
          <w:sz w:val="22"/>
          <w:szCs w:val="22"/>
        </w:rPr>
        <w:t>Derived knowledge: chunks, embeddings, summaries, entities, tags, relationships, duplicate analysis, knowledge graph, semantic search, RAG, and agents remain later layers.</w:t>
      </w:r>
    </w:p>
    <w:p w14:paraId="42FB16BB" w14:textId="77777777" w:rsidR="004D5549" w:rsidRDefault="004D5549">
      <w:pPr>
        <w:pStyle w:val="NormalWeb"/>
        <w:spacing w:before="0" w:beforeAutospacing="0" w:after="60" w:afterAutospacing="0"/>
        <w:rPr>
          <w:rFonts w:ascii="Calibri" w:hAnsi="Calibri" w:cs="Calibri"/>
          <w:color w:val="000000"/>
          <w:sz w:val="22"/>
          <w:szCs w:val="22"/>
        </w:rPr>
      </w:pPr>
      <w:r>
        <w:rPr>
          <w:rFonts w:ascii="Calibri" w:hAnsi="Calibri" w:cs="Calibri"/>
          <w:color w:val="000000"/>
          <w:sz w:val="22"/>
          <w:szCs w:val="22"/>
        </w:rPr>
        <w:t>Documentation/testing: explicit pipeline contracts, stale historical assumptions, state-agnostic E2E testing, timestamp normalization, and bounded-vs-delta connector semantics deserve continued maintenance.</w:t>
      </w:r>
    </w:p>
    <w:p w14:paraId="35A3E438"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76FB7A" w14:textId="77777777" w:rsidR="004D5549" w:rsidRDefault="004D5549">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Register Field Definitions</w:t>
      </w:r>
    </w:p>
    <w:p w14:paraId="4E9A6DEE" w14:textId="77777777" w:rsidR="004D5549" w:rsidRDefault="004D554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September 2, 2026</w:t>
      </w:r>
    </w:p>
    <w:p w14:paraId="157831FC" w14:textId="77777777" w:rsidR="004D5549" w:rsidRDefault="004D554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10:50 PM</w:t>
      </w:r>
    </w:p>
    <w:p w14:paraId="3F2240F3"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229128"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b/>
          <w:bCs/>
          <w:sz w:val="22"/>
          <w:szCs w:val="22"/>
        </w:rPr>
        <w:t>Area</w:t>
      </w:r>
    </w:p>
    <w:p w14:paraId="69276E11"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Area identifies the </w:t>
      </w:r>
      <w:r>
        <w:rPr>
          <w:rFonts w:ascii="Calibri" w:hAnsi="Calibri" w:cs="Calibri"/>
          <w:sz w:val="22"/>
          <w:szCs w:val="22"/>
        </w:rPr>
        <w:t xml:space="preserve">architectural or engineering area most directly affected by the improvement. It describes </w:t>
      </w:r>
      <w:r>
        <w:rPr>
          <w:rFonts w:ascii="Calibri" w:hAnsi="Calibri" w:cs="Calibri"/>
          <w:b/>
          <w:bCs/>
          <w:sz w:val="22"/>
          <w:szCs w:val="22"/>
        </w:rPr>
        <w:t>where the work belongs</w:t>
      </w:r>
      <w:r>
        <w:rPr>
          <w:rFonts w:ascii="Calibri" w:hAnsi="Calibri" w:cs="Calibri"/>
          <w:sz w:val="22"/>
          <w:szCs w:val="22"/>
        </w:rPr>
        <w:t>, not when the work should occur.</w:t>
      </w:r>
    </w:p>
    <w:p w14:paraId="28B66768"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A9C377"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Use the most specific established Area that accurately describes the improvement. A secondary Area may be included when an improvement materially crosses an architectural boundary.</w:t>
      </w:r>
    </w:p>
    <w:p w14:paraId="23BC9F66"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908"/>
        <w:gridCol w:w="3398"/>
        <w:gridCol w:w="4054"/>
      </w:tblGrid>
      <w:tr w:rsidR="00000000" w14:paraId="6617AC50" w14:textId="77777777">
        <w:trPr>
          <w:divId w:val="946422884"/>
        </w:trPr>
        <w:tc>
          <w:tcPr>
            <w:tcW w:w="2091" w:type="dxa"/>
            <w:tcBorders>
              <w:top w:val="nil"/>
              <w:left w:val="nil"/>
              <w:bottom w:val="nil"/>
              <w:right w:val="nil"/>
            </w:tcBorders>
            <w:tcMar>
              <w:top w:w="80" w:type="dxa"/>
              <w:left w:w="80" w:type="dxa"/>
              <w:bottom w:w="80" w:type="dxa"/>
              <w:right w:w="80" w:type="dxa"/>
            </w:tcMar>
            <w:hideMark/>
          </w:tcPr>
          <w:p w14:paraId="163BC694"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b/>
                <w:bCs/>
                <w:sz w:val="22"/>
                <w:szCs w:val="22"/>
              </w:rPr>
              <w:t>Area</w:t>
            </w:r>
          </w:p>
        </w:tc>
        <w:tc>
          <w:tcPr>
            <w:tcW w:w="4746" w:type="dxa"/>
            <w:tcBorders>
              <w:top w:val="nil"/>
              <w:left w:val="nil"/>
              <w:bottom w:val="nil"/>
              <w:right w:val="nil"/>
            </w:tcBorders>
            <w:tcMar>
              <w:top w:w="80" w:type="dxa"/>
              <w:left w:w="80" w:type="dxa"/>
              <w:bottom w:w="80" w:type="dxa"/>
              <w:right w:w="80" w:type="dxa"/>
            </w:tcMar>
            <w:hideMark/>
          </w:tcPr>
          <w:p w14:paraId="0E3DC9ED"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b/>
                <w:bCs/>
                <w:sz w:val="22"/>
                <w:szCs w:val="22"/>
              </w:rPr>
              <w:t>Definition</w:t>
            </w:r>
          </w:p>
        </w:tc>
        <w:tc>
          <w:tcPr>
            <w:tcW w:w="5184" w:type="dxa"/>
            <w:tcBorders>
              <w:top w:val="nil"/>
              <w:left w:val="nil"/>
              <w:bottom w:val="nil"/>
              <w:right w:val="nil"/>
            </w:tcBorders>
            <w:tcMar>
              <w:top w:w="80" w:type="dxa"/>
              <w:left w:w="80" w:type="dxa"/>
              <w:bottom w:w="80" w:type="dxa"/>
              <w:right w:w="80" w:type="dxa"/>
            </w:tcMar>
            <w:hideMark/>
          </w:tcPr>
          <w:p w14:paraId="73783860"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b/>
                <w:bCs/>
                <w:sz w:val="22"/>
                <w:szCs w:val="22"/>
              </w:rPr>
              <w:t>Use when the idea primarily concerns...</w:t>
            </w:r>
          </w:p>
        </w:tc>
      </w:tr>
      <w:tr w:rsidR="00000000" w14:paraId="3F4BFABD" w14:textId="77777777">
        <w:trPr>
          <w:divId w:val="946422884"/>
        </w:trPr>
        <w:tc>
          <w:tcPr>
            <w:tcW w:w="2091" w:type="dxa"/>
            <w:tcBorders>
              <w:top w:val="nil"/>
              <w:left w:val="nil"/>
              <w:bottom w:val="nil"/>
              <w:right w:val="nil"/>
            </w:tcBorders>
            <w:tcMar>
              <w:top w:w="80" w:type="dxa"/>
              <w:left w:w="80" w:type="dxa"/>
              <w:bottom w:w="80" w:type="dxa"/>
              <w:right w:w="80" w:type="dxa"/>
            </w:tcMar>
            <w:hideMark/>
          </w:tcPr>
          <w:p w14:paraId="353A7991"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b/>
                <w:bCs/>
                <w:sz w:val="22"/>
                <w:szCs w:val="22"/>
              </w:rPr>
              <w:t>Synchronization</w:t>
            </w:r>
          </w:p>
        </w:tc>
        <w:tc>
          <w:tcPr>
            <w:tcW w:w="4746" w:type="dxa"/>
            <w:tcBorders>
              <w:top w:val="nil"/>
              <w:left w:val="nil"/>
              <w:bottom w:val="nil"/>
              <w:right w:val="nil"/>
            </w:tcBorders>
            <w:tcMar>
              <w:top w:w="80" w:type="dxa"/>
              <w:left w:w="80" w:type="dxa"/>
              <w:bottom w:w="80" w:type="dxa"/>
              <w:right w:w="80" w:type="dxa"/>
            </w:tcMar>
            <w:hideMark/>
          </w:tcPr>
          <w:p w14:paraId="1F5676DC"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Moving Source-of-Truth information into AlphaOmega and maintaining its canonical state.</w:t>
            </w:r>
          </w:p>
        </w:tc>
        <w:tc>
          <w:tcPr>
            <w:tcW w:w="5373" w:type="dxa"/>
            <w:tcBorders>
              <w:top w:val="nil"/>
              <w:left w:val="nil"/>
              <w:bottom w:val="nil"/>
              <w:right w:val="nil"/>
            </w:tcBorders>
            <w:tcMar>
              <w:top w:w="80" w:type="dxa"/>
              <w:left w:w="80" w:type="dxa"/>
              <w:bottom w:w="80" w:type="dxa"/>
              <w:right w:w="80" w:type="dxa"/>
            </w:tcMar>
            <w:hideMark/>
          </w:tcPr>
          <w:p w14:paraId="531A9ED4"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Connector, </w:t>
            </w:r>
            <w:r>
              <w:rPr>
                <w:rFonts w:ascii="Calibri" w:hAnsi="Calibri" w:cs="Calibri"/>
                <w:sz w:val="22"/>
                <w:szCs w:val="22"/>
              </w:rPr>
              <w:t>Translator, Discovery, Extraction, Load, Source integration, change detection, deletion handling, synchronization contracts.</w:t>
            </w:r>
          </w:p>
        </w:tc>
      </w:tr>
      <w:tr w:rsidR="00000000" w14:paraId="7566CFAC" w14:textId="77777777">
        <w:trPr>
          <w:divId w:val="946422884"/>
        </w:trPr>
        <w:tc>
          <w:tcPr>
            <w:tcW w:w="2091" w:type="dxa"/>
            <w:tcBorders>
              <w:top w:val="nil"/>
              <w:left w:val="nil"/>
              <w:bottom w:val="nil"/>
              <w:right w:val="nil"/>
            </w:tcBorders>
            <w:tcMar>
              <w:top w:w="80" w:type="dxa"/>
              <w:left w:w="80" w:type="dxa"/>
              <w:bottom w:w="80" w:type="dxa"/>
              <w:right w:w="80" w:type="dxa"/>
            </w:tcMar>
            <w:hideMark/>
          </w:tcPr>
          <w:p w14:paraId="60DF08B0"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Management</w:t>
            </w:r>
          </w:p>
        </w:tc>
        <w:tc>
          <w:tcPr>
            <w:tcW w:w="4746" w:type="dxa"/>
            <w:tcBorders>
              <w:top w:val="nil"/>
              <w:left w:val="nil"/>
              <w:bottom w:val="nil"/>
              <w:right w:val="nil"/>
            </w:tcBorders>
            <w:tcMar>
              <w:top w:w="80" w:type="dxa"/>
              <w:left w:w="80" w:type="dxa"/>
              <w:bottom w:w="80" w:type="dxa"/>
              <w:right w:w="80" w:type="dxa"/>
            </w:tcMar>
            <w:hideMark/>
          </w:tcPr>
          <w:p w14:paraId="675D3495"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Organizing, maintaining, improving, or deriving additional value from knowledge already in AlphaOmega.</w:t>
            </w:r>
          </w:p>
        </w:tc>
        <w:tc>
          <w:tcPr>
            <w:tcW w:w="5373" w:type="dxa"/>
            <w:tcBorders>
              <w:top w:val="nil"/>
              <w:left w:val="nil"/>
              <w:bottom w:val="nil"/>
              <w:right w:val="nil"/>
            </w:tcBorders>
            <w:tcMar>
              <w:top w:w="80" w:type="dxa"/>
              <w:left w:w="80" w:type="dxa"/>
              <w:bottom w:w="80" w:type="dxa"/>
              <w:right w:w="80" w:type="dxa"/>
            </w:tcMar>
            <w:hideMark/>
          </w:tcPr>
          <w:p w14:paraId="7DB72080"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Domains, curation, metadata quality, duplicate detection, chunking, embeddings, derived knowledge.</w:t>
            </w:r>
          </w:p>
        </w:tc>
      </w:tr>
      <w:tr w:rsidR="00000000" w14:paraId="2B5ED557" w14:textId="77777777">
        <w:trPr>
          <w:divId w:val="946422884"/>
        </w:trPr>
        <w:tc>
          <w:tcPr>
            <w:tcW w:w="2120" w:type="dxa"/>
            <w:tcBorders>
              <w:top w:val="nil"/>
              <w:left w:val="nil"/>
              <w:bottom w:val="nil"/>
              <w:right w:val="nil"/>
            </w:tcBorders>
            <w:tcMar>
              <w:top w:w="80" w:type="dxa"/>
              <w:left w:w="80" w:type="dxa"/>
              <w:bottom w:w="80" w:type="dxa"/>
              <w:right w:w="80" w:type="dxa"/>
            </w:tcMar>
            <w:hideMark/>
          </w:tcPr>
          <w:p w14:paraId="0439FF63"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Services</w:t>
            </w:r>
          </w:p>
        </w:tc>
        <w:tc>
          <w:tcPr>
            <w:tcW w:w="4746" w:type="dxa"/>
            <w:tcBorders>
              <w:top w:val="nil"/>
              <w:left w:val="nil"/>
              <w:bottom w:val="nil"/>
              <w:right w:val="nil"/>
            </w:tcBorders>
            <w:tcMar>
              <w:top w:w="80" w:type="dxa"/>
              <w:left w:w="80" w:type="dxa"/>
              <w:bottom w:w="80" w:type="dxa"/>
              <w:right w:w="80" w:type="dxa"/>
            </w:tcMar>
            <w:hideMark/>
          </w:tcPr>
          <w:p w14:paraId="40071CDB"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Capabilities that consume AlphaOmega knowledge for retrieval or higher-level use.</w:t>
            </w:r>
          </w:p>
        </w:tc>
        <w:tc>
          <w:tcPr>
            <w:tcW w:w="5223" w:type="dxa"/>
            <w:tcBorders>
              <w:top w:val="nil"/>
              <w:left w:val="nil"/>
              <w:bottom w:val="nil"/>
              <w:right w:val="nil"/>
            </w:tcBorders>
            <w:tcMar>
              <w:top w:w="80" w:type="dxa"/>
              <w:left w:w="80" w:type="dxa"/>
              <w:bottom w:w="80" w:type="dxa"/>
              <w:right w:w="80" w:type="dxa"/>
            </w:tcMar>
            <w:hideMark/>
          </w:tcPr>
          <w:p w14:paraId="6BEAD79F"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Search, semantic </w:t>
            </w:r>
            <w:r>
              <w:rPr>
                <w:rFonts w:ascii="Calibri" w:hAnsi="Calibri" w:cs="Calibri"/>
                <w:sz w:val="22"/>
                <w:szCs w:val="22"/>
              </w:rPr>
              <w:t>retrieval, RAG, knowledge access services.</w:t>
            </w:r>
          </w:p>
        </w:tc>
      </w:tr>
      <w:tr w:rsidR="00000000" w14:paraId="65C75F5B" w14:textId="77777777">
        <w:trPr>
          <w:divId w:val="946422884"/>
        </w:trPr>
        <w:tc>
          <w:tcPr>
            <w:tcW w:w="2091" w:type="dxa"/>
            <w:tcBorders>
              <w:top w:val="nil"/>
              <w:left w:val="nil"/>
              <w:bottom w:val="nil"/>
              <w:right w:val="nil"/>
            </w:tcBorders>
            <w:tcMar>
              <w:top w:w="80" w:type="dxa"/>
              <w:left w:w="80" w:type="dxa"/>
              <w:bottom w:w="80" w:type="dxa"/>
              <w:right w:w="80" w:type="dxa"/>
            </w:tcMar>
            <w:hideMark/>
          </w:tcPr>
          <w:p w14:paraId="702B37B4"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b/>
                <w:bCs/>
                <w:sz w:val="22"/>
                <w:szCs w:val="22"/>
              </w:rPr>
              <w:t>Operations</w:t>
            </w:r>
          </w:p>
        </w:tc>
        <w:tc>
          <w:tcPr>
            <w:tcW w:w="4746" w:type="dxa"/>
            <w:tcBorders>
              <w:top w:val="nil"/>
              <w:left w:val="nil"/>
              <w:bottom w:val="nil"/>
              <w:right w:val="nil"/>
            </w:tcBorders>
            <w:tcMar>
              <w:top w:w="80" w:type="dxa"/>
              <w:left w:w="80" w:type="dxa"/>
              <w:bottom w:w="80" w:type="dxa"/>
              <w:right w:w="80" w:type="dxa"/>
            </w:tcMar>
            <w:hideMark/>
          </w:tcPr>
          <w:p w14:paraId="4504F112"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Running AlphaOmega reliably as an operational system.</w:t>
            </w:r>
          </w:p>
        </w:tc>
        <w:tc>
          <w:tcPr>
            <w:tcW w:w="5351" w:type="dxa"/>
            <w:tcBorders>
              <w:top w:val="nil"/>
              <w:left w:val="nil"/>
              <w:bottom w:val="nil"/>
              <w:right w:val="nil"/>
            </w:tcBorders>
            <w:tcMar>
              <w:top w:w="80" w:type="dxa"/>
              <w:left w:w="80" w:type="dxa"/>
              <w:bottom w:w="80" w:type="dxa"/>
              <w:right w:w="80" w:type="dxa"/>
            </w:tcMar>
            <w:hideMark/>
          </w:tcPr>
          <w:p w14:paraId="69A122F7"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Requests, jobs, scheduling, retries, workers, concurrency, observability, performance, production rollout.</w:t>
            </w:r>
          </w:p>
        </w:tc>
      </w:tr>
      <w:tr w:rsidR="00000000" w14:paraId="0A3323D5" w14:textId="77777777">
        <w:trPr>
          <w:divId w:val="946422884"/>
        </w:trPr>
        <w:tc>
          <w:tcPr>
            <w:tcW w:w="2091" w:type="dxa"/>
            <w:tcBorders>
              <w:top w:val="nil"/>
              <w:left w:val="nil"/>
              <w:bottom w:val="nil"/>
              <w:right w:val="nil"/>
            </w:tcBorders>
            <w:tcMar>
              <w:top w:w="80" w:type="dxa"/>
              <w:left w:w="80" w:type="dxa"/>
              <w:bottom w:w="80" w:type="dxa"/>
              <w:right w:w="80" w:type="dxa"/>
            </w:tcMar>
            <w:hideMark/>
          </w:tcPr>
          <w:p w14:paraId="2CA2090A"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b/>
                <w:bCs/>
                <w:sz w:val="22"/>
                <w:szCs w:val="22"/>
              </w:rPr>
              <w:t>User Experience</w:t>
            </w:r>
          </w:p>
        </w:tc>
        <w:tc>
          <w:tcPr>
            <w:tcW w:w="4765" w:type="dxa"/>
            <w:tcBorders>
              <w:top w:val="nil"/>
              <w:left w:val="nil"/>
              <w:bottom w:val="nil"/>
              <w:right w:val="nil"/>
            </w:tcBorders>
            <w:tcMar>
              <w:top w:w="80" w:type="dxa"/>
              <w:left w:w="80" w:type="dxa"/>
              <w:bottom w:w="80" w:type="dxa"/>
              <w:right w:w="80" w:type="dxa"/>
            </w:tcMar>
            <w:hideMark/>
          </w:tcPr>
          <w:p w14:paraId="5F419C72"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How humans or external consumers interact with AlphaOmega.</w:t>
            </w:r>
          </w:p>
        </w:tc>
        <w:tc>
          <w:tcPr>
            <w:tcW w:w="5223" w:type="dxa"/>
            <w:tcBorders>
              <w:top w:val="nil"/>
              <w:left w:val="nil"/>
              <w:bottom w:val="nil"/>
              <w:right w:val="nil"/>
            </w:tcBorders>
            <w:tcMar>
              <w:top w:w="80" w:type="dxa"/>
              <w:left w:w="80" w:type="dxa"/>
              <w:bottom w:w="80" w:type="dxa"/>
              <w:right w:w="80" w:type="dxa"/>
            </w:tcMar>
            <w:hideMark/>
          </w:tcPr>
          <w:p w14:paraId="731BBD1E"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UI, navigation, Source/scope selection, status presentation.</w:t>
            </w:r>
          </w:p>
        </w:tc>
      </w:tr>
      <w:tr w:rsidR="00000000" w14:paraId="16432E60" w14:textId="77777777">
        <w:trPr>
          <w:divId w:val="946422884"/>
        </w:trPr>
        <w:tc>
          <w:tcPr>
            <w:tcW w:w="2091" w:type="dxa"/>
            <w:tcBorders>
              <w:top w:val="nil"/>
              <w:left w:val="nil"/>
              <w:bottom w:val="nil"/>
              <w:right w:val="nil"/>
            </w:tcBorders>
            <w:tcMar>
              <w:top w:w="80" w:type="dxa"/>
              <w:left w:w="80" w:type="dxa"/>
              <w:bottom w:w="80" w:type="dxa"/>
              <w:right w:w="80" w:type="dxa"/>
            </w:tcMar>
            <w:hideMark/>
          </w:tcPr>
          <w:p w14:paraId="66F266A3"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tc>
        <w:tc>
          <w:tcPr>
            <w:tcW w:w="4746" w:type="dxa"/>
            <w:tcBorders>
              <w:top w:val="nil"/>
              <w:left w:val="nil"/>
              <w:bottom w:val="nil"/>
              <w:right w:val="nil"/>
            </w:tcBorders>
            <w:tcMar>
              <w:top w:w="80" w:type="dxa"/>
              <w:left w:w="80" w:type="dxa"/>
              <w:bottom w:w="80" w:type="dxa"/>
              <w:right w:w="80" w:type="dxa"/>
            </w:tcMar>
            <w:hideMark/>
          </w:tcPr>
          <w:p w14:paraId="7C586742"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Capabilities belonging primarily to the broader AIOS layer rather than AlphaOmega itself.</w:t>
            </w:r>
          </w:p>
        </w:tc>
        <w:tc>
          <w:tcPr>
            <w:tcW w:w="5341" w:type="dxa"/>
            <w:tcBorders>
              <w:top w:val="nil"/>
              <w:left w:val="nil"/>
              <w:bottom w:val="nil"/>
              <w:right w:val="nil"/>
            </w:tcBorders>
            <w:tcMar>
              <w:top w:w="80" w:type="dxa"/>
              <w:left w:w="80" w:type="dxa"/>
              <w:bottom w:w="80" w:type="dxa"/>
              <w:right w:w="80" w:type="dxa"/>
            </w:tcMar>
            <w:hideMark/>
          </w:tcPr>
          <w:p w14:paraId="667E4C54"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Agents, </w:t>
            </w:r>
            <w:r>
              <w:rPr>
                <w:rFonts w:ascii="Calibri" w:hAnsi="Calibri" w:cs="Calibri"/>
                <w:sz w:val="22"/>
                <w:szCs w:val="22"/>
              </w:rPr>
              <w:t>interpretation, recommendations, higher-level AI workflows.</w:t>
            </w:r>
          </w:p>
        </w:tc>
      </w:tr>
      <w:tr w:rsidR="00000000" w14:paraId="4927F384" w14:textId="77777777">
        <w:trPr>
          <w:divId w:val="946422884"/>
        </w:trPr>
        <w:tc>
          <w:tcPr>
            <w:tcW w:w="2091" w:type="dxa"/>
            <w:tcBorders>
              <w:top w:val="nil"/>
              <w:left w:val="nil"/>
              <w:bottom w:val="nil"/>
              <w:right w:val="nil"/>
            </w:tcBorders>
            <w:tcMar>
              <w:top w:w="80" w:type="dxa"/>
              <w:left w:w="80" w:type="dxa"/>
              <w:bottom w:w="80" w:type="dxa"/>
              <w:right w:w="80" w:type="dxa"/>
            </w:tcMar>
            <w:hideMark/>
          </w:tcPr>
          <w:p w14:paraId="2A56D605"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b/>
                <w:bCs/>
                <w:sz w:val="22"/>
                <w:szCs w:val="22"/>
              </w:rPr>
              <w:t>Engineering</w:t>
            </w:r>
          </w:p>
        </w:tc>
        <w:tc>
          <w:tcPr>
            <w:tcW w:w="4746" w:type="dxa"/>
            <w:tcBorders>
              <w:top w:val="nil"/>
              <w:left w:val="nil"/>
              <w:bottom w:val="nil"/>
              <w:right w:val="nil"/>
            </w:tcBorders>
            <w:tcMar>
              <w:top w:w="80" w:type="dxa"/>
              <w:left w:w="80" w:type="dxa"/>
              <w:bottom w:w="80" w:type="dxa"/>
              <w:right w:w="80" w:type="dxa"/>
            </w:tcMar>
            <w:hideMark/>
          </w:tcPr>
          <w:p w14:paraId="605D39AF"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Cross-cutting implementation and quality work that supports the system rather than a single functional capability.</w:t>
            </w:r>
          </w:p>
        </w:tc>
        <w:tc>
          <w:tcPr>
            <w:tcW w:w="5223" w:type="dxa"/>
            <w:tcBorders>
              <w:top w:val="nil"/>
              <w:left w:val="nil"/>
              <w:bottom w:val="nil"/>
              <w:right w:val="nil"/>
            </w:tcBorders>
            <w:tcMar>
              <w:top w:w="80" w:type="dxa"/>
              <w:left w:w="80" w:type="dxa"/>
              <w:bottom w:w="80" w:type="dxa"/>
              <w:right w:w="80" w:type="dxa"/>
            </w:tcMar>
            <w:hideMark/>
          </w:tcPr>
          <w:p w14:paraId="737ACD6E"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Shared utilities, testing infrastructure, repository organization, technical cleanup.</w:t>
            </w:r>
          </w:p>
        </w:tc>
      </w:tr>
      <w:tr w:rsidR="00000000" w14:paraId="09512A13" w14:textId="77777777">
        <w:trPr>
          <w:divId w:val="946422884"/>
        </w:trPr>
        <w:tc>
          <w:tcPr>
            <w:tcW w:w="2091" w:type="dxa"/>
            <w:tcBorders>
              <w:top w:val="nil"/>
              <w:left w:val="nil"/>
              <w:bottom w:val="nil"/>
              <w:right w:val="nil"/>
            </w:tcBorders>
            <w:tcMar>
              <w:top w:w="80" w:type="dxa"/>
              <w:left w:w="80" w:type="dxa"/>
              <w:bottom w:w="80" w:type="dxa"/>
              <w:right w:w="80" w:type="dxa"/>
            </w:tcMar>
            <w:hideMark/>
          </w:tcPr>
          <w:p w14:paraId="1CB5E0DA"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b/>
                <w:bCs/>
                <w:sz w:val="22"/>
                <w:szCs w:val="22"/>
              </w:rPr>
              <w:t>Documentation &amp; Process</w:t>
            </w:r>
          </w:p>
        </w:tc>
        <w:tc>
          <w:tcPr>
            <w:tcW w:w="4746" w:type="dxa"/>
            <w:tcBorders>
              <w:top w:val="nil"/>
              <w:left w:val="nil"/>
              <w:bottom w:val="nil"/>
              <w:right w:val="nil"/>
            </w:tcBorders>
            <w:tcMar>
              <w:top w:w="80" w:type="dxa"/>
              <w:left w:w="80" w:type="dxa"/>
              <w:bottom w:w="80" w:type="dxa"/>
              <w:right w:w="80" w:type="dxa"/>
            </w:tcMar>
            <w:hideMark/>
          </w:tcPr>
          <w:p w14:paraId="087FD321"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How the project is documented, governed, validated, and maintained as an engineering effort.</w:t>
            </w:r>
          </w:p>
        </w:tc>
        <w:tc>
          <w:tcPr>
            <w:tcW w:w="5223" w:type="dxa"/>
            <w:tcBorders>
              <w:top w:val="nil"/>
              <w:left w:val="nil"/>
              <w:bottom w:val="nil"/>
              <w:right w:val="nil"/>
            </w:tcBorders>
            <w:tcMar>
              <w:top w:w="80" w:type="dxa"/>
              <w:left w:w="80" w:type="dxa"/>
              <w:bottom w:w="80" w:type="dxa"/>
              <w:right w:w="80" w:type="dxa"/>
            </w:tcMar>
            <w:hideMark/>
          </w:tcPr>
          <w:p w14:paraId="2AD35ADA"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Canonical documentation, Lab reports, documentation protocols, development/validation processes.</w:t>
            </w:r>
          </w:p>
        </w:tc>
      </w:tr>
    </w:tbl>
    <w:p w14:paraId="09C7DC52"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5BD8DB"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Combined Areas such as Operations / Reliability or Knowledge Curation / AIOS may be used when both areas are materially relevant. New Area values should be introduced only when the existing vocabulary does not accurately classify the work.</w:t>
      </w:r>
    </w:p>
    <w:p w14:paraId="059B23B4"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B55136"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b/>
          <w:bCs/>
          <w:sz w:val="22"/>
          <w:szCs w:val="22"/>
        </w:rPr>
        <w:t>Horizon</w:t>
      </w:r>
    </w:p>
    <w:p w14:paraId="65F94D85"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Horizon identifies the expected planning position of the improvement. It is not a commitment date.</w:t>
      </w:r>
    </w:p>
    <w:p w14:paraId="281FDD68"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276"/>
        <w:gridCol w:w="8084"/>
      </w:tblGrid>
      <w:tr w:rsidR="00000000" w14:paraId="5D0D5DD3" w14:textId="77777777">
        <w:trPr>
          <w:divId w:val="1346902712"/>
        </w:trPr>
        <w:tc>
          <w:tcPr>
            <w:tcW w:w="1417" w:type="dxa"/>
            <w:tcBorders>
              <w:top w:val="nil"/>
              <w:left w:val="nil"/>
              <w:bottom w:val="nil"/>
              <w:right w:val="nil"/>
            </w:tcBorders>
            <w:tcMar>
              <w:top w:w="80" w:type="dxa"/>
              <w:left w:w="80" w:type="dxa"/>
              <w:bottom w:w="80" w:type="dxa"/>
              <w:right w:w="80" w:type="dxa"/>
            </w:tcMar>
            <w:hideMark/>
          </w:tcPr>
          <w:p w14:paraId="697D9C72"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b/>
                <w:bCs/>
                <w:sz w:val="22"/>
                <w:szCs w:val="22"/>
              </w:rPr>
              <w:t>Horizon</w:t>
            </w:r>
          </w:p>
        </w:tc>
        <w:tc>
          <w:tcPr>
            <w:tcW w:w="10604" w:type="dxa"/>
            <w:tcBorders>
              <w:top w:val="nil"/>
              <w:left w:val="nil"/>
              <w:bottom w:val="nil"/>
              <w:right w:val="nil"/>
            </w:tcBorders>
            <w:tcMar>
              <w:top w:w="80" w:type="dxa"/>
              <w:left w:w="80" w:type="dxa"/>
              <w:bottom w:w="80" w:type="dxa"/>
              <w:right w:w="80" w:type="dxa"/>
            </w:tcMar>
            <w:hideMark/>
          </w:tcPr>
          <w:p w14:paraId="12E7AE10"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b/>
                <w:bCs/>
                <w:sz w:val="22"/>
                <w:szCs w:val="22"/>
              </w:rPr>
              <w:t>Definition</w:t>
            </w:r>
          </w:p>
        </w:tc>
      </w:tr>
      <w:tr w:rsidR="00000000" w14:paraId="5F345F61" w14:textId="77777777">
        <w:trPr>
          <w:divId w:val="1346902712"/>
        </w:trPr>
        <w:tc>
          <w:tcPr>
            <w:tcW w:w="1417" w:type="dxa"/>
            <w:tcBorders>
              <w:top w:val="nil"/>
              <w:left w:val="nil"/>
              <w:bottom w:val="nil"/>
              <w:right w:val="nil"/>
            </w:tcBorders>
            <w:tcMar>
              <w:top w:w="80" w:type="dxa"/>
              <w:left w:w="80" w:type="dxa"/>
              <w:bottom w:w="80" w:type="dxa"/>
              <w:right w:w="80" w:type="dxa"/>
            </w:tcMar>
            <w:hideMark/>
          </w:tcPr>
          <w:p w14:paraId="64D54277"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w:t>
            </w:r>
          </w:p>
        </w:tc>
        <w:tc>
          <w:tcPr>
            <w:tcW w:w="10604" w:type="dxa"/>
            <w:tcBorders>
              <w:top w:val="nil"/>
              <w:left w:val="nil"/>
              <w:bottom w:val="nil"/>
              <w:right w:val="nil"/>
            </w:tcBorders>
            <w:tcMar>
              <w:top w:w="80" w:type="dxa"/>
              <w:left w:w="80" w:type="dxa"/>
              <w:bottom w:w="80" w:type="dxa"/>
              <w:right w:w="80" w:type="dxa"/>
            </w:tcMar>
            <w:hideMark/>
          </w:tcPr>
          <w:p w14:paraId="6463AEC3"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Assigned to the current Lab or current active body of work. It should be evaluated as part of the work presently underway.</w:t>
            </w:r>
          </w:p>
        </w:tc>
      </w:tr>
      <w:tr w:rsidR="00000000" w14:paraId="01B78471" w14:textId="77777777">
        <w:trPr>
          <w:divId w:val="1346902712"/>
        </w:trPr>
        <w:tc>
          <w:tcPr>
            <w:tcW w:w="1417" w:type="dxa"/>
            <w:tcBorders>
              <w:top w:val="nil"/>
              <w:left w:val="nil"/>
              <w:bottom w:val="nil"/>
              <w:right w:val="nil"/>
            </w:tcBorders>
            <w:tcMar>
              <w:top w:w="80" w:type="dxa"/>
              <w:left w:w="80" w:type="dxa"/>
              <w:bottom w:w="80" w:type="dxa"/>
              <w:right w:w="80" w:type="dxa"/>
            </w:tcMar>
            <w:hideMark/>
          </w:tcPr>
          <w:p w14:paraId="773C05B2"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b/>
                <w:bCs/>
                <w:sz w:val="22"/>
                <w:szCs w:val="22"/>
              </w:rPr>
              <w:t>Near-Term</w:t>
            </w:r>
          </w:p>
        </w:tc>
        <w:tc>
          <w:tcPr>
            <w:tcW w:w="10604" w:type="dxa"/>
            <w:tcBorders>
              <w:top w:val="nil"/>
              <w:left w:val="nil"/>
              <w:bottom w:val="nil"/>
              <w:right w:val="nil"/>
            </w:tcBorders>
            <w:tcMar>
              <w:top w:w="80" w:type="dxa"/>
              <w:left w:w="80" w:type="dxa"/>
              <w:bottom w:w="80" w:type="dxa"/>
              <w:right w:w="80" w:type="dxa"/>
            </w:tcMar>
            <w:hideMark/>
          </w:tcPr>
          <w:p w14:paraId="54B3685C"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Expected to be considered soon after current work, but not committed to the current Lab.</w:t>
            </w:r>
          </w:p>
        </w:tc>
      </w:tr>
      <w:tr w:rsidR="00000000" w14:paraId="0AF1070B" w14:textId="77777777">
        <w:trPr>
          <w:divId w:val="1346902712"/>
        </w:trPr>
        <w:tc>
          <w:tcPr>
            <w:tcW w:w="1417" w:type="dxa"/>
            <w:tcBorders>
              <w:top w:val="nil"/>
              <w:left w:val="nil"/>
              <w:bottom w:val="nil"/>
              <w:right w:val="nil"/>
            </w:tcBorders>
            <w:tcMar>
              <w:top w:w="80" w:type="dxa"/>
              <w:left w:w="80" w:type="dxa"/>
              <w:bottom w:w="80" w:type="dxa"/>
              <w:right w:w="80" w:type="dxa"/>
            </w:tcMar>
            <w:hideMark/>
          </w:tcPr>
          <w:p w14:paraId="78608F8E"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b/>
                <w:bCs/>
                <w:sz w:val="22"/>
                <w:szCs w:val="22"/>
              </w:rPr>
              <w:t>Future</w:t>
            </w:r>
          </w:p>
        </w:tc>
        <w:tc>
          <w:tcPr>
            <w:tcW w:w="10604" w:type="dxa"/>
            <w:tcBorders>
              <w:top w:val="nil"/>
              <w:left w:val="nil"/>
              <w:bottom w:val="nil"/>
              <w:right w:val="nil"/>
            </w:tcBorders>
            <w:tcMar>
              <w:top w:w="80" w:type="dxa"/>
              <w:left w:w="80" w:type="dxa"/>
              <w:bottom w:w="80" w:type="dxa"/>
              <w:right w:w="80" w:type="dxa"/>
            </w:tcMar>
            <w:hideMark/>
          </w:tcPr>
          <w:p w14:paraId="2B7036BF"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Valid future work with no current implementation commitment or immediate scheduling requirement.</w:t>
            </w:r>
          </w:p>
        </w:tc>
      </w:tr>
      <w:tr w:rsidR="00000000" w14:paraId="7B7253EF" w14:textId="77777777">
        <w:trPr>
          <w:divId w:val="1346902712"/>
        </w:trPr>
        <w:tc>
          <w:tcPr>
            <w:tcW w:w="1417" w:type="dxa"/>
            <w:tcBorders>
              <w:top w:val="nil"/>
              <w:left w:val="nil"/>
              <w:bottom w:val="nil"/>
              <w:right w:val="nil"/>
            </w:tcBorders>
            <w:tcMar>
              <w:top w:w="80" w:type="dxa"/>
              <w:left w:w="80" w:type="dxa"/>
              <w:bottom w:w="80" w:type="dxa"/>
              <w:right w:w="80" w:type="dxa"/>
            </w:tcMar>
            <w:hideMark/>
          </w:tcPr>
          <w:p w14:paraId="5BA7F9AD"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b/>
                <w:bCs/>
                <w:sz w:val="22"/>
                <w:szCs w:val="22"/>
              </w:rPr>
              <w:t>Ongoing</w:t>
            </w:r>
          </w:p>
        </w:tc>
        <w:tc>
          <w:tcPr>
            <w:tcW w:w="10705" w:type="dxa"/>
            <w:tcBorders>
              <w:top w:val="nil"/>
              <w:left w:val="nil"/>
              <w:bottom w:val="nil"/>
              <w:right w:val="nil"/>
            </w:tcBorders>
            <w:tcMar>
              <w:top w:w="80" w:type="dxa"/>
              <w:left w:w="80" w:type="dxa"/>
              <w:bottom w:w="80" w:type="dxa"/>
              <w:right w:w="80" w:type="dxa"/>
            </w:tcMar>
            <w:hideMark/>
          </w:tcPr>
          <w:p w14:paraId="56224307"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A continuing engineering, testing, documentation, or operational practice rather than a capability implemented once.</w:t>
            </w:r>
          </w:p>
        </w:tc>
      </w:tr>
    </w:tbl>
    <w:p w14:paraId="6C0AE358"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The most specific applicable Horizon should be used.</w:t>
      </w:r>
    </w:p>
    <w:p w14:paraId="78C099FB"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E02B7F"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Opportunity</w:t>
      </w:r>
    </w:p>
    <w:p w14:paraId="25F15D9D"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Future Opportunity describes </w:t>
      </w:r>
      <w:r>
        <w:rPr>
          <w:rFonts w:ascii="Calibri" w:hAnsi="Calibri" w:cs="Calibri"/>
          <w:b/>
          <w:bCs/>
          <w:sz w:val="22"/>
          <w:szCs w:val="22"/>
        </w:rPr>
        <w:t xml:space="preserve">what could or should be added, </w:t>
      </w:r>
      <w:r>
        <w:rPr>
          <w:rFonts w:ascii="Calibri" w:hAnsi="Calibri" w:cs="Calibri"/>
          <w:b/>
          <w:bCs/>
          <w:sz w:val="22"/>
          <w:szCs w:val="22"/>
        </w:rPr>
        <w:t>improved, investigated, or changed and why the improvement is useful</w:t>
      </w:r>
      <w:r>
        <w:rPr>
          <w:rFonts w:ascii="Calibri" w:hAnsi="Calibri" w:cs="Calibri"/>
          <w:sz w:val="22"/>
          <w:szCs w:val="22"/>
        </w:rPr>
        <w:t>.</w:t>
      </w:r>
    </w:p>
    <w:p w14:paraId="37A10589"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It should describe the capability or outcome rather than prematurely prescribe an implementation. Technical detail may be included when the idea already depends on a known requirement or previously approved design.</w:t>
      </w:r>
    </w:p>
    <w:p w14:paraId="375E26C5"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0230C7"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b/>
          <w:bCs/>
          <w:sz w:val="22"/>
          <w:szCs w:val="22"/>
        </w:rPr>
        <w:t>Guardrail / Design Note</w:t>
      </w:r>
    </w:p>
    <w:p w14:paraId="19161AA3"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Guardrail / Design Note records </w:t>
      </w:r>
      <w:r>
        <w:rPr>
          <w:rFonts w:ascii="Calibri" w:hAnsi="Calibri" w:cs="Calibri"/>
          <w:b/>
          <w:bCs/>
          <w:sz w:val="22"/>
          <w:szCs w:val="22"/>
        </w:rPr>
        <w:t>what must remain true if the improvement is pursued</w:t>
      </w:r>
      <w:r>
        <w:rPr>
          <w:rFonts w:ascii="Calibri" w:hAnsi="Calibri" w:cs="Calibri"/>
          <w:sz w:val="22"/>
          <w:szCs w:val="22"/>
        </w:rPr>
        <w:t>.</w:t>
      </w:r>
    </w:p>
    <w:p w14:paraId="0008989D"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field may identify architectural boundaries, existing decisions that must be preserved, </w:t>
      </w:r>
      <w:r>
        <w:rPr>
          <w:rFonts w:ascii="Calibri" w:hAnsi="Calibri" w:cs="Calibri"/>
          <w:sz w:val="22"/>
          <w:szCs w:val="22"/>
        </w:rPr>
        <w:t>known risks, dependencies, excluded approaches, unresolved design questions, or conditions that should exist before implementation.</w:t>
      </w:r>
    </w:p>
    <w:p w14:paraId="64D377C1" w14:textId="77777777" w:rsidR="004D5549" w:rsidRDefault="004D5549">
      <w:pPr>
        <w:pStyle w:val="NormalWeb"/>
        <w:spacing w:before="0" w:beforeAutospacing="0" w:after="0" w:afterAutospacing="0"/>
        <w:rPr>
          <w:rFonts w:ascii="Calibri" w:hAnsi="Calibri" w:cs="Calibri"/>
          <w:sz w:val="22"/>
          <w:szCs w:val="22"/>
        </w:rPr>
      </w:pPr>
      <w:r>
        <w:rPr>
          <w:rFonts w:ascii="Calibri" w:hAnsi="Calibri" w:cs="Calibri"/>
          <w:sz w:val="22"/>
          <w:szCs w:val="22"/>
        </w:rPr>
        <w:t>It should not merely state that an item is a feature. If no meaningful guardrail or design constraint is currently known, use:</w:t>
      </w:r>
    </w:p>
    <w:p w14:paraId="1FA61436" w14:textId="77777777" w:rsidR="004D5549" w:rsidRDefault="004D554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No additional guardrail has been established. Implementation must remain consistent with the canonical AlphaOmega architecture and technical specifications in effect when the item is pursued.</w:t>
      </w:r>
    </w:p>
    <w:sectPr w:rsidR="004D55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563F"/>
    <w:rsid w:val="001D563F"/>
    <w:rsid w:val="004D5549"/>
    <w:rsid w:val="00A96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6242A3"/>
  <w15:chartTrackingRefBased/>
  <w15:docId w15:val="{EE3753E8-BB6E-4587-8683-E07D632CF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15931">
      <w:marLeft w:val="0"/>
      <w:marRight w:val="0"/>
      <w:marTop w:val="0"/>
      <w:marBottom w:val="0"/>
      <w:divBdr>
        <w:top w:val="none" w:sz="0" w:space="0" w:color="auto"/>
        <w:left w:val="none" w:sz="0" w:space="0" w:color="auto"/>
        <w:bottom w:val="none" w:sz="0" w:space="0" w:color="auto"/>
        <w:right w:val="none" w:sz="0" w:space="0" w:color="auto"/>
      </w:divBdr>
    </w:div>
    <w:div w:id="241107993">
      <w:marLeft w:val="0"/>
      <w:marRight w:val="0"/>
      <w:marTop w:val="0"/>
      <w:marBottom w:val="0"/>
      <w:divBdr>
        <w:top w:val="none" w:sz="0" w:space="0" w:color="auto"/>
        <w:left w:val="none" w:sz="0" w:space="0" w:color="auto"/>
        <w:bottom w:val="none" w:sz="0" w:space="0" w:color="auto"/>
        <w:right w:val="none" w:sz="0" w:space="0" w:color="auto"/>
      </w:divBdr>
    </w:div>
    <w:div w:id="273902732">
      <w:marLeft w:val="0"/>
      <w:marRight w:val="0"/>
      <w:marTop w:val="0"/>
      <w:marBottom w:val="0"/>
      <w:divBdr>
        <w:top w:val="none" w:sz="0" w:space="0" w:color="auto"/>
        <w:left w:val="none" w:sz="0" w:space="0" w:color="auto"/>
        <w:bottom w:val="none" w:sz="0" w:space="0" w:color="auto"/>
        <w:right w:val="none" w:sz="0" w:space="0" w:color="auto"/>
      </w:divBdr>
    </w:div>
    <w:div w:id="327711517">
      <w:marLeft w:val="0"/>
      <w:marRight w:val="0"/>
      <w:marTop w:val="0"/>
      <w:marBottom w:val="0"/>
      <w:divBdr>
        <w:top w:val="none" w:sz="0" w:space="0" w:color="auto"/>
        <w:left w:val="none" w:sz="0" w:space="0" w:color="auto"/>
        <w:bottom w:val="none" w:sz="0" w:space="0" w:color="auto"/>
        <w:right w:val="none" w:sz="0" w:space="0" w:color="auto"/>
      </w:divBdr>
    </w:div>
    <w:div w:id="330564511">
      <w:marLeft w:val="0"/>
      <w:marRight w:val="0"/>
      <w:marTop w:val="0"/>
      <w:marBottom w:val="0"/>
      <w:divBdr>
        <w:top w:val="none" w:sz="0" w:space="0" w:color="auto"/>
        <w:left w:val="none" w:sz="0" w:space="0" w:color="auto"/>
        <w:bottom w:val="none" w:sz="0" w:space="0" w:color="auto"/>
        <w:right w:val="none" w:sz="0" w:space="0" w:color="auto"/>
      </w:divBdr>
    </w:div>
    <w:div w:id="475076880">
      <w:marLeft w:val="0"/>
      <w:marRight w:val="0"/>
      <w:marTop w:val="0"/>
      <w:marBottom w:val="0"/>
      <w:divBdr>
        <w:top w:val="none" w:sz="0" w:space="0" w:color="auto"/>
        <w:left w:val="none" w:sz="0" w:space="0" w:color="auto"/>
        <w:bottom w:val="none" w:sz="0" w:space="0" w:color="auto"/>
        <w:right w:val="none" w:sz="0" w:space="0" w:color="auto"/>
      </w:divBdr>
    </w:div>
    <w:div w:id="530072841">
      <w:marLeft w:val="0"/>
      <w:marRight w:val="0"/>
      <w:marTop w:val="0"/>
      <w:marBottom w:val="0"/>
      <w:divBdr>
        <w:top w:val="none" w:sz="0" w:space="0" w:color="auto"/>
        <w:left w:val="none" w:sz="0" w:space="0" w:color="auto"/>
        <w:bottom w:val="none" w:sz="0" w:space="0" w:color="auto"/>
        <w:right w:val="none" w:sz="0" w:space="0" w:color="auto"/>
      </w:divBdr>
    </w:div>
    <w:div w:id="530146120">
      <w:marLeft w:val="0"/>
      <w:marRight w:val="0"/>
      <w:marTop w:val="0"/>
      <w:marBottom w:val="0"/>
      <w:divBdr>
        <w:top w:val="none" w:sz="0" w:space="0" w:color="auto"/>
        <w:left w:val="none" w:sz="0" w:space="0" w:color="auto"/>
        <w:bottom w:val="none" w:sz="0" w:space="0" w:color="auto"/>
        <w:right w:val="none" w:sz="0" w:space="0" w:color="auto"/>
      </w:divBdr>
    </w:div>
    <w:div w:id="588585886">
      <w:marLeft w:val="0"/>
      <w:marRight w:val="0"/>
      <w:marTop w:val="0"/>
      <w:marBottom w:val="0"/>
      <w:divBdr>
        <w:top w:val="none" w:sz="0" w:space="0" w:color="auto"/>
        <w:left w:val="none" w:sz="0" w:space="0" w:color="auto"/>
        <w:bottom w:val="none" w:sz="0" w:space="0" w:color="auto"/>
        <w:right w:val="none" w:sz="0" w:space="0" w:color="auto"/>
      </w:divBdr>
    </w:div>
    <w:div w:id="680662921">
      <w:marLeft w:val="0"/>
      <w:marRight w:val="0"/>
      <w:marTop w:val="0"/>
      <w:marBottom w:val="0"/>
      <w:divBdr>
        <w:top w:val="none" w:sz="0" w:space="0" w:color="auto"/>
        <w:left w:val="none" w:sz="0" w:space="0" w:color="auto"/>
        <w:bottom w:val="none" w:sz="0" w:space="0" w:color="auto"/>
        <w:right w:val="none" w:sz="0" w:space="0" w:color="auto"/>
      </w:divBdr>
    </w:div>
    <w:div w:id="824860431">
      <w:marLeft w:val="0"/>
      <w:marRight w:val="0"/>
      <w:marTop w:val="0"/>
      <w:marBottom w:val="0"/>
      <w:divBdr>
        <w:top w:val="none" w:sz="0" w:space="0" w:color="auto"/>
        <w:left w:val="none" w:sz="0" w:space="0" w:color="auto"/>
        <w:bottom w:val="none" w:sz="0" w:space="0" w:color="auto"/>
        <w:right w:val="none" w:sz="0" w:space="0" w:color="auto"/>
      </w:divBdr>
    </w:div>
    <w:div w:id="829369168">
      <w:marLeft w:val="0"/>
      <w:marRight w:val="0"/>
      <w:marTop w:val="0"/>
      <w:marBottom w:val="0"/>
      <w:divBdr>
        <w:top w:val="none" w:sz="0" w:space="0" w:color="auto"/>
        <w:left w:val="none" w:sz="0" w:space="0" w:color="auto"/>
        <w:bottom w:val="none" w:sz="0" w:space="0" w:color="auto"/>
        <w:right w:val="none" w:sz="0" w:space="0" w:color="auto"/>
      </w:divBdr>
    </w:div>
    <w:div w:id="834493011">
      <w:marLeft w:val="0"/>
      <w:marRight w:val="0"/>
      <w:marTop w:val="0"/>
      <w:marBottom w:val="0"/>
      <w:divBdr>
        <w:top w:val="none" w:sz="0" w:space="0" w:color="auto"/>
        <w:left w:val="none" w:sz="0" w:space="0" w:color="auto"/>
        <w:bottom w:val="none" w:sz="0" w:space="0" w:color="auto"/>
        <w:right w:val="none" w:sz="0" w:space="0" w:color="auto"/>
      </w:divBdr>
    </w:div>
    <w:div w:id="843937183">
      <w:marLeft w:val="0"/>
      <w:marRight w:val="0"/>
      <w:marTop w:val="0"/>
      <w:marBottom w:val="0"/>
      <w:divBdr>
        <w:top w:val="none" w:sz="0" w:space="0" w:color="auto"/>
        <w:left w:val="none" w:sz="0" w:space="0" w:color="auto"/>
        <w:bottom w:val="none" w:sz="0" w:space="0" w:color="auto"/>
        <w:right w:val="none" w:sz="0" w:space="0" w:color="auto"/>
      </w:divBdr>
    </w:div>
    <w:div w:id="867572282">
      <w:marLeft w:val="0"/>
      <w:marRight w:val="0"/>
      <w:marTop w:val="0"/>
      <w:marBottom w:val="0"/>
      <w:divBdr>
        <w:top w:val="none" w:sz="0" w:space="0" w:color="auto"/>
        <w:left w:val="none" w:sz="0" w:space="0" w:color="auto"/>
        <w:bottom w:val="none" w:sz="0" w:space="0" w:color="auto"/>
        <w:right w:val="none" w:sz="0" w:space="0" w:color="auto"/>
      </w:divBdr>
    </w:div>
    <w:div w:id="946422884">
      <w:marLeft w:val="0"/>
      <w:marRight w:val="0"/>
      <w:marTop w:val="0"/>
      <w:marBottom w:val="0"/>
      <w:divBdr>
        <w:top w:val="none" w:sz="0" w:space="0" w:color="auto"/>
        <w:left w:val="none" w:sz="0" w:space="0" w:color="auto"/>
        <w:bottom w:val="none" w:sz="0" w:space="0" w:color="auto"/>
        <w:right w:val="none" w:sz="0" w:space="0" w:color="auto"/>
      </w:divBdr>
    </w:div>
    <w:div w:id="966929798">
      <w:marLeft w:val="0"/>
      <w:marRight w:val="0"/>
      <w:marTop w:val="0"/>
      <w:marBottom w:val="0"/>
      <w:divBdr>
        <w:top w:val="none" w:sz="0" w:space="0" w:color="auto"/>
        <w:left w:val="none" w:sz="0" w:space="0" w:color="auto"/>
        <w:bottom w:val="none" w:sz="0" w:space="0" w:color="auto"/>
        <w:right w:val="none" w:sz="0" w:space="0" w:color="auto"/>
      </w:divBdr>
    </w:div>
    <w:div w:id="1045371833">
      <w:marLeft w:val="0"/>
      <w:marRight w:val="0"/>
      <w:marTop w:val="0"/>
      <w:marBottom w:val="0"/>
      <w:divBdr>
        <w:top w:val="none" w:sz="0" w:space="0" w:color="auto"/>
        <w:left w:val="none" w:sz="0" w:space="0" w:color="auto"/>
        <w:bottom w:val="none" w:sz="0" w:space="0" w:color="auto"/>
        <w:right w:val="none" w:sz="0" w:space="0" w:color="auto"/>
      </w:divBdr>
    </w:div>
    <w:div w:id="1064717874">
      <w:marLeft w:val="0"/>
      <w:marRight w:val="0"/>
      <w:marTop w:val="0"/>
      <w:marBottom w:val="0"/>
      <w:divBdr>
        <w:top w:val="none" w:sz="0" w:space="0" w:color="auto"/>
        <w:left w:val="none" w:sz="0" w:space="0" w:color="auto"/>
        <w:bottom w:val="none" w:sz="0" w:space="0" w:color="auto"/>
        <w:right w:val="none" w:sz="0" w:space="0" w:color="auto"/>
      </w:divBdr>
    </w:div>
    <w:div w:id="1079671766">
      <w:marLeft w:val="0"/>
      <w:marRight w:val="0"/>
      <w:marTop w:val="0"/>
      <w:marBottom w:val="0"/>
      <w:divBdr>
        <w:top w:val="none" w:sz="0" w:space="0" w:color="auto"/>
        <w:left w:val="none" w:sz="0" w:space="0" w:color="auto"/>
        <w:bottom w:val="none" w:sz="0" w:space="0" w:color="auto"/>
        <w:right w:val="none" w:sz="0" w:space="0" w:color="auto"/>
      </w:divBdr>
    </w:div>
    <w:div w:id="1086000221">
      <w:marLeft w:val="0"/>
      <w:marRight w:val="0"/>
      <w:marTop w:val="0"/>
      <w:marBottom w:val="0"/>
      <w:divBdr>
        <w:top w:val="none" w:sz="0" w:space="0" w:color="auto"/>
        <w:left w:val="none" w:sz="0" w:space="0" w:color="auto"/>
        <w:bottom w:val="none" w:sz="0" w:space="0" w:color="auto"/>
        <w:right w:val="none" w:sz="0" w:space="0" w:color="auto"/>
      </w:divBdr>
    </w:div>
    <w:div w:id="1094397571">
      <w:marLeft w:val="0"/>
      <w:marRight w:val="0"/>
      <w:marTop w:val="0"/>
      <w:marBottom w:val="0"/>
      <w:divBdr>
        <w:top w:val="none" w:sz="0" w:space="0" w:color="auto"/>
        <w:left w:val="none" w:sz="0" w:space="0" w:color="auto"/>
        <w:bottom w:val="none" w:sz="0" w:space="0" w:color="auto"/>
        <w:right w:val="none" w:sz="0" w:space="0" w:color="auto"/>
      </w:divBdr>
    </w:div>
    <w:div w:id="1232081304">
      <w:marLeft w:val="0"/>
      <w:marRight w:val="0"/>
      <w:marTop w:val="0"/>
      <w:marBottom w:val="0"/>
      <w:divBdr>
        <w:top w:val="none" w:sz="0" w:space="0" w:color="auto"/>
        <w:left w:val="none" w:sz="0" w:space="0" w:color="auto"/>
        <w:bottom w:val="none" w:sz="0" w:space="0" w:color="auto"/>
        <w:right w:val="none" w:sz="0" w:space="0" w:color="auto"/>
      </w:divBdr>
    </w:div>
    <w:div w:id="1289971512">
      <w:marLeft w:val="0"/>
      <w:marRight w:val="0"/>
      <w:marTop w:val="0"/>
      <w:marBottom w:val="0"/>
      <w:divBdr>
        <w:top w:val="none" w:sz="0" w:space="0" w:color="auto"/>
        <w:left w:val="none" w:sz="0" w:space="0" w:color="auto"/>
        <w:bottom w:val="none" w:sz="0" w:space="0" w:color="auto"/>
        <w:right w:val="none" w:sz="0" w:space="0" w:color="auto"/>
      </w:divBdr>
    </w:div>
    <w:div w:id="1329795640">
      <w:marLeft w:val="0"/>
      <w:marRight w:val="0"/>
      <w:marTop w:val="0"/>
      <w:marBottom w:val="0"/>
      <w:divBdr>
        <w:top w:val="none" w:sz="0" w:space="0" w:color="auto"/>
        <w:left w:val="none" w:sz="0" w:space="0" w:color="auto"/>
        <w:bottom w:val="none" w:sz="0" w:space="0" w:color="auto"/>
        <w:right w:val="none" w:sz="0" w:space="0" w:color="auto"/>
      </w:divBdr>
    </w:div>
    <w:div w:id="1346902712">
      <w:marLeft w:val="0"/>
      <w:marRight w:val="0"/>
      <w:marTop w:val="0"/>
      <w:marBottom w:val="0"/>
      <w:divBdr>
        <w:top w:val="none" w:sz="0" w:space="0" w:color="auto"/>
        <w:left w:val="none" w:sz="0" w:space="0" w:color="auto"/>
        <w:bottom w:val="none" w:sz="0" w:space="0" w:color="auto"/>
        <w:right w:val="none" w:sz="0" w:space="0" w:color="auto"/>
      </w:divBdr>
    </w:div>
    <w:div w:id="1371227177">
      <w:marLeft w:val="0"/>
      <w:marRight w:val="0"/>
      <w:marTop w:val="0"/>
      <w:marBottom w:val="0"/>
      <w:divBdr>
        <w:top w:val="none" w:sz="0" w:space="0" w:color="auto"/>
        <w:left w:val="none" w:sz="0" w:space="0" w:color="auto"/>
        <w:bottom w:val="none" w:sz="0" w:space="0" w:color="auto"/>
        <w:right w:val="none" w:sz="0" w:space="0" w:color="auto"/>
      </w:divBdr>
    </w:div>
    <w:div w:id="1435636350">
      <w:marLeft w:val="0"/>
      <w:marRight w:val="0"/>
      <w:marTop w:val="0"/>
      <w:marBottom w:val="0"/>
      <w:divBdr>
        <w:top w:val="none" w:sz="0" w:space="0" w:color="auto"/>
        <w:left w:val="none" w:sz="0" w:space="0" w:color="auto"/>
        <w:bottom w:val="none" w:sz="0" w:space="0" w:color="auto"/>
        <w:right w:val="none" w:sz="0" w:space="0" w:color="auto"/>
      </w:divBdr>
    </w:div>
    <w:div w:id="1509712043">
      <w:marLeft w:val="0"/>
      <w:marRight w:val="0"/>
      <w:marTop w:val="0"/>
      <w:marBottom w:val="0"/>
      <w:divBdr>
        <w:top w:val="none" w:sz="0" w:space="0" w:color="auto"/>
        <w:left w:val="none" w:sz="0" w:space="0" w:color="auto"/>
        <w:bottom w:val="none" w:sz="0" w:space="0" w:color="auto"/>
        <w:right w:val="none" w:sz="0" w:space="0" w:color="auto"/>
      </w:divBdr>
    </w:div>
    <w:div w:id="1524705088">
      <w:marLeft w:val="0"/>
      <w:marRight w:val="0"/>
      <w:marTop w:val="0"/>
      <w:marBottom w:val="0"/>
      <w:divBdr>
        <w:top w:val="none" w:sz="0" w:space="0" w:color="auto"/>
        <w:left w:val="none" w:sz="0" w:space="0" w:color="auto"/>
        <w:bottom w:val="none" w:sz="0" w:space="0" w:color="auto"/>
        <w:right w:val="none" w:sz="0" w:space="0" w:color="auto"/>
      </w:divBdr>
    </w:div>
    <w:div w:id="1572156119">
      <w:marLeft w:val="0"/>
      <w:marRight w:val="0"/>
      <w:marTop w:val="0"/>
      <w:marBottom w:val="0"/>
      <w:divBdr>
        <w:top w:val="none" w:sz="0" w:space="0" w:color="auto"/>
        <w:left w:val="none" w:sz="0" w:space="0" w:color="auto"/>
        <w:bottom w:val="none" w:sz="0" w:space="0" w:color="auto"/>
        <w:right w:val="none" w:sz="0" w:space="0" w:color="auto"/>
      </w:divBdr>
    </w:div>
    <w:div w:id="1597403748">
      <w:marLeft w:val="0"/>
      <w:marRight w:val="0"/>
      <w:marTop w:val="0"/>
      <w:marBottom w:val="0"/>
      <w:divBdr>
        <w:top w:val="none" w:sz="0" w:space="0" w:color="auto"/>
        <w:left w:val="none" w:sz="0" w:space="0" w:color="auto"/>
        <w:bottom w:val="none" w:sz="0" w:space="0" w:color="auto"/>
        <w:right w:val="none" w:sz="0" w:space="0" w:color="auto"/>
      </w:divBdr>
    </w:div>
    <w:div w:id="1607424826">
      <w:marLeft w:val="0"/>
      <w:marRight w:val="0"/>
      <w:marTop w:val="0"/>
      <w:marBottom w:val="0"/>
      <w:divBdr>
        <w:top w:val="none" w:sz="0" w:space="0" w:color="auto"/>
        <w:left w:val="none" w:sz="0" w:space="0" w:color="auto"/>
        <w:bottom w:val="none" w:sz="0" w:space="0" w:color="auto"/>
        <w:right w:val="none" w:sz="0" w:space="0" w:color="auto"/>
      </w:divBdr>
    </w:div>
    <w:div w:id="1649243484">
      <w:marLeft w:val="0"/>
      <w:marRight w:val="0"/>
      <w:marTop w:val="0"/>
      <w:marBottom w:val="0"/>
      <w:divBdr>
        <w:top w:val="none" w:sz="0" w:space="0" w:color="auto"/>
        <w:left w:val="none" w:sz="0" w:space="0" w:color="auto"/>
        <w:bottom w:val="none" w:sz="0" w:space="0" w:color="auto"/>
        <w:right w:val="none" w:sz="0" w:space="0" w:color="auto"/>
      </w:divBdr>
    </w:div>
    <w:div w:id="1657880011">
      <w:marLeft w:val="0"/>
      <w:marRight w:val="0"/>
      <w:marTop w:val="0"/>
      <w:marBottom w:val="0"/>
      <w:divBdr>
        <w:top w:val="none" w:sz="0" w:space="0" w:color="auto"/>
        <w:left w:val="none" w:sz="0" w:space="0" w:color="auto"/>
        <w:bottom w:val="none" w:sz="0" w:space="0" w:color="auto"/>
        <w:right w:val="none" w:sz="0" w:space="0" w:color="auto"/>
      </w:divBdr>
    </w:div>
    <w:div w:id="1705015541">
      <w:marLeft w:val="0"/>
      <w:marRight w:val="0"/>
      <w:marTop w:val="0"/>
      <w:marBottom w:val="0"/>
      <w:divBdr>
        <w:top w:val="none" w:sz="0" w:space="0" w:color="auto"/>
        <w:left w:val="none" w:sz="0" w:space="0" w:color="auto"/>
        <w:bottom w:val="none" w:sz="0" w:space="0" w:color="auto"/>
        <w:right w:val="none" w:sz="0" w:space="0" w:color="auto"/>
      </w:divBdr>
    </w:div>
    <w:div w:id="1744640576">
      <w:marLeft w:val="0"/>
      <w:marRight w:val="0"/>
      <w:marTop w:val="0"/>
      <w:marBottom w:val="0"/>
      <w:divBdr>
        <w:top w:val="none" w:sz="0" w:space="0" w:color="auto"/>
        <w:left w:val="none" w:sz="0" w:space="0" w:color="auto"/>
        <w:bottom w:val="none" w:sz="0" w:space="0" w:color="auto"/>
        <w:right w:val="none" w:sz="0" w:space="0" w:color="auto"/>
      </w:divBdr>
    </w:div>
    <w:div w:id="1791822056">
      <w:marLeft w:val="0"/>
      <w:marRight w:val="0"/>
      <w:marTop w:val="0"/>
      <w:marBottom w:val="0"/>
      <w:divBdr>
        <w:top w:val="none" w:sz="0" w:space="0" w:color="auto"/>
        <w:left w:val="none" w:sz="0" w:space="0" w:color="auto"/>
        <w:bottom w:val="none" w:sz="0" w:space="0" w:color="auto"/>
        <w:right w:val="none" w:sz="0" w:space="0" w:color="auto"/>
      </w:divBdr>
    </w:div>
    <w:div w:id="1815950817">
      <w:marLeft w:val="0"/>
      <w:marRight w:val="0"/>
      <w:marTop w:val="0"/>
      <w:marBottom w:val="0"/>
      <w:divBdr>
        <w:top w:val="none" w:sz="0" w:space="0" w:color="auto"/>
        <w:left w:val="none" w:sz="0" w:space="0" w:color="auto"/>
        <w:bottom w:val="none" w:sz="0" w:space="0" w:color="auto"/>
        <w:right w:val="none" w:sz="0" w:space="0" w:color="auto"/>
      </w:divBdr>
    </w:div>
    <w:div w:id="1847943435">
      <w:marLeft w:val="0"/>
      <w:marRight w:val="0"/>
      <w:marTop w:val="0"/>
      <w:marBottom w:val="0"/>
      <w:divBdr>
        <w:top w:val="none" w:sz="0" w:space="0" w:color="auto"/>
        <w:left w:val="none" w:sz="0" w:space="0" w:color="auto"/>
        <w:bottom w:val="none" w:sz="0" w:space="0" w:color="auto"/>
        <w:right w:val="none" w:sz="0" w:space="0" w:color="auto"/>
      </w:divBdr>
    </w:div>
    <w:div w:id="1859271982">
      <w:marLeft w:val="0"/>
      <w:marRight w:val="0"/>
      <w:marTop w:val="0"/>
      <w:marBottom w:val="0"/>
      <w:divBdr>
        <w:top w:val="none" w:sz="0" w:space="0" w:color="auto"/>
        <w:left w:val="none" w:sz="0" w:space="0" w:color="auto"/>
        <w:bottom w:val="none" w:sz="0" w:space="0" w:color="auto"/>
        <w:right w:val="none" w:sz="0" w:space="0" w:color="auto"/>
      </w:divBdr>
    </w:div>
    <w:div w:id="2012370779">
      <w:marLeft w:val="0"/>
      <w:marRight w:val="0"/>
      <w:marTop w:val="0"/>
      <w:marBottom w:val="0"/>
      <w:divBdr>
        <w:top w:val="none" w:sz="0" w:space="0" w:color="auto"/>
        <w:left w:val="none" w:sz="0" w:space="0" w:color="auto"/>
        <w:bottom w:val="none" w:sz="0" w:space="0" w:color="auto"/>
        <w:right w:val="none" w:sz="0" w:space="0" w:color="auto"/>
      </w:divBdr>
    </w:div>
    <w:div w:id="2045135076">
      <w:marLeft w:val="0"/>
      <w:marRight w:val="0"/>
      <w:marTop w:val="0"/>
      <w:marBottom w:val="0"/>
      <w:divBdr>
        <w:top w:val="none" w:sz="0" w:space="0" w:color="auto"/>
        <w:left w:val="none" w:sz="0" w:space="0" w:color="auto"/>
        <w:bottom w:val="none" w:sz="0" w:space="0" w:color="auto"/>
        <w:right w:val="none" w:sz="0" w:space="0" w:color="auto"/>
      </w:divBdr>
    </w:div>
    <w:div w:id="2047480368">
      <w:marLeft w:val="0"/>
      <w:marRight w:val="0"/>
      <w:marTop w:val="0"/>
      <w:marBottom w:val="0"/>
      <w:divBdr>
        <w:top w:val="none" w:sz="0" w:space="0" w:color="auto"/>
        <w:left w:val="none" w:sz="0" w:space="0" w:color="auto"/>
        <w:bottom w:val="none" w:sz="0" w:space="0" w:color="auto"/>
        <w:right w:val="none" w:sz="0" w:space="0" w:color="auto"/>
      </w:divBdr>
    </w:div>
    <w:div w:id="206517371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3805</Words>
  <Characters>21695</Characters>
  <Application>Microsoft Office Word</Application>
  <DocSecurity>0</DocSecurity>
  <Lines>180</Lines>
  <Paragraphs>50</Paragraphs>
  <ScaleCrop>false</ScaleCrop>
  <Company/>
  <LinksUpToDate>false</LinksUpToDate>
  <CharactersWithSpaces>25450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dc:creator>
  <cp:keywords/>
  <dc:description/>
  <cp:lastModifiedBy>David Park</cp:lastModifiedBy>
  <cp:revision>2</cp:revision>
  <dcterms:created xsi:type="dcterms:W3CDTF">2026-09-03T04:07:00Z</dcterms:created>
  <dcterms:modified xsi:type="dcterms:W3CDTF">2026-09-03T04:07:00Z</dcterms:modified>
</cp:coreProperties>
</file>