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Component Integration Map</w:t>
      </w:r>
    </w:p>
    <w:p>
      <w:pPr>
        <w:pStyle w:val="Heading1"/>
      </w:pPr>
      <w:r>
        <w:t>Purpose</w:t>
      </w:r>
    </w:p>
    <w:p>
      <w:r>
        <w:t>This map shows how AlphaOmega and CYRIL production capabilities connect, what executes next, where responsibility changes, and where processing branches or stops. Detailed behavior belongs in the Technical Specifications. Production classes, modules, and dependencies belong in the Implementation Guide.</w:t>
      </w:r>
    </w:p>
    <w:p>
      <w:pPr>
        <w:pStyle w:val="Heading1"/>
      </w:pPr>
      <w:r>
        <w:t>1. System Boundary</w:t>
      </w:r>
    </w:p>
    <w:p>
      <w:r>
        <w:t>Approved Sources of Truth → AlphaOmega source access and synchronization → Canonical Knowledge Repository → AlphaOmega knowledge capabilities → CYRIL reasoning and interaction → Human decision</w:t>
      </w:r>
    </w:p>
    <w:p>
      <w:r>
        <w:t>Sources of Truth own their original content and structure. AlphaOmega owns synchronization, persisted source structure, canonical knowledge, and knowledge services. CYRIL consumes approved AlphaOmega capabilities without directly manipulating AlphaOmega tables, repositories, Microsoft Graph, or synchronization stages.</w:t>
      </w:r>
    </w:p>
    <w:p>
      <w:pPr>
        <w:pStyle w:val="Heading1"/>
      </w:pPr>
      <w:r>
        <w:t>2. Human Interaction and Runtime Composition</w:t>
      </w:r>
    </w:p>
    <w:tbl>
      <w:tblPr>
        <w:tblStyle w:val="TableGrid"/>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Connects to</w:t>
            </w:r>
          </w:p>
        </w:tc>
        <w:tc>
          <w:tcPr>
            <w:tcW w:type="dxa" w:w="3120"/>
          </w:tcPr>
          <w:p>
            <w:r>
              <w:t>Next action or boundary</w:t>
            </w:r>
          </w:p>
        </w:tc>
      </w:tr>
      <w:tr>
        <w:tc>
          <w:tcPr>
            <w:tcW w:type="dxa" w:w="3120"/>
          </w:tcPr>
          <w:p>
            <w:r>
              <w:t>CYRIL interface</w:t>
            </w:r>
          </w:p>
        </w:tc>
        <w:tc>
          <w:tcPr>
            <w:tcW w:type="dxa" w:w="3120"/>
          </w:tcPr>
          <w:p>
            <w:r>
              <w:t>pywebview SynchronizationApi</w:t>
            </w:r>
          </w:p>
        </w:tc>
        <w:tc>
          <w:tcPr>
            <w:tcW w:type="dxa" w:w="3120"/>
          </w:tcPr>
          <w:p>
            <w:r>
              <w:t>Presents Sources, hierarchy, selection, execution status, and result.</w:t>
            </w:r>
          </w:p>
        </w:tc>
      </w:tr>
      <w:tr>
        <w:tc>
          <w:tcPr>
            <w:tcW w:type="dxa" w:w="3120"/>
          </w:tcPr>
          <w:p>
            <w:r>
              <w:t>SynchronizationApi</w:t>
            </w:r>
          </w:p>
        </w:tc>
        <w:tc>
          <w:tcPr>
            <w:tcW w:type="dxa" w:w="3120"/>
          </w:tcPr>
          <w:p>
            <w:r>
              <w:t>SynchronizationInteractionService</w:t>
            </w:r>
          </w:p>
        </w:tc>
        <w:tc>
          <w:tcPr>
            <w:tcW w:type="dxa" w:w="3120"/>
          </w:tcPr>
          <w:p>
            <w:r>
              <w:t>Converts JavaScript calls and JSON-safe values; stops presentation-specific behavior here.</w:t>
            </w:r>
          </w:p>
        </w:tc>
      </w:tr>
      <w:tr>
        <w:tc>
          <w:tcPr>
            <w:tcW w:type="dxa" w:w="3120"/>
          </w:tcPr>
          <w:p>
            <w:r>
              <w:t>SynchronizationInteractionService</w:t>
            </w:r>
          </w:p>
        </w:tc>
        <w:tc>
          <w:tcPr>
            <w:tcW w:type="dxa" w:w="3120"/>
          </w:tcPr>
          <w:p>
            <w:r>
              <w:t>SourceBrowsingService or SynchronizationApplicationService</w:t>
            </w:r>
          </w:p>
        </w:tc>
        <w:tc>
          <w:tcPr>
            <w:tcW w:type="dxa" w:w="3120"/>
          </w:tcPr>
          <w:p>
            <w:r>
              <w:t>Routes browse or synchronize intent without UI dependencies.</w:t>
            </w:r>
          </w:p>
        </w:tc>
      </w:tr>
      <w:tr>
        <w:tc>
          <w:tcPr>
            <w:tcW w:type="dxa" w:w="3120"/>
          </w:tcPr>
          <w:p>
            <w:r>
              <w:t>sync_runtime</w:t>
            </w:r>
          </w:p>
        </w:tc>
        <w:tc>
          <w:tcPr>
            <w:tcW w:type="dxa" w:w="3120"/>
          </w:tcPr>
          <w:p>
            <w:r>
              <w:t>Repositories, services, source adapters, pipeline stages</w:t>
            </w:r>
          </w:p>
        </w:tc>
        <w:tc>
          <w:tcPr>
            <w:tcW w:type="dxa" w:w="3120"/>
          </w:tcPr>
          <w:p>
            <w:r>
              <w:t>Composes the production graph and returns the interaction service.</w:t>
            </w:r>
          </w:p>
        </w:tc>
      </w:tr>
    </w:tbl>
    <w:p>
      <w:pPr>
        <w:pStyle w:val="Heading1"/>
      </w:pPr>
      <w:r>
        <w:t>3. Source Container Inventory Refresh</w:t>
      </w:r>
    </w:p>
    <w:p>
      <w:r>
        <w:t>User request → interaction boundary → SourceContainerRefreshService → whole-Source reservation → Source-specific Container enumerator → observation validation → reconciliation → atomic Source Container persistence → Processing Job completion → operational result</w:t>
      </w:r>
    </w:p>
    <w:p>
      <w:pPr>
        <w:pStyle w:val="ListBullet"/>
      </w:pPr>
      <w:r>
        <w:t>If whole-Source reservation conflicts with active synchronization, Refresh stops before execution.</w:t>
      </w:r>
    </w:p>
    <w:p>
      <w:pPr>
        <w:pStyle w:val="ListBullet"/>
      </w:pPr>
      <w:r>
        <w:t>If enumeration or observation validation is incomplete, reconciliation and deactivation stop.</w:t>
      </w:r>
    </w:p>
    <w:p>
      <w:pPr>
        <w:pStyle w:val="ListBullet"/>
      </w:pPr>
      <w:r>
        <w:t>If persistence fails, the refresh operation fails atomically.</w:t>
      </w:r>
    </w:p>
    <w:p>
      <w:pPr>
        <w:pStyle w:val="ListBullet"/>
      </w:pPr>
      <w:r>
        <w:t>Refresh never enters Translator, Discovery, Extraction, or Load and never creates Knowledge Objects.</w:t>
      </w:r>
    </w:p>
    <w:p>
      <w:pPr>
        <w:pStyle w:val="Heading1"/>
      </w:pPr>
      <w:r>
        <w:t>4. Content Synchronization</w:t>
      </w:r>
    </w:p>
    <w:p>
      <w:r>
        <w:t>Selected Source Container → SynchronizationRequest → persisted admission → preliminary conflict evaluation → Source-of-Truth scope validation → authoritative reservation → Connector execution → SynchronizationOrchestrator → Translator → Discovery → Extraction → Load → operational result</w:t>
      </w:r>
    </w:p>
    <w:p>
      <w:pPr>
        <w:pStyle w:val="Heading2"/>
      </w:pPr>
      <w:r>
        <w:t>4.1 Admission and Reservation</w:t>
      </w:r>
    </w:p>
    <w:p>
      <w:pPr>
        <w:pStyle w:val="ListBullet"/>
      </w:pPr>
      <w:r>
        <w:t>Admission stops when the Source or Source Container is missing, disabled, inactive, or belongs to another Source.</w:t>
      </w:r>
    </w:p>
    <w:p>
      <w:pPr>
        <w:pStyle w:val="ListBullet"/>
      </w:pPr>
      <w:r>
        <w:t>Preliminary conflict evaluation stops clearly conflicting requests before source access.</w:t>
      </w:r>
    </w:p>
    <w:p>
      <w:pPr>
        <w:pStyle w:val="ListBullet"/>
      </w:pPr>
      <w:r>
        <w:t>Authoritative reservation creates the Processing Job and Synchronization Run together or creates neither.</w:t>
      </w:r>
    </w:p>
    <w:p>
      <w:pPr>
        <w:pStyle w:val="ListBullet"/>
      </w:pPr>
      <w:r>
        <w:t>Same-scope and ancestor/descendant scopes conflict. Disjoint scopes may proceed independently.</w:t>
      </w:r>
    </w:p>
    <w:p>
      <w:pPr>
        <w:pStyle w:val="Heading2"/>
      </w:pPr>
      <w:r>
        <w:t>4.2 Pipeline Branches and Stops</w:t>
      </w:r>
    </w:p>
    <w:tbl>
      <w:tblPr>
        <w:tblStyle w:val="TableGrid"/>
        <w:tblW w:type="auto" w:w="0"/>
        <w:tblLook w:firstColumn="1" w:firstRow="1" w:lastColumn="0" w:lastRow="0" w:noHBand="0" w:noVBand="1" w:val="04A0"/>
      </w:tblPr>
      <w:tblGrid>
        <w:gridCol w:w="3120"/>
        <w:gridCol w:w="3120"/>
        <w:gridCol w:w="3120"/>
      </w:tblGrid>
      <w:tr>
        <w:tc>
          <w:tcPr>
            <w:tcW w:type="dxa" w:w="3120"/>
          </w:tcPr>
          <w:p>
            <w:r>
              <w:t>State</w:t>
            </w:r>
          </w:p>
        </w:tc>
        <w:tc>
          <w:tcPr>
            <w:tcW w:type="dxa" w:w="3120"/>
          </w:tcPr>
          <w:p>
            <w:r>
              <w:t>Next action</w:t>
            </w:r>
          </w:p>
        </w:tc>
        <w:tc>
          <w:tcPr>
            <w:tcW w:type="dxa" w:w="3120"/>
          </w:tcPr>
          <w:p>
            <w:r>
              <w:t>Stop point</w:t>
            </w:r>
          </w:p>
        </w:tc>
      </w:tr>
      <w:tr>
        <w:tc>
          <w:tcPr>
            <w:tcW w:type="dxa" w:w="3120"/>
          </w:tcPr>
          <w:p>
            <w:r>
              <w:t>CONTAINER</w:t>
            </w:r>
          </w:p>
        </w:tc>
        <w:tc>
          <w:tcPr>
            <w:tcW w:type="dxa" w:w="3120"/>
          </w:tcPr>
          <w:p>
            <w:r>
              <w:t>Preserve structure and context</w:t>
            </w:r>
          </w:p>
        </w:tc>
        <w:tc>
          <w:tcPr>
            <w:tcW w:type="dxa" w:w="3120"/>
          </w:tcPr>
          <w:p>
            <w:r>
              <w:t>After Translator</w:t>
            </w:r>
          </w:p>
        </w:tc>
      </w:tr>
      <w:tr>
        <w:tc>
          <w:tcPr>
            <w:tcW w:type="dxa" w:w="3120"/>
          </w:tcPr>
          <w:p>
            <w:r>
              <w:t>CONTENT / UNCHANGED</w:t>
            </w:r>
          </w:p>
        </w:tc>
        <w:tc>
          <w:tcPr>
            <w:tcW w:type="dxa" w:w="3120"/>
          </w:tcPr>
          <w:p>
            <w:r>
              <w:t>No extraction</w:t>
            </w:r>
          </w:p>
        </w:tc>
        <w:tc>
          <w:tcPr>
            <w:tcW w:type="dxa" w:w="3120"/>
          </w:tcPr>
          <w:p>
            <w:r>
              <w:t>After Discovery</w:t>
            </w:r>
          </w:p>
        </w:tc>
      </w:tr>
      <w:tr>
        <w:tc>
          <w:tcPr>
            <w:tcW w:type="dxa" w:w="3120"/>
          </w:tcPr>
          <w:p>
            <w:r>
              <w:t>CONTENT / NEW</w:t>
            </w:r>
          </w:p>
        </w:tc>
        <w:tc>
          <w:tcPr>
            <w:tcW w:type="dxa" w:w="3120"/>
          </w:tcPr>
          <w:p>
            <w:r>
              <w:t>Extraction then Load</w:t>
            </w:r>
          </w:p>
        </w:tc>
        <w:tc>
          <w:tcPr>
            <w:tcW w:type="dxa" w:w="3120"/>
          </w:tcPr>
          <w:p>
            <w:r>
              <w:t>After successful persistence</w:t>
            </w:r>
          </w:p>
        </w:tc>
      </w:tr>
      <w:tr>
        <w:tc>
          <w:tcPr>
            <w:tcW w:type="dxa" w:w="3120"/>
          </w:tcPr>
          <w:p>
            <w:r>
              <w:t>CONTENT / MODIFIED, hash changed</w:t>
            </w:r>
          </w:p>
        </w:tc>
        <w:tc>
          <w:tcPr>
            <w:tcW w:type="dxa" w:w="3120"/>
          </w:tcPr>
          <w:p>
            <w:r>
              <w:t>Extraction then Load</w:t>
            </w:r>
          </w:p>
        </w:tc>
        <w:tc>
          <w:tcPr>
            <w:tcW w:type="dxa" w:w="3120"/>
          </w:tcPr>
          <w:p>
            <w:r>
              <w:t>After successful persistence</w:t>
            </w:r>
          </w:p>
        </w:tc>
      </w:tr>
      <w:tr>
        <w:tc>
          <w:tcPr>
            <w:tcW w:type="dxa" w:w="3120"/>
          </w:tcPr>
          <w:p>
            <w:r>
              <w:t>CONTENT / MODIFIED, hash unchanged</w:t>
            </w:r>
          </w:p>
        </w:tc>
        <w:tc>
          <w:tcPr>
            <w:tcW w:type="dxa" w:w="3120"/>
          </w:tcPr>
          <w:p>
            <w:r>
              <w:t>No Load</w:t>
            </w:r>
          </w:p>
        </w:tc>
        <w:tc>
          <w:tcPr>
            <w:tcW w:type="dxa" w:w="3120"/>
          </w:tcPr>
          <w:p>
            <w:r>
              <w:t>After Extraction</w:t>
            </w:r>
          </w:p>
        </w:tc>
      </w:tr>
      <w:tr>
        <w:tc>
          <w:tcPr>
            <w:tcW w:type="dxa" w:w="3120"/>
          </w:tcPr>
          <w:p>
            <w:r>
              <w:t>Record error</w:t>
            </w:r>
          </w:p>
        </w:tc>
        <w:tc>
          <w:tcPr>
            <w:tcW w:type="dxa" w:w="3120"/>
          </w:tcPr>
          <w:p>
            <w:r>
              <w:t>Other eligible records continue</w:t>
            </w:r>
          </w:p>
        </w:tc>
        <w:tc>
          <w:tcPr>
            <w:tcW w:type="dxa" w:w="3120"/>
          </w:tcPr>
          <w:p>
            <w:r>
              <w:t>Affected record</w:t>
            </w:r>
          </w:p>
        </w:tc>
      </w:tr>
      <w:tr>
        <w:tc>
          <w:tcPr>
            <w:tcW w:type="dxa" w:w="3120"/>
          </w:tcPr>
          <w:p>
            <w:r>
              <w:t>Stage failure</w:t>
            </w:r>
          </w:p>
        </w:tc>
        <w:tc>
          <w:tcPr>
            <w:tcW w:type="dxa" w:w="3120"/>
          </w:tcPr>
          <w:p>
            <w:r>
              <w:t>Dependent stages do not run</w:t>
            </w:r>
          </w:p>
        </w:tc>
        <w:tc>
          <w:tcPr>
            <w:tcW w:type="dxa" w:w="3120"/>
          </w:tcPr>
          <w:p>
            <w:r>
              <w:t>Failed stage</w:t>
            </w:r>
          </w:p>
        </w:tc>
      </w:tr>
    </w:tbl>
    <w:p>
      <w:pPr>
        <w:pStyle w:val="Heading1"/>
      </w:pPr>
      <w:r>
        <w:t>5. Discovery Repository Interaction</w:t>
      </w:r>
    </w:p>
    <w:p>
      <w:r>
        <w:t>Discovery groups requested identities by Source → KnowledgeObjectRepository retrieves required fields in batches of no more than 100 source-object IDs → repository pagination completes → Discovery maps returned identities → Comparator classifies NEW, MODIFIED, or UNCHANGED.</w:t>
      </w:r>
    </w:p>
    <w:p>
      <w:pPr>
        <w:pStyle w:val="ListBullet"/>
      </w:pPr>
      <w:r>
        <w:t>Missing returned identity means NEW only after the repository request completed successfully.</w:t>
      </w:r>
    </w:p>
    <w:p>
      <w:pPr>
        <w:pStyle w:val="ListBullet"/>
      </w:pPr>
      <w:r>
        <w:t>Duplicate returned identities stop controlled classification for the affected request.</w:t>
      </w:r>
    </w:p>
    <w:p>
      <w:pPr>
        <w:pStyle w:val="ListBullet"/>
      </w:pPr>
      <w:r>
        <w:t>Repository or transport failure stops Discovery and never becomes evidence that records are absent.</w:t>
      </w:r>
    </w:p>
    <w:p>
      <w:pPr>
        <w:pStyle w:val="Heading1"/>
      </w:pPr>
      <w:r>
        <w:t>6. Persistence Connections</w:t>
      </w:r>
    </w:p>
    <w:tbl>
      <w:tblPr>
        <w:tblStyle w:val="TableGrid"/>
        <w:tblW w:type="auto" w:w="0"/>
        <w:tblLook w:firstColumn="1" w:firstRow="1" w:lastColumn="0" w:lastRow="0" w:noHBand="0" w:noVBand="1" w:val="04A0"/>
      </w:tblPr>
      <w:tblGrid>
        <w:gridCol w:w="3120"/>
        <w:gridCol w:w="3120"/>
        <w:gridCol w:w="3120"/>
      </w:tblGrid>
      <w:tr>
        <w:tc>
          <w:tcPr>
            <w:tcW w:type="dxa" w:w="3120"/>
          </w:tcPr>
          <w:p>
            <w:r>
              <w:t>Repository or service</w:t>
            </w:r>
          </w:p>
        </w:tc>
        <w:tc>
          <w:tcPr>
            <w:tcW w:type="dxa" w:w="3120"/>
          </w:tcPr>
          <w:p>
            <w:r>
              <w:t>Persisted concept</w:t>
            </w:r>
          </w:p>
        </w:tc>
        <w:tc>
          <w:tcPr>
            <w:tcW w:type="dxa" w:w="3120"/>
          </w:tcPr>
          <w:p>
            <w:r>
              <w:t>Connection</w:t>
            </w:r>
          </w:p>
        </w:tc>
      </w:tr>
      <w:tr>
        <w:tc>
          <w:tcPr>
            <w:tcW w:type="dxa" w:w="3120"/>
          </w:tcPr>
          <w:p>
            <w:r>
              <w:t>SourceRepository</w:t>
            </w:r>
          </w:p>
        </w:tc>
        <w:tc>
          <w:tcPr>
            <w:tcW w:type="dxa" w:w="3120"/>
          </w:tcPr>
          <w:p>
            <w:r>
              <w:t>sources</w:t>
            </w:r>
          </w:p>
        </w:tc>
        <w:tc>
          <w:tcPr>
            <w:tcW w:type="dxa" w:w="3120"/>
          </w:tcPr>
          <w:p>
            <w:r>
              <w:t>Registered Source identity and configuration.</w:t>
            </w:r>
          </w:p>
        </w:tc>
      </w:tr>
      <w:tr>
        <w:tc>
          <w:tcPr>
            <w:tcW w:type="dxa" w:w="3120"/>
          </w:tcPr>
          <w:p>
            <w:r>
              <w:t>SourceContainerRepository</w:t>
            </w:r>
          </w:p>
        </w:tc>
        <w:tc>
          <w:tcPr>
            <w:tcW w:type="dxa" w:w="3120"/>
          </w:tcPr>
          <w:p>
            <w:r>
              <w:t>source_containers</w:t>
            </w:r>
          </w:p>
        </w:tc>
        <w:tc>
          <w:tcPr>
            <w:tcW w:type="dxa" w:w="3120"/>
          </w:tcPr>
          <w:p>
            <w:r>
              <w:t>Selectable observed Source structure.</w:t>
            </w:r>
          </w:p>
        </w:tc>
      </w:tr>
      <w:tr>
        <w:tc>
          <w:tcPr>
            <w:tcW w:type="dxa" w:w="3120"/>
          </w:tcPr>
          <w:p>
            <w:r>
              <w:t>ProcessingJobRepository</w:t>
            </w:r>
          </w:p>
        </w:tc>
        <w:tc>
          <w:tcPr>
            <w:tcW w:type="dxa" w:w="3120"/>
          </w:tcPr>
          <w:p>
            <w:r>
              <w:t>processing_jobs</w:t>
            </w:r>
          </w:p>
        </w:tc>
        <w:tc>
          <w:tcPr>
            <w:tcW w:type="dxa" w:w="3120"/>
          </w:tcPr>
          <w:p>
            <w:r>
              <w:t>Generic operation lifecycle.</w:t>
            </w:r>
          </w:p>
        </w:tc>
      </w:tr>
      <w:tr>
        <w:tc>
          <w:tcPr>
            <w:tcW w:type="dxa" w:w="3120"/>
          </w:tcPr>
          <w:p>
            <w:r>
              <w:t>SyncRunRepository</w:t>
            </w:r>
          </w:p>
        </w:tc>
        <w:tc>
          <w:tcPr>
            <w:tcW w:type="dxa" w:w="3120"/>
          </w:tcPr>
          <w:p>
            <w:r>
              <w:t>sync_runs</w:t>
            </w:r>
          </w:p>
        </w:tc>
        <w:tc>
          <w:tcPr>
            <w:tcW w:type="dxa" w:w="3120"/>
          </w:tcPr>
          <w:p>
            <w:r>
              <w:t>Synchronization-specific approved scope.</w:t>
            </w:r>
          </w:p>
        </w:tc>
      </w:tr>
      <w:tr>
        <w:tc>
          <w:tcPr>
            <w:tcW w:type="dxa" w:w="3120"/>
          </w:tcPr>
          <w:p>
            <w:r>
              <w:t>KnowledgeObjectRepository</w:t>
            </w:r>
          </w:p>
        </w:tc>
        <w:tc>
          <w:tcPr>
            <w:tcW w:type="dxa" w:w="3120"/>
          </w:tcPr>
          <w:p>
            <w:r>
              <w:t>knowledge_objects</w:t>
            </w:r>
          </w:p>
        </w:tc>
        <w:tc>
          <w:tcPr>
            <w:tcW w:type="dxa" w:w="3120"/>
          </w:tcPr>
          <w:p>
            <w:r>
              <w:t>Discovery state lookup and Knowledge Object access.</w:t>
            </w:r>
          </w:p>
        </w:tc>
      </w:tr>
      <w:tr>
        <w:tc>
          <w:tcPr>
            <w:tcW w:type="dxa" w:w="3120"/>
          </w:tcPr>
          <w:p>
            <w:r>
              <w:t>LoadRepository</w:t>
            </w:r>
          </w:p>
        </w:tc>
        <w:tc>
          <w:tcPr>
            <w:tcW w:type="dxa" w:w="3120"/>
          </w:tcPr>
          <w:p>
            <w:r>
              <w:t>knowledge_objects and sync_history</w:t>
            </w:r>
          </w:p>
        </w:tc>
        <w:tc>
          <w:tcPr>
            <w:tcW w:type="dxa" w:w="3120"/>
          </w:tcPr>
          <w:p>
            <w:r>
              <w:t>Atomic canonical persistence and history.</w:t>
            </w:r>
          </w:p>
        </w:tc>
      </w:tr>
    </w:tbl>
    <w:p>
      <w:pPr>
        <w:pStyle w:val="Heading1"/>
      </w:pPr>
      <w:r>
        <w:t>7. Configuration and Launch</w:t>
      </w:r>
    </w:p>
    <w:p>
      <w:r>
        <w:t>Launch path → application-environment discovery → config/.env resolution or explicit override → production runtime composition → presentation adapter → CYRIL interface. Python, packaged executable, and desktop shortcut converge on the same production composition and capability boundaries.</w:t>
      </w:r>
    </w:p>
    <w:p>
      <w:r>
        <w:t>Configuration discovery stops startup when the application environment or required configuration cannot be located. No component below the shared configuration boundary assumes one fixed installation directory.</w:t>
      </w:r>
    </w:p>
    <w:p>
      <w:pPr>
        <w:pStyle w:val="Heading1"/>
      </w:pPr>
      <w:r>
        <w:t>8. Stable Boundaries</w:t>
      </w:r>
    </w:p>
    <w:p>
      <w:pPr>
        <w:pStyle w:val="ListBullet"/>
      </w:pPr>
      <w:r>
        <w:t>The interface never communicates directly with Microsoft Graph or the database.</w:t>
      </w:r>
    </w:p>
    <w:p>
      <w:pPr>
        <w:pStyle w:val="ListBullet"/>
      </w:pPr>
      <w:r>
        <w:t>Presentation adapters never receive internal pipeline sections or associations.</w:t>
      </w:r>
    </w:p>
    <w:p>
      <w:pPr>
        <w:pStyle w:val="ListBullet"/>
      </w:pPr>
      <w:r>
        <w:t>Application services do not reproduce Connector, Translator, Discovery, Extraction, Load, or Orchestrator responsibilities.</w:t>
      </w:r>
    </w:p>
    <w:p>
      <w:pPr>
        <w:pStyle w:val="ListBullet"/>
      </w:pPr>
      <w:r>
        <w:t>Source Container Inventory Refresh and Content Synchronization remain separate operations.</w:t>
      </w:r>
    </w:p>
    <w:p>
      <w:pPr>
        <w:pStyle w:val="ListBullet"/>
      </w:pPr>
      <w:r>
        <w:t>Source-native identity and AlphaOmega identity remain distinct from display names and paths.</w:t>
      </w:r>
    </w:p>
    <w:sectPr w:rsidR="00460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A12CB"/>
    <w:multiLevelType w:val="multilevel"/>
    <w:tmpl w:val="BDE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3776D2"/>
    <w:multiLevelType w:val="multilevel"/>
    <w:tmpl w:val="46EC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1415983">
    <w:abstractNumId w:val="0"/>
  </w:num>
  <w:num w:numId="2" w16cid:durableId="1708331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62D4"/>
    <w:rsid w:val="00053FA1"/>
    <w:rsid w:val="00460203"/>
    <w:rsid w:val="0059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F830A9-5E55-4E7D-9A43-28327152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
    <w:name w:val="Title"/>
    <w:rPr>
      <w:rFonts w:ascii="Arial" w:hAnsi="Arial"/>
      <w:b/>
      <w:sz w:val="40"/>
    </w:rPr>
  </w:style>
  <w:style w:type="paragraph" w:customStyle="1" w:styleId="Heading1">
    <w:name w:val="heading 1"/>
    <w:rPr>
      <w:rFonts w:ascii="Arial" w:hAnsi="Arial"/>
      <w:b/>
      <w:sz w:val="32"/>
    </w:rPr>
  </w:style>
  <w:style w:type="paragraph" w:customStyle="1" w:styleId="Heading2">
    <w:name w:val="heading 2"/>
    <w:rPr>
      <w:rFonts w:ascii="Arial" w:hAnsi="Arial"/>
      <w:b/>
      <w:sz w:val="26"/>
    </w:rPr>
  </w:style>
  <w:style w:type="paragraph" w:customStyle="1" w:styleId="ListBullet">
    <w:name w:val="List Bullet"/>
    <w:basedOn w:val="Normal"/>
    <w:pPr>
      <w:ind w:left="360"/>
    </w:pPr>
  </w:style>
  <w:style w:type="table" w:customStyle="1" w:styleId="TableGrid">
    <w:name w:val="Table Grid"/>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1683</Words>
  <Characters>9599</Characters>
  <Application>Microsoft Office Word</Application>
  <DocSecurity>0</DocSecurity>
  <Lines>79</Lines>
  <Paragraphs>22</Paragraphs>
  <ScaleCrop>false</ScaleCrop>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2026-09-18T02:22:00Z</dcterms:created>
  <dcterms:modified xsi:type="dcterms:W3CDTF">2026-09-18T02:22:00Z</dcterms:modified>
</cp:coreProperties>
</file>