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Future Improvements</w:t>
      </w:r>
    </w:p>
    <w:p>
      <w:pPr>
        <w:pStyle w:val="Heading1"/>
      </w:pPr>
      <w:r>
        <w:t>Document Purpose</w:t>
      </w:r>
    </w:p>
    <w:p>
      <w:r>
        <w:t>This register preserves deferred capabilities and technical opportunities that remain relevant for later evaluation. An item is not an approved requirement until it is adopted through the applicable canonical documentation.</w:t>
      </w:r>
    </w:p>
    <w:p>
      <w:pPr>
        <w:pStyle w:val="Heading1"/>
      </w:pPr>
      <w:r>
        <w:t>Active Improvement Register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ID</w:t>
            </w:r>
          </w:p>
        </w:tc>
        <w:tc>
          <w:tcPr>
            <w:tcW w:type="dxa" w:w="2340"/>
          </w:tcPr>
          <w:p>
            <w:r>
              <w:t>Improvement</w:t>
            </w:r>
          </w:p>
        </w:tc>
        <w:tc>
          <w:tcPr>
            <w:tcW w:type="dxa" w:w="2340"/>
          </w:tcPr>
          <w:p>
            <w:r>
              <w:t>Area</w:t>
            </w:r>
          </w:p>
        </w:tc>
        <w:tc>
          <w:tcPr>
            <w:tcW w:type="dxa" w:w="2340"/>
          </w:tcPr>
          <w:p>
            <w:r>
              <w:t>Horizon</w:t>
            </w:r>
          </w:p>
        </w:tc>
      </w:tr>
      <w:tr>
        <w:tc>
          <w:tcPr>
            <w:tcW w:type="dxa" w:w="2340"/>
          </w:tcPr>
          <w:p>
            <w:r>
              <w:t>F-03</w:t>
            </w:r>
          </w:p>
        </w:tc>
        <w:tc>
          <w:tcPr>
            <w:tcW w:type="dxa" w:w="2340"/>
          </w:tcPr>
          <w:p>
            <w:r>
              <w:t>Scheduling and background synchronization</w:t>
            </w:r>
          </w:p>
        </w:tc>
        <w:tc>
          <w:tcPr>
            <w:tcW w:type="dxa" w:w="2340"/>
          </w:tcPr>
          <w:p>
            <w:r>
              <w:t>Operations</w:t>
            </w:r>
          </w:p>
        </w:tc>
        <w:tc>
          <w:tcPr>
            <w:tcW w:type="dxa" w:w="2340"/>
          </w:tcPr>
          <w:p>
            <w:r>
              <w:t>Future</w:t>
            </w:r>
          </w:p>
        </w:tc>
      </w:tr>
      <w:tr>
        <w:tc>
          <w:tcPr>
            <w:tcW w:type="dxa" w:w="2340"/>
          </w:tcPr>
          <w:p>
            <w:r>
              <w:t>F-04</w:t>
            </w:r>
          </w:p>
        </w:tc>
        <w:tc>
          <w:tcPr>
            <w:tcW w:type="dxa" w:w="2340"/>
          </w:tcPr>
          <w:p>
            <w:r>
              <w:t>Broad repository population</w:t>
            </w:r>
          </w:p>
        </w:tc>
        <w:tc>
          <w:tcPr>
            <w:tcW w:type="dxa" w:w="2340"/>
          </w:tcPr>
          <w:p>
            <w:r>
              <w:t>Operations</w:t>
            </w:r>
          </w:p>
        </w:tc>
        <w:tc>
          <w:tcPr>
            <w:tcW w:type="dxa" w:w="2340"/>
          </w:tcPr>
          <w:p>
            <w:r>
              <w:t>Future</w:t>
            </w:r>
          </w:p>
        </w:tc>
      </w:tr>
      <w:tr>
        <w:tc>
          <w:tcPr>
            <w:tcW w:type="dxa" w:w="2340"/>
          </w:tcPr>
          <w:p>
            <w:r>
              <w:t>F-05</w:t>
            </w:r>
          </w:p>
        </w:tc>
        <w:tc>
          <w:tcPr>
            <w:tcW w:type="dxa" w:w="2340"/>
          </w:tcPr>
          <w:p>
            <w:r>
              <w:t>DELETE synchronization</w:t>
            </w:r>
          </w:p>
        </w:tc>
        <w:tc>
          <w:tcPr>
            <w:tcW w:type="dxa" w:w="2340"/>
          </w:tcPr>
          <w:p>
            <w:r>
              <w:t>Synchronization</w:t>
            </w:r>
          </w:p>
        </w:tc>
        <w:tc>
          <w:tcPr>
            <w:tcW w:type="dxa" w:w="2340"/>
          </w:tcPr>
          <w:p>
            <w:r>
              <w:t>Future</w:t>
            </w:r>
          </w:p>
        </w:tc>
      </w:tr>
      <w:tr>
        <w:tc>
          <w:tcPr>
            <w:tcW w:type="dxa" w:w="2340"/>
          </w:tcPr>
          <w:p>
            <w:r>
              <w:t>F-06</w:t>
            </w:r>
          </w:p>
        </w:tc>
        <w:tc>
          <w:tcPr>
            <w:tcW w:type="dxa" w:w="2340"/>
          </w:tcPr>
          <w:p>
            <w:r>
              <w:t>Legacy Microsoft Office extraction (.doc, .xls, .ppt)</w:t>
            </w:r>
          </w:p>
        </w:tc>
        <w:tc>
          <w:tcPr>
            <w:tcW w:type="dxa" w:w="2340"/>
          </w:tcPr>
          <w:p>
            <w:r>
              <w:t>Synchronization</w:t>
            </w:r>
          </w:p>
        </w:tc>
        <w:tc>
          <w:tcPr>
            <w:tcW w:type="dxa" w:w="2340"/>
          </w:tcPr>
          <w:p>
            <w:r>
              <w:t>Future</w:t>
            </w:r>
          </w:p>
        </w:tc>
      </w:tr>
      <w:tr>
        <w:tc>
          <w:tcPr>
            <w:tcW w:type="dxa" w:w="2340"/>
          </w:tcPr>
          <w:p>
            <w:r>
              <w:t>F-07</w:t>
            </w:r>
          </w:p>
        </w:tc>
        <w:tc>
          <w:tcPr>
            <w:tcW w:type="dxa" w:w="2340"/>
          </w:tcPr>
          <w:p>
            <w:r>
              <w:t>Additional extraction formats</w:t>
            </w:r>
          </w:p>
        </w:tc>
        <w:tc>
          <w:tcPr>
            <w:tcW w:type="dxa" w:w="2340"/>
          </w:tcPr>
          <w:p>
            <w:r>
              <w:t>Synchronization</w:t>
            </w:r>
          </w:p>
        </w:tc>
        <w:tc>
          <w:tcPr>
            <w:tcW w:type="dxa" w:w="2340"/>
          </w:tcPr>
          <w:p>
            <w:r>
              <w:t>Future</w:t>
            </w:r>
          </w:p>
        </w:tc>
      </w:tr>
      <w:tr>
        <w:tc>
          <w:tcPr>
            <w:tcW w:type="dxa" w:w="2340"/>
          </w:tcPr>
          <w:p>
            <w:r>
              <w:t>F-08</w:t>
            </w:r>
          </w:p>
        </w:tc>
        <w:tc>
          <w:tcPr>
            <w:tcW w:type="dxa" w:w="2340"/>
          </w:tcPr>
          <w:p>
            <w:r>
              <w:t>Extraction technology evaluation (Apache Tika or alternative)</w:t>
            </w:r>
          </w:p>
        </w:tc>
        <w:tc>
          <w:tcPr>
            <w:tcW w:type="dxa" w:w="2340"/>
          </w:tcPr>
          <w:p>
            <w:r>
              <w:t>Synchronization</w:t>
            </w:r>
          </w:p>
        </w:tc>
        <w:tc>
          <w:tcPr>
            <w:tcW w:type="dxa" w:w="2340"/>
          </w:tcPr>
          <w:p>
            <w:r>
              <w:t>Future</w:t>
            </w:r>
          </w:p>
        </w:tc>
      </w:tr>
      <w:tr>
        <w:tc>
          <w:tcPr>
            <w:tcW w:type="dxa" w:w="2340"/>
          </w:tcPr>
          <w:p>
            <w:r>
              <w:t>F-09</w:t>
            </w:r>
          </w:p>
        </w:tc>
        <w:tc>
          <w:tcPr>
            <w:tcW w:type="dxa" w:w="2340"/>
          </w:tcPr>
          <w:p>
            <w:r>
              <w:t>Unsupported-file-type registry</w:t>
            </w:r>
          </w:p>
        </w:tc>
        <w:tc>
          <w:tcPr>
            <w:tcW w:type="dxa" w:w="2340"/>
          </w:tcPr>
          <w:p>
            <w:r>
              <w:t>Synchronization</w:t>
            </w:r>
          </w:p>
        </w:tc>
        <w:tc>
          <w:tcPr>
            <w:tcW w:type="dxa" w:w="2340"/>
          </w:tcPr>
          <w:p>
            <w:r>
              <w:t>Future</w:t>
            </w:r>
          </w:p>
        </w:tc>
      </w:tr>
      <w:tr>
        <w:tc>
          <w:tcPr>
            <w:tcW w:type="dxa" w:w="2340"/>
          </w:tcPr>
          <w:p>
            <w:r>
              <w:t>F-10</w:t>
            </w:r>
          </w:p>
        </w:tc>
        <w:tc>
          <w:tcPr>
            <w:tcW w:type="dxa" w:w="2340"/>
          </w:tcPr>
          <w:p>
            <w:r>
              <w:t>Binary/image duplicate identification</w:t>
            </w:r>
          </w:p>
        </w:tc>
        <w:tc>
          <w:tcPr>
            <w:tcW w:type="dxa" w:w="2340"/>
          </w:tcPr>
          <w:p>
            <w:r>
              <w:t>Knowledge Management</w:t>
            </w:r>
          </w:p>
        </w:tc>
        <w:tc>
          <w:tcPr>
            <w:tcW w:type="dxa" w:w="2340"/>
          </w:tcPr>
          <w:p>
            <w:r>
              <w:t>Future</w:t>
            </w:r>
          </w:p>
        </w:tc>
      </w:tr>
      <w:tr>
        <w:tc>
          <w:tcPr>
            <w:tcW w:type="dxa" w:w="2340"/>
          </w:tcPr>
          <w:p>
            <w:r>
              <w:t>F-11</w:t>
            </w:r>
          </w:p>
        </w:tc>
        <w:tc>
          <w:tcPr>
            <w:tcW w:type="dxa" w:w="2340"/>
          </w:tcPr>
          <w:p>
            <w:r>
              <w:t>Broader duplicate detection</w:t>
            </w:r>
          </w:p>
        </w:tc>
        <w:tc>
          <w:tcPr>
            <w:tcW w:type="dxa" w:w="2340"/>
          </w:tcPr>
          <w:p>
            <w:r>
              <w:t>Knowledge Management</w:t>
            </w:r>
          </w:p>
        </w:tc>
        <w:tc>
          <w:tcPr>
            <w:tcW w:type="dxa" w:w="2340"/>
          </w:tcPr>
          <w:p>
            <w:r>
              <w:t>Future</w:t>
            </w:r>
          </w:p>
        </w:tc>
      </w:tr>
      <w:tr>
        <w:tc>
          <w:tcPr>
            <w:tcW w:type="dxa" w:w="2340"/>
          </w:tcPr>
          <w:p>
            <w:r>
              <w:t>F-12</w:t>
            </w:r>
          </w:p>
        </w:tc>
        <w:tc>
          <w:tcPr>
            <w:tcW w:type="dxa" w:w="2340"/>
          </w:tcPr>
          <w:p>
            <w:r>
              <w:t>Domain curation and assignment tooling</w:t>
            </w:r>
          </w:p>
        </w:tc>
        <w:tc>
          <w:tcPr>
            <w:tcW w:type="dxa" w:w="2340"/>
          </w:tcPr>
          <w:p>
            <w:r>
              <w:t>Knowledge Management</w:t>
            </w:r>
          </w:p>
        </w:tc>
        <w:tc>
          <w:tcPr>
            <w:tcW w:type="dxa" w:w="2340"/>
          </w:tcPr>
          <w:p>
            <w:r>
              <w:t>Future</w:t>
            </w:r>
          </w:p>
        </w:tc>
      </w:tr>
      <w:tr>
        <w:tc>
          <w:tcPr>
            <w:tcW w:type="dxa" w:w="2340"/>
          </w:tcPr>
          <w:p>
            <w:r>
              <w:t>F-13</w:t>
            </w:r>
          </w:p>
        </w:tc>
        <w:tc>
          <w:tcPr>
            <w:tcW w:type="dxa" w:w="2340"/>
          </w:tcPr>
          <w:p>
            <w:r>
              <w:t>AI-assisted hierarchy and repository organization suggestions</w:t>
            </w:r>
          </w:p>
        </w:tc>
        <w:tc>
          <w:tcPr>
            <w:tcW w:type="dxa" w:w="2340"/>
          </w:tcPr>
          <w:p>
            <w:r>
              <w:t>Knowledge Management</w:t>
            </w:r>
          </w:p>
        </w:tc>
        <w:tc>
          <w:tcPr>
            <w:tcW w:type="dxa" w:w="2340"/>
          </w:tcPr>
          <w:p>
            <w:r>
              <w:t>Future</w:t>
            </w:r>
          </w:p>
        </w:tc>
      </w:tr>
      <w:tr>
        <w:tc>
          <w:tcPr>
            <w:tcW w:type="dxa" w:w="2340"/>
          </w:tcPr>
          <w:p>
            <w:r>
              <w:t>F-14</w:t>
            </w:r>
          </w:p>
        </w:tc>
        <w:tc>
          <w:tcPr>
            <w:tcW w:type="dxa" w:w="2340"/>
          </w:tcPr>
          <w:p>
            <w:r>
              <w:t>Metadata completion and repository quality workflows</w:t>
            </w:r>
          </w:p>
        </w:tc>
        <w:tc>
          <w:tcPr>
            <w:tcW w:type="dxa" w:w="2340"/>
          </w:tcPr>
          <w:p>
            <w:r>
              <w:t>Knowledge Management</w:t>
            </w:r>
          </w:p>
        </w:tc>
        <w:tc>
          <w:tcPr>
            <w:tcW w:type="dxa" w:w="2340"/>
          </w:tcPr>
          <w:p>
            <w:r>
              <w:t>Future</w:t>
            </w:r>
          </w:p>
        </w:tc>
      </w:tr>
      <w:tr>
        <w:tc>
          <w:tcPr>
            <w:tcW w:type="dxa" w:w="2340"/>
          </w:tcPr>
          <w:p>
            <w:r>
              <w:t>F-15</w:t>
            </w:r>
          </w:p>
        </w:tc>
        <w:tc>
          <w:tcPr>
            <w:tcW w:type="dxa" w:w="2340"/>
          </w:tcPr>
          <w:p>
            <w:r>
              <w:t>Chunking pipeline</w:t>
            </w:r>
          </w:p>
        </w:tc>
        <w:tc>
          <w:tcPr>
            <w:tcW w:type="dxa" w:w="2340"/>
          </w:tcPr>
          <w:p>
            <w:r>
              <w:t>Knowledge Management</w:t>
            </w:r>
          </w:p>
        </w:tc>
        <w:tc>
          <w:tcPr>
            <w:tcW w:type="dxa" w:w="2340"/>
          </w:tcPr>
          <w:p>
            <w:r>
              <w:t>Near-Term</w:t>
            </w:r>
          </w:p>
        </w:tc>
      </w:tr>
      <w:tr>
        <w:tc>
          <w:tcPr>
            <w:tcW w:type="dxa" w:w="2340"/>
          </w:tcPr>
          <w:p>
            <w:r>
              <w:t>F-16</w:t>
            </w:r>
          </w:p>
        </w:tc>
        <w:tc>
          <w:tcPr>
            <w:tcW w:type="dxa" w:w="2340"/>
          </w:tcPr>
          <w:p>
            <w:r>
              <w:t>Embedding pipeline</w:t>
            </w:r>
          </w:p>
        </w:tc>
        <w:tc>
          <w:tcPr>
            <w:tcW w:type="dxa" w:w="2340"/>
          </w:tcPr>
          <w:p>
            <w:r>
              <w:t>Knowledge Management</w:t>
            </w:r>
          </w:p>
        </w:tc>
        <w:tc>
          <w:tcPr>
            <w:tcW w:type="dxa" w:w="2340"/>
          </w:tcPr>
          <w:p>
            <w:r>
              <w:t>Near-Term</w:t>
            </w:r>
          </w:p>
        </w:tc>
      </w:tr>
      <w:tr>
        <w:tc>
          <w:tcPr>
            <w:tcW w:type="dxa" w:w="2340"/>
          </w:tcPr>
          <w:p>
            <w:r>
              <w:t>F-17</w:t>
            </w:r>
          </w:p>
        </w:tc>
        <w:tc>
          <w:tcPr>
            <w:tcW w:type="dxa" w:w="2340"/>
          </w:tcPr>
          <w:p>
            <w:r>
              <w:t>Vector search / semantic retrieval</w:t>
            </w:r>
          </w:p>
        </w:tc>
        <w:tc>
          <w:tcPr>
            <w:tcW w:type="dxa" w:w="2340"/>
          </w:tcPr>
          <w:p>
            <w:r>
              <w:t>Knowledge Management</w:t>
            </w:r>
          </w:p>
        </w:tc>
        <w:tc>
          <w:tcPr>
            <w:tcW w:type="dxa" w:w="2340"/>
          </w:tcPr>
          <w:p>
            <w:r>
              <w:t>Near-Term</w:t>
            </w:r>
          </w:p>
        </w:tc>
      </w:tr>
      <w:tr>
        <w:tc>
          <w:tcPr>
            <w:tcW w:type="dxa" w:w="2340"/>
          </w:tcPr>
          <w:p>
            <w:r>
              <w:t>F-18</w:t>
            </w:r>
          </w:p>
        </w:tc>
        <w:tc>
          <w:tcPr>
            <w:tcW w:type="dxa" w:w="2340"/>
          </w:tcPr>
          <w:p>
            <w:r>
              <w:t>Retrieval-Augmented Generation (RAG)</w:t>
            </w:r>
          </w:p>
        </w:tc>
        <w:tc>
          <w:tcPr>
            <w:tcW w:type="dxa" w:w="2340"/>
          </w:tcPr>
          <w:p>
            <w:r>
              <w:t>Knowledge Management</w:t>
            </w:r>
          </w:p>
        </w:tc>
        <w:tc>
          <w:tcPr>
            <w:tcW w:type="dxa" w:w="2340"/>
          </w:tcPr>
          <w:p>
            <w:r>
              <w:t>Near-Term</w:t>
            </w:r>
          </w:p>
        </w:tc>
      </w:tr>
      <w:tr>
        <w:tc>
          <w:tcPr>
            <w:tcW w:type="dxa" w:w="2340"/>
          </w:tcPr>
          <w:p>
            <w:r>
              <w:t>F-19</w:t>
            </w:r>
          </w:p>
        </w:tc>
        <w:tc>
          <w:tcPr>
            <w:tcW w:type="dxa" w:w="2340"/>
          </w:tcPr>
          <w:p>
            <w:r>
              <w:t>Knowledge Services layer</w:t>
            </w:r>
          </w:p>
        </w:tc>
        <w:tc>
          <w:tcPr>
            <w:tcW w:type="dxa" w:w="2340"/>
          </w:tcPr>
          <w:p>
            <w:r>
              <w:t>Knowledge Management</w:t>
            </w:r>
          </w:p>
        </w:tc>
        <w:tc>
          <w:tcPr>
            <w:tcW w:type="dxa" w:w="2340"/>
          </w:tcPr>
          <w:p>
            <w:r>
              <w:t>Future</w:t>
            </w:r>
          </w:p>
        </w:tc>
      </w:tr>
      <w:tr>
        <w:tc>
          <w:tcPr>
            <w:tcW w:type="dxa" w:w="2340"/>
          </w:tcPr>
          <w:p>
            <w:r>
              <w:t>F-20</w:t>
            </w:r>
          </w:p>
        </w:tc>
        <w:tc>
          <w:tcPr>
            <w:tcW w:type="dxa" w:w="2340"/>
          </w:tcPr>
          <w:p>
            <w:r>
              <w:t>Agentic AI / CYRIL integration</w:t>
            </w:r>
          </w:p>
        </w:tc>
        <w:tc>
          <w:tcPr>
            <w:tcW w:type="dxa" w:w="2340"/>
          </w:tcPr>
          <w:p>
            <w:r>
              <w:t>CYRIL</w:t>
            </w:r>
          </w:p>
        </w:tc>
        <w:tc>
          <w:tcPr>
            <w:tcW w:type="dxa" w:w="2340"/>
          </w:tcPr>
          <w:p>
            <w:r>
              <w:t>Future</w:t>
            </w:r>
          </w:p>
        </w:tc>
      </w:tr>
      <w:tr>
        <w:tc>
          <w:tcPr>
            <w:tcW w:type="dxa" w:w="2340"/>
          </w:tcPr>
          <w:p>
            <w:r>
              <w:t>F-21</w:t>
            </w:r>
          </w:p>
        </w:tc>
        <w:tc>
          <w:tcPr>
            <w:tcW w:type="dxa" w:w="2340"/>
          </w:tcPr>
          <w:p>
            <w:r>
              <w:t>Additional Sources of Truth / connectors</w:t>
            </w:r>
          </w:p>
        </w:tc>
        <w:tc>
          <w:tcPr>
            <w:tcW w:type="dxa" w:w="2340"/>
          </w:tcPr>
          <w:p>
            <w:r>
              <w:t>Synchronization</w:t>
            </w:r>
          </w:p>
        </w:tc>
        <w:tc>
          <w:tcPr>
            <w:tcW w:type="dxa" w:w="2340"/>
          </w:tcPr>
          <w:p>
            <w:r>
              <w:t>Future</w:t>
            </w:r>
          </w:p>
        </w:tc>
      </w:tr>
      <w:tr>
        <w:tc>
          <w:tcPr>
            <w:tcW w:type="dxa" w:w="2340"/>
          </w:tcPr>
          <w:p>
            <w:r>
              <w:t>F-22</w:t>
            </w:r>
          </w:p>
        </w:tc>
        <w:tc>
          <w:tcPr>
            <w:tcW w:type="dxa" w:w="2340"/>
          </w:tcPr>
          <w:p>
            <w:r>
              <w:t>Connector scaling for many source types</w:t>
            </w:r>
          </w:p>
        </w:tc>
        <w:tc>
          <w:tcPr>
            <w:tcW w:type="dxa" w:w="2340"/>
          </w:tcPr>
          <w:p>
            <w:r>
              <w:t>Synchronization</w:t>
            </w:r>
          </w:p>
        </w:tc>
        <w:tc>
          <w:tcPr>
            <w:tcW w:type="dxa" w:w="2340"/>
          </w:tcPr>
          <w:p>
            <w:r>
              <w:t>Future</w:t>
            </w:r>
          </w:p>
        </w:tc>
      </w:tr>
      <w:tr>
        <w:tc>
          <w:tcPr>
            <w:tcW w:type="dxa" w:w="2340"/>
          </w:tcPr>
          <w:p>
            <w:r>
              <w:t>F-23</w:t>
            </w:r>
          </w:p>
        </w:tc>
        <w:tc>
          <w:tcPr>
            <w:tcW w:type="dxa" w:w="2340"/>
          </w:tcPr>
          <w:p>
            <w:r>
              <w:t>Retry queues and resilient replay</w:t>
            </w:r>
          </w:p>
        </w:tc>
        <w:tc>
          <w:tcPr>
            <w:tcW w:type="dxa" w:w="2340"/>
          </w:tcPr>
          <w:p>
            <w:r>
              <w:t>Operations</w:t>
            </w:r>
          </w:p>
        </w:tc>
        <w:tc>
          <w:tcPr>
            <w:tcW w:type="dxa" w:w="2340"/>
          </w:tcPr>
          <w:p>
            <w:r>
              <w:t>Future</w:t>
            </w:r>
          </w:p>
        </w:tc>
      </w:tr>
      <w:tr>
        <w:tc>
          <w:tcPr>
            <w:tcW w:type="dxa" w:w="2340"/>
          </w:tcPr>
          <w:p>
            <w:r>
              <w:t>F-24</w:t>
            </w:r>
          </w:p>
        </w:tc>
        <w:tc>
          <w:tcPr>
            <w:tcW w:type="dxa" w:w="2340"/>
          </w:tcPr>
          <w:p>
            <w:r>
              <w:t>Parallel processing and worker management</w:t>
            </w:r>
          </w:p>
        </w:tc>
        <w:tc>
          <w:tcPr>
            <w:tcW w:type="dxa" w:w="2340"/>
          </w:tcPr>
          <w:p>
            <w:r>
              <w:t>Operations</w:t>
            </w:r>
          </w:p>
        </w:tc>
        <w:tc>
          <w:tcPr>
            <w:tcW w:type="dxa" w:w="2340"/>
          </w:tcPr>
          <w:p>
            <w:r>
              <w:t>Future</w:t>
            </w:r>
          </w:p>
        </w:tc>
      </w:tr>
      <w:tr>
        <w:tc>
          <w:tcPr>
            <w:tcW w:type="dxa" w:w="2340"/>
          </w:tcPr>
          <w:p>
            <w:r>
              <w:t>F-25</w:t>
            </w:r>
          </w:p>
        </w:tc>
        <w:tc>
          <w:tcPr>
            <w:tcW w:type="dxa" w:w="2340"/>
          </w:tcPr>
          <w:p>
            <w:r>
              <w:t>Performance optimization and benchmarking</w:t>
            </w:r>
          </w:p>
        </w:tc>
        <w:tc>
          <w:tcPr>
            <w:tcW w:type="dxa" w:w="2340"/>
          </w:tcPr>
          <w:p>
            <w:r>
              <w:t>Operations</w:t>
            </w:r>
          </w:p>
        </w:tc>
        <w:tc>
          <w:tcPr>
            <w:tcW w:type="dxa" w:w="2340"/>
          </w:tcPr>
          <w:p>
            <w:r>
              <w:t>Future</w:t>
            </w:r>
          </w:p>
        </w:tc>
      </w:tr>
      <w:tr>
        <w:tc>
          <w:tcPr>
            <w:tcW w:type="dxa" w:w="2340"/>
          </w:tcPr>
          <w:p>
            <w:r>
              <w:t>F-26</w:t>
            </w:r>
          </w:p>
        </w:tc>
        <w:tc>
          <w:tcPr>
            <w:tcW w:type="dxa" w:w="2340"/>
          </w:tcPr>
          <w:p>
            <w:r>
              <w:t>Operational observability</w:t>
            </w:r>
          </w:p>
        </w:tc>
        <w:tc>
          <w:tcPr>
            <w:tcW w:type="dxa" w:w="2340"/>
          </w:tcPr>
          <w:p>
            <w:r>
              <w:t>Operations</w:t>
            </w:r>
          </w:p>
        </w:tc>
        <w:tc>
          <w:tcPr>
            <w:tcW w:type="dxa" w:w="2340"/>
          </w:tcPr>
          <w:p>
            <w:r>
              <w:t>Future</w:t>
            </w:r>
          </w:p>
        </w:tc>
      </w:tr>
      <w:tr>
        <w:tc>
          <w:tcPr>
            <w:tcW w:type="dxa" w:w="2340"/>
          </w:tcPr>
          <w:p>
            <w:r>
              <w:t>F-29</w:t>
            </w:r>
          </w:p>
        </w:tc>
        <w:tc>
          <w:tcPr>
            <w:tcW w:type="dxa" w:w="2340"/>
          </w:tcPr>
          <w:p>
            <w:r>
              <w:t>Reconcile orchestration module location</w:t>
            </w:r>
          </w:p>
        </w:tc>
        <w:tc>
          <w:tcPr>
            <w:tcW w:type="dxa" w:w="2340"/>
          </w:tcPr>
          <w:p>
            <w:r>
              <w:t>Engineering</w:t>
            </w:r>
          </w:p>
        </w:tc>
        <w:tc>
          <w:tcPr>
            <w:tcW w:type="dxa" w:w="2340"/>
          </w:tcPr>
          <w:p>
            <w:r>
              <w:t>Ongoing</w:t>
            </w:r>
          </w:p>
        </w:tc>
      </w:tr>
      <w:tr>
        <w:tc>
          <w:tcPr>
            <w:tcW w:type="dxa" w:w="2340"/>
          </w:tcPr>
          <w:p>
            <w:r>
              <w:t>F-30</w:t>
            </w:r>
          </w:p>
        </w:tc>
        <w:tc>
          <w:tcPr>
            <w:tcW w:type="dxa" w:w="2340"/>
          </w:tcPr>
          <w:p>
            <w:r>
              <w:t>Clarify Translator failure wording</w:t>
            </w:r>
          </w:p>
        </w:tc>
        <w:tc>
          <w:tcPr>
            <w:tcW w:type="dxa" w:w="2340"/>
          </w:tcPr>
          <w:p>
            <w:r>
              <w:t>Documentation &amp; Process</w:t>
            </w:r>
          </w:p>
        </w:tc>
        <w:tc>
          <w:tcPr>
            <w:tcW w:type="dxa" w:w="2340"/>
          </w:tcPr>
          <w:p>
            <w:r>
              <w:t>Ongoing</w:t>
            </w:r>
          </w:p>
        </w:tc>
      </w:tr>
      <w:tr>
        <w:tc>
          <w:tcPr>
            <w:tcW w:type="dxa" w:w="2340"/>
          </w:tcPr>
          <w:p>
            <w:r>
              <w:t>F-31</w:t>
            </w:r>
          </w:p>
        </w:tc>
        <w:tc>
          <w:tcPr>
            <w:tcW w:type="dxa" w:w="2340"/>
          </w:tcPr>
          <w:p>
            <w:r>
              <w:t>Retire or label stale test assumptions</w:t>
            </w:r>
          </w:p>
        </w:tc>
        <w:tc>
          <w:tcPr>
            <w:tcW w:type="dxa" w:w="2340"/>
          </w:tcPr>
          <w:p>
            <w:r>
              <w:t>Engineering</w:t>
            </w:r>
          </w:p>
        </w:tc>
        <w:tc>
          <w:tcPr>
            <w:tcW w:type="dxa" w:w="2340"/>
          </w:tcPr>
          <w:p>
            <w:r>
              <w:t>Ongoing</w:t>
            </w:r>
          </w:p>
        </w:tc>
      </w:tr>
      <w:tr>
        <w:tc>
          <w:tcPr>
            <w:tcW w:type="dxa" w:w="2340"/>
          </w:tcPr>
          <w:p>
            <w:r>
              <w:t>F-32</w:t>
            </w:r>
          </w:p>
        </w:tc>
        <w:tc>
          <w:tcPr>
            <w:tcW w:type="dxa" w:w="2340"/>
          </w:tcPr>
          <w:p>
            <w:r>
              <w:t>Production-like state-agnostic E2E test pattern</w:t>
            </w:r>
          </w:p>
        </w:tc>
        <w:tc>
          <w:tcPr>
            <w:tcW w:type="dxa" w:w="2340"/>
          </w:tcPr>
          <w:p>
            <w:r>
              <w:t>Engineering</w:t>
            </w:r>
          </w:p>
        </w:tc>
        <w:tc>
          <w:tcPr>
            <w:tcW w:type="dxa" w:w="2340"/>
          </w:tcPr>
          <w:p>
            <w:r>
              <w:t>Ongoing</w:t>
            </w:r>
          </w:p>
        </w:tc>
      </w:tr>
      <w:tr>
        <w:tc>
          <w:tcPr>
            <w:tcW w:type="dxa" w:w="2340"/>
          </w:tcPr>
          <w:p>
            <w:r>
              <w:t>F-33</w:t>
            </w:r>
          </w:p>
        </w:tc>
        <w:tc>
          <w:tcPr>
            <w:tcW w:type="dxa" w:w="2340"/>
          </w:tcPr>
          <w:p>
            <w:r>
              <w:t>Test harness distinction between bounded /children scopes and full /delta connectors</w:t>
            </w:r>
          </w:p>
        </w:tc>
        <w:tc>
          <w:tcPr>
            <w:tcW w:type="dxa" w:w="2340"/>
          </w:tcPr>
          <w:p>
            <w:r>
              <w:t>Engineering</w:t>
            </w:r>
          </w:p>
        </w:tc>
        <w:tc>
          <w:tcPr>
            <w:tcW w:type="dxa" w:w="2340"/>
          </w:tcPr>
          <w:p>
            <w:r>
              <w:t>Ongoing</w:t>
            </w:r>
          </w:p>
        </w:tc>
      </w:tr>
      <w:tr>
        <w:tc>
          <w:tcPr>
            <w:tcW w:type="dxa" w:w="2340"/>
          </w:tcPr>
          <w:p>
            <w:r>
              <w:t>F-34</w:t>
            </w:r>
          </w:p>
        </w:tc>
        <w:tc>
          <w:tcPr>
            <w:tcW w:type="dxa" w:w="2340"/>
          </w:tcPr>
          <w:p>
            <w:r>
              <w:t>Canonical timestamp normalization utility</w:t>
            </w:r>
          </w:p>
        </w:tc>
        <w:tc>
          <w:tcPr>
            <w:tcW w:type="dxa" w:w="2340"/>
          </w:tcPr>
          <w:p>
            <w:r>
              <w:t>Engineering</w:t>
            </w:r>
          </w:p>
        </w:tc>
        <w:tc>
          <w:tcPr>
            <w:tcW w:type="dxa" w:w="2340"/>
          </w:tcPr>
          <w:p>
            <w:r>
              <w:t>Ongoing</w:t>
            </w:r>
          </w:p>
        </w:tc>
      </w:tr>
      <w:tr>
        <w:tc>
          <w:tcPr>
            <w:tcW w:type="dxa" w:w="2340"/>
          </w:tcPr>
          <w:p>
            <w:r>
              <w:t>F-35</w:t>
            </w:r>
          </w:p>
        </w:tc>
        <w:tc>
          <w:tcPr>
            <w:tcW w:type="dxa" w:w="2340"/>
          </w:tcPr>
          <w:p>
            <w:r>
              <w:t>Source-specific change-signal strategy research</w:t>
            </w:r>
          </w:p>
        </w:tc>
        <w:tc>
          <w:tcPr>
            <w:tcW w:type="dxa" w:w="2340"/>
          </w:tcPr>
          <w:p>
            <w:r>
              <w:t>Engineering</w:t>
            </w:r>
          </w:p>
        </w:tc>
        <w:tc>
          <w:tcPr>
            <w:tcW w:type="dxa" w:w="2340"/>
          </w:tcPr>
          <w:p>
            <w:r>
              <w:t>Future</w:t>
            </w:r>
          </w:p>
        </w:tc>
      </w:tr>
      <w:tr>
        <w:tc>
          <w:tcPr>
            <w:tcW w:type="dxa" w:w="2340"/>
          </w:tcPr>
          <w:p>
            <w:r>
              <w:t>F-38</w:t>
            </w:r>
          </w:p>
        </w:tc>
        <w:tc>
          <w:tcPr>
            <w:tcW w:type="dxa" w:w="2340"/>
          </w:tcPr>
          <w:p>
            <w:r>
              <w:t>Request Rejection Persistence</w:t>
            </w:r>
          </w:p>
        </w:tc>
        <w:tc>
          <w:tcPr>
            <w:tcW w:type="dxa" w:w="2340"/>
          </w:tcPr>
          <w:p>
            <w:r>
              <w:t>Operations</w:t>
            </w:r>
          </w:p>
        </w:tc>
        <w:tc>
          <w:tcPr>
            <w:tcW w:type="dxa" w:w="2340"/>
          </w:tcPr>
          <w:p>
            <w:r>
              <w:t>Current</w:t>
            </w:r>
          </w:p>
        </w:tc>
      </w:tr>
      <w:tr>
        <w:tc>
          <w:tcPr>
            <w:tcW w:type="dxa" w:w="2340"/>
          </w:tcPr>
          <w:p>
            <w:r>
              <w:t>F-39</w:t>
            </w:r>
          </w:p>
        </w:tc>
        <w:tc>
          <w:tcPr>
            <w:tcW w:type="dxa" w:w="2340"/>
          </w:tcPr>
          <w:p>
            <w:r>
              <w:t>Job Scheduling</w:t>
            </w:r>
          </w:p>
        </w:tc>
        <w:tc>
          <w:tcPr>
            <w:tcW w:type="dxa" w:w="2340"/>
          </w:tcPr>
          <w:p>
            <w:r>
              <w:t>Operations</w:t>
            </w:r>
          </w:p>
        </w:tc>
        <w:tc>
          <w:tcPr>
            <w:tcW w:type="dxa" w:w="2340"/>
          </w:tcPr>
          <w:p>
            <w:r>
              <w:t>Future</w:t>
            </w:r>
          </w:p>
        </w:tc>
      </w:tr>
      <w:tr>
        <w:tc>
          <w:tcPr>
            <w:tcW w:type="dxa" w:w="2340"/>
          </w:tcPr>
          <w:p>
            <w:r>
              <w:t>F-40</w:t>
            </w:r>
          </w:p>
        </w:tc>
        <w:tc>
          <w:tcPr>
            <w:tcW w:type="dxa" w:w="2340"/>
          </w:tcPr>
          <w:p>
            <w:r>
              <w:t>Configurable Retry Policy</w:t>
            </w:r>
          </w:p>
        </w:tc>
        <w:tc>
          <w:tcPr>
            <w:tcW w:type="dxa" w:w="2340"/>
          </w:tcPr>
          <w:p>
            <w:r>
              <w:t>Operations</w:t>
            </w:r>
          </w:p>
        </w:tc>
        <w:tc>
          <w:tcPr>
            <w:tcW w:type="dxa" w:w="2340"/>
          </w:tcPr>
          <w:p>
            <w:r>
              <w:t>Future</w:t>
            </w:r>
          </w:p>
        </w:tc>
      </w:tr>
      <w:tr>
        <w:tc>
          <w:tcPr>
            <w:tcW w:type="dxa" w:w="2340"/>
          </w:tcPr>
          <w:p>
            <w:r>
              <w:t>F-41</w:t>
            </w:r>
          </w:p>
        </w:tc>
        <w:tc>
          <w:tcPr>
            <w:tcW w:type="dxa" w:w="2340"/>
          </w:tcPr>
          <w:p>
            <w:r>
              <w:t>Out-of-Box Sources</w:t>
            </w:r>
          </w:p>
        </w:tc>
        <w:tc>
          <w:tcPr>
            <w:tcW w:type="dxa" w:w="2340"/>
          </w:tcPr>
          <w:p>
            <w:r>
              <w:t>Synchronization</w:t>
            </w:r>
          </w:p>
        </w:tc>
        <w:tc>
          <w:tcPr>
            <w:tcW w:type="dxa" w:w="2340"/>
          </w:tcPr>
          <w:p>
            <w:r>
              <w:t>Future</w:t>
            </w:r>
          </w:p>
        </w:tc>
      </w:tr>
      <w:tr>
        <w:tc>
          <w:tcPr>
            <w:tcW w:type="dxa" w:w="2340"/>
          </w:tcPr>
          <w:p>
            <w:r>
              <w:t>F-42</w:t>
            </w:r>
          </w:p>
        </w:tc>
        <w:tc>
          <w:tcPr>
            <w:tcW w:type="dxa" w:w="2340"/>
          </w:tcPr>
          <w:p>
            <w:r>
              <w:t>Extensible Source integration</w:t>
            </w:r>
          </w:p>
        </w:tc>
        <w:tc>
          <w:tcPr>
            <w:tcW w:type="dxa" w:w="2340"/>
          </w:tcPr>
          <w:p>
            <w:r>
              <w:t>Synchronization</w:t>
            </w:r>
          </w:p>
        </w:tc>
        <w:tc>
          <w:tcPr>
            <w:tcW w:type="dxa" w:w="2340"/>
          </w:tcPr>
          <w:p>
            <w:r>
              <w:t>Future</w:t>
            </w:r>
          </w:p>
        </w:tc>
      </w:tr>
      <w:tr>
        <w:tc>
          <w:tcPr>
            <w:tcW w:type="dxa" w:w="2340"/>
          </w:tcPr>
          <w:p>
            <w:r>
              <w:t>F-43</w:t>
            </w:r>
          </w:p>
        </w:tc>
        <w:tc>
          <w:tcPr>
            <w:tcW w:type="dxa" w:w="2340"/>
          </w:tcPr>
          <w:p>
            <w:r>
              <w:t>Preservation of Microsoft Graph deltalink</w:t>
            </w:r>
          </w:p>
        </w:tc>
        <w:tc>
          <w:tcPr>
            <w:tcW w:type="dxa" w:w="2340"/>
          </w:tcPr>
          <w:p>
            <w:r>
              <w:t>Synchronization</w:t>
            </w:r>
          </w:p>
        </w:tc>
        <w:tc>
          <w:tcPr>
            <w:tcW w:type="dxa" w:w="2340"/>
          </w:tcPr>
          <w:p>
            <w:r>
              <w:t>Future</w:t>
            </w:r>
          </w:p>
        </w:tc>
      </w:tr>
    </w:tbl>
    <w:p>
      <w:pPr>
        <w:pStyle w:val="Heading1"/>
      </w:pPr>
      <w:r>
        <w:t>Detailed Improvement Notes</w:t>
      </w:r>
    </w:p>
    <w:p>
      <w:pPr>
        <w:pStyle w:val="Heading2"/>
      </w:pPr>
      <w:r>
        <w:t>F-03 Scheduling and background synchronization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Operations | Future</w:t>
            </w:r>
          </w:p>
        </w:tc>
      </w:tr>
      <w:tr>
        <w:tc>
          <w:tcPr>
            <w:tcW w:type="dxa" w:w="4680"/>
          </w:tcPr>
          <w:p>
            <w:r>
              <w:t>Future Opportunity</w:t>
            </w:r>
          </w:p>
        </w:tc>
        <w:tc>
          <w:tcPr>
            <w:tcW w:type="dxa" w:w="4680"/>
          </w:tcPr>
          <w:p>
            <w:r>
              <w:t>Allow synchronization to run without manual invocation, including recurring schedules and background execution.</w:t>
            </w:r>
          </w:p>
        </w:tc>
      </w:tr>
      <w:tr>
        <w:tc>
          <w:tcPr>
            <w:tcW w:type="dxa" w:w="4680"/>
          </w:tcPr>
          <w:p>
            <w:r>
              <w:t>Guardrail / Design Note</w:t>
            </w:r>
          </w:p>
        </w:tc>
        <w:tc>
          <w:tcPr>
            <w:tcW w:type="dxa" w:w="4680"/>
          </w:tcPr>
          <w:p>
            <w:r>
              <w:t>May eventually require scheduler, job queue, worker management, retry policy, and concurrency controls.</w:t>
            </w:r>
          </w:p>
        </w:tc>
      </w:tr>
    </w:tbl>
    <w:p>
      <w:pPr>
        <w:pStyle w:val="Heading2"/>
      </w:pPr>
      <w:r>
        <w:t>F-04 Broad repository population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Operations | Future controlled rollout</w:t>
            </w:r>
          </w:p>
        </w:tc>
      </w:tr>
      <w:tr>
        <w:tc>
          <w:tcPr>
            <w:tcW w:type="dxa" w:w="4680"/>
          </w:tcPr>
          <w:p>
            <w:r>
              <w:t>Future Opportunity</w:t>
            </w:r>
          </w:p>
        </w:tc>
        <w:tc>
          <w:tcPr>
            <w:tcW w:type="dxa" w:w="4680"/>
          </w:tcPr>
          <w:p>
            <w:r>
              <w:t>Populate the canonical repository beyond controlled test scopes after production request controls and operational safeguards exist.</w:t>
            </w:r>
          </w:p>
        </w:tc>
      </w:tr>
      <w:tr>
        <w:tc>
          <w:tcPr>
            <w:tcW w:type="dxa" w:w="4680"/>
          </w:tcPr>
          <w:p>
            <w:r>
              <w:t>Guardrail / Design Note</w:t>
            </w:r>
          </w:p>
        </w:tc>
        <w:tc>
          <w:tcPr>
            <w:tcW w:type="dxa" w:w="4680"/>
          </w:tcPr>
          <w:p>
            <w:r>
              <w:t>Not a test side effect. Scope selection and observability should precede broad ingestion.</w:t>
            </w:r>
          </w:p>
        </w:tc>
      </w:tr>
    </w:tbl>
    <w:p>
      <w:pPr>
        <w:pStyle w:val="Heading2"/>
      </w:pPr>
      <w:r>
        <w:t>F-05 DELETE synchronization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Synchronization | Future design</w:t>
            </w:r>
          </w:p>
        </w:tc>
      </w:tr>
      <w:tr>
        <w:tc>
          <w:tcPr>
            <w:tcW w:type="dxa" w:w="4680"/>
          </w:tcPr>
          <w:p>
            <w:r>
              <w:t>Future Opportunity</w:t>
            </w:r>
          </w:p>
        </w:tc>
        <w:tc>
          <w:tcPr>
            <w:tcW w:type="dxa" w:w="4680"/>
          </w:tcPr>
          <w:p>
            <w:r>
              <w:t>Detect and safely represent source deletions and any related restored/deleted lifecycle behavior.</w:t>
            </w:r>
          </w:p>
        </w:tc>
      </w:tr>
      <w:tr>
        <w:tc>
          <w:tcPr>
            <w:tcW w:type="dxa" w:w="4680"/>
          </w:tcPr>
          <w:p>
            <w:r>
              <w:t>Guardrail / Design Note</w:t>
            </w:r>
          </w:p>
        </w:tc>
        <w:tc>
          <w:tcPr>
            <w:tcW w:type="dxa" w:w="4680"/>
          </w:tcPr>
          <w:p>
            <w:r>
              <w:t>Explicitly excluded from the earlier implementation stage. Requires careful canonical semantics and Sync History rules before implementation.</w:t>
            </w:r>
          </w:p>
        </w:tc>
      </w:tr>
    </w:tbl>
    <w:p>
      <w:pPr>
        <w:pStyle w:val="Heading2"/>
      </w:pPr>
      <w:r>
        <w:t>F-06 Legacy Microsoft Office extraction (.doc, .xls, .ppt)</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Extraction | Future</w:t>
            </w:r>
          </w:p>
        </w:tc>
      </w:tr>
      <w:tr>
        <w:tc>
          <w:tcPr>
            <w:tcW w:type="dxa" w:w="4680"/>
          </w:tcPr>
          <w:p>
            <w:r>
              <w:t>Future Opportunity</w:t>
            </w:r>
          </w:p>
        </w:tc>
        <w:tc>
          <w:tcPr>
            <w:tcW w:type="dxa" w:w="4680"/>
          </w:tcPr>
          <w:p>
            <w:r>
              <w:t>Extend extraction coverage for substantial legacy document inventory observed in OneDrive.</w:t>
            </w:r>
          </w:p>
        </w:tc>
      </w:tr>
      <w:tr>
        <w:tc>
          <w:tcPr>
            <w:tcW w:type="dxa" w:w="4680"/>
          </w:tcPr>
          <w:p>
            <w:r>
              <w:t>Guardrail / Design Note</w:t>
            </w:r>
          </w:p>
        </w:tc>
        <w:tc>
          <w:tcPr>
            <w:tcW w:type="dxa" w:w="4680"/>
          </w:tcPr>
          <w:p>
            <w:r>
              <w:t>Keep format support extensible; avoid format-specific leakage into orchestration.</w:t>
            </w:r>
          </w:p>
        </w:tc>
      </w:tr>
    </w:tbl>
    <w:p>
      <w:pPr>
        <w:pStyle w:val="Heading2"/>
      </w:pPr>
      <w:r>
        <w:t>F-07 Additional extraction formats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Extraction | Future</w:t>
            </w:r>
          </w:p>
        </w:tc>
      </w:tr>
      <w:tr>
        <w:tc>
          <w:tcPr>
            <w:tcW w:type="dxa" w:w="4680"/>
          </w:tcPr>
          <w:p>
            <w:r>
              <w:t>Future Opportunity</w:t>
            </w:r>
          </w:p>
        </w:tc>
        <w:tc>
          <w:tcPr>
            <w:tcW w:type="dxa" w:w="4680"/>
          </w:tcPr>
          <w:p>
            <w:r>
              <w:t>Evaluate other unsupported knowledge-bearing formats found in the full OneDrive inventory, including .pptx, .rtf, .xlsm and other evidence-backed formats.</w:t>
            </w:r>
          </w:p>
        </w:tc>
      </w:tr>
      <w:tr>
        <w:tc>
          <w:tcPr>
            <w:tcW w:type="dxa" w:w="4680"/>
          </w:tcPr>
          <w:p>
            <w:r>
              <w:t>Guardrail / Design Note</w:t>
            </w:r>
          </w:p>
        </w:tc>
        <w:tc>
          <w:tcPr>
            <w:tcW w:type="dxa" w:w="4680"/>
          </w:tcPr>
          <w:p>
            <w:r>
              <w:t>Prioritize by actual corpus value and prevalence rather than extension count alone.</w:t>
            </w:r>
          </w:p>
        </w:tc>
      </w:tr>
    </w:tbl>
    <w:p>
      <w:pPr>
        <w:pStyle w:val="Heading2"/>
      </w:pPr>
      <w:r>
        <w:t>F-08 Extraction technology evaluation (Apache Tika or alternative)</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Extraction | Future decision</w:t>
            </w:r>
          </w:p>
        </w:tc>
      </w:tr>
      <w:tr>
        <w:tc>
          <w:tcPr>
            <w:tcW w:type="dxa" w:w="4680"/>
          </w:tcPr>
          <w:p>
            <w:r>
              <w:t>Future Opportunity</w:t>
            </w:r>
          </w:p>
        </w:tc>
        <w:tc>
          <w:tcPr>
            <w:tcW w:type="dxa" w:w="4680"/>
          </w:tcPr>
          <w:p>
            <w:r>
              <w:t>Evaluate whether a mature extraction framework should supplement or replace parts of the current format-specific extractor stack.</w:t>
            </w:r>
          </w:p>
        </w:tc>
      </w:tr>
      <w:tr>
        <w:tc>
          <w:tcPr>
            <w:tcW w:type="dxa" w:w="4680"/>
          </w:tcPr>
          <w:p>
            <w:r>
              <w:t>Guardrail / Design Note</w:t>
            </w:r>
          </w:p>
        </w:tc>
        <w:tc>
          <w:tcPr>
            <w:tcW w:type="dxa" w:w="4680"/>
          </w:tcPr>
          <w:p>
            <w:r>
              <w:t>No technology adoption decision was made in the earlier implementation stage.</w:t>
            </w:r>
          </w:p>
        </w:tc>
      </w:tr>
    </w:tbl>
    <w:p>
      <w:pPr>
        <w:pStyle w:val="Heading2"/>
      </w:pPr>
      <w:r>
        <w:t>F-09 Unsupported-file-type registry</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Extraction / Observability | Future</w:t>
            </w:r>
          </w:p>
        </w:tc>
      </w:tr>
      <w:tr>
        <w:tc>
          <w:tcPr>
            <w:tcW w:type="dxa" w:w="4680"/>
          </w:tcPr>
          <w:p>
            <w:r>
              <w:t>Future Opportunity</w:t>
            </w:r>
          </w:p>
        </w:tc>
        <w:tc>
          <w:tcPr>
            <w:tcW w:type="dxa" w:w="4680"/>
          </w:tcPr>
          <w:p>
            <w:r>
              <w:t>Record one evidence-backed entry for each newly encountered unsupported extension so extraction gaps become a measurable backlog.</w:t>
            </w:r>
          </w:p>
        </w:tc>
      </w:tr>
      <w:tr>
        <w:tc>
          <w:tcPr>
            <w:tcW w:type="dxa" w:w="4680"/>
          </w:tcPr>
          <w:p>
            <w:r>
              <w:t>Guardrail / Design Note</w:t>
            </w:r>
          </w:p>
        </w:tc>
        <w:tc>
          <w:tcPr>
            <w:tcW w:type="dxa" w:w="4680"/>
          </w:tcPr>
          <w:p>
            <w:r>
              <w:t>Schema, ownership, lifecycle, and whether this is operational or derived data remain to be designed.</w:t>
            </w:r>
          </w:p>
        </w:tc>
      </w:tr>
    </w:tbl>
    <w:p>
      <w:pPr>
        <w:pStyle w:val="Heading2"/>
      </w:pPr>
      <w:r>
        <w:t>F-10 Binary/image duplicate identification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Curation / Quality | Future</w:t>
            </w:r>
          </w:p>
        </w:tc>
      </w:tr>
      <w:tr>
        <w:tc>
          <w:tcPr>
            <w:tcW w:type="dxa" w:w="4680"/>
          </w:tcPr>
          <w:p>
            <w:r>
              <w:t>Future Opportunity</w:t>
            </w:r>
          </w:p>
        </w:tc>
        <w:tc>
          <w:tcPr>
            <w:tcW w:type="dxa" w:w="4680"/>
          </w:tcPr>
          <w:p>
            <w:r>
              <w:t>Identify exact duplicate images, initially .jpg and .png, likely using binary hashes without semantic image analysis.</w:t>
            </w:r>
          </w:p>
        </w:tc>
      </w:tr>
      <w:tr>
        <w:tc>
          <w:tcPr>
            <w:tcW w:type="dxa" w:w="4680"/>
          </w:tcPr>
          <w:p>
            <w:r>
              <w:t>Guardrail / Design Note</w:t>
            </w:r>
          </w:p>
        </w:tc>
        <w:tc>
          <w:tcPr>
            <w:tcW w:type="dxa" w:w="4680"/>
          </w:tcPr>
          <w:p>
            <w:r>
              <w:t>Duplicate interpretation is not Synchronization state and should remain outside Discovery.</w:t>
            </w:r>
          </w:p>
        </w:tc>
      </w:tr>
    </w:tbl>
    <w:p>
      <w:pPr>
        <w:pStyle w:val="Heading2"/>
      </w:pPr>
      <w:r>
        <w:t>F-11 Broader duplicate detection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Services / Quality | Future</w:t>
            </w:r>
          </w:p>
        </w:tc>
      </w:tr>
      <w:tr>
        <w:tc>
          <w:tcPr>
            <w:tcW w:type="dxa" w:w="4680"/>
          </w:tcPr>
          <w:p>
            <w:r>
              <w:t>Future Opportunity</w:t>
            </w:r>
          </w:p>
        </w:tc>
        <w:tc>
          <w:tcPr>
            <w:tcW w:type="dxa" w:w="4680"/>
          </w:tcPr>
          <w:p>
            <w:r>
              <w:t>Extend duplicate analysis beyond exact image duplicates to other knowledge assets when the derived-knowledge layer exists.</w:t>
            </w:r>
          </w:p>
        </w:tc>
      </w:tr>
      <w:tr>
        <w:tc>
          <w:tcPr>
            <w:tcW w:type="dxa" w:w="4680"/>
          </w:tcPr>
          <w:p>
            <w:r>
              <w:t>Guardrail / Design Note</w:t>
            </w:r>
          </w:p>
        </w:tc>
        <w:tc>
          <w:tcPr>
            <w:tcW w:type="dxa" w:w="4680"/>
          </w:tcPr>
          <w:p>
            <w:r>
              <w:t>Earlier architecture already anticipated duplicate_detection as derived knowledge.</w:t>
            </w:r>
          </w:p>
        </w:tc>
      </w:tr>
    </w:tbl>
    <w:p>
      <w:pPr>
        <w:pStyle w:val="Heading2"/>
      </w:pPr>
      <w:r>
        <w:t>F-12 Domain curation and assignment tooling</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Curation | Future</w:t>
            </w:r>
          </w:p>
        </w:tc>
      </w:tr>
      <w:tr>
        <w:tc>
          <w:tcPr>
            <w:tcW w:type="dxa" w:w="4680"/>
          </w:tcPr>
          <w:p>
            <w:r>
              <w:t>Future Opportunity</w:t>
            </w:r>
          </w:p>
        </w:tc>
        <w:tc>
          <w:tcPr>
            <w:tcW w:type="dxa" w:w="4680"/>
          </w:tcPr>
          <w:p>
            <w:r>
              <w:t>Review canonical Knowledge Objects with domain_id = NULL and assign logical Domains after synchronization.</w:t>
            </w:r>
          </w:p>
        </w:tc>
      </w:tr>
      <w:tr>
        <w:tc>
          <w:tcPr>
            <w:tcW w:type="dxa" w:w="4680"/>
          </w:tcPr>
          <w:p>
            <w:r>
              <w:t>Guardrail / Design Note</w:t>
            </w:r>
          </w:p>
        </w:tc>
        <w:tc>
          <w:tcPr>
            <w:tcW w:type="dxa" w:w="4680"/>
          </w:tcPr>
          <w:p>
            <w:r>
              <w:t>Synchronization never infers Domains. User and/or CYRIL performs curation.</w:t>
            </w:r>
          </w:p>
        </w:tc>
      </w:tr>
    </w:tbl>
    <w:p>
      <w:pPr>
        <w:pStyle w:val="Heading2"/>
      </w:pPr>
      <w:r>
        <w:t>F-13 AI-assisted hierarchy and repository organization suggestions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Curation / CYRIL | Future</w:t>
            </w:r>
          </w:p>
        </w:tc>
      </w:tr>
      <w:tr>
        <w:tc>
          <w:tcPr>
            <w:tcW w:type="dxa" w:w="4680"/>
          </w:tcPr>
          <w:p>
            <w:r>
              <w:t>Future Opportunity</w:t>
            </w:r>
          </w:p>
        </w:tc>
        <w:tc>
          <w:tcPr>
            <w:tcW w:type="dxa" w:w="4680"/>
          </w:tcPr>
          <w:p>
            <w:r>
              <w:t>Use canonical knowledge and domain information to recommend more coherent Source-of-Truth hierarchy or organization.</w:t>
            </w:r>
          </w:p>
        </w:tc>
      </w:tr>
      <w:tr>
        <w:tc>
          <w:tcPr>
            <w:tcW w:type="dxa" w:w="4680"/>
          </w:tcPr>
          <w:p>
            <w:r>
              <w:t>Guardrail / Design Note</w:t>
            </w:r>
          </w:p>
        </w:tc>
        <w:tc>
          <w:tcPr>
            <w:tcW w:type="dxa" w:w="4680"/>
          </w:tcPr>
          <w:p>
            <w:r>
              <w:t>Recommendations are interpretive. User retains final organizational decisions.</w:t>
            </w:r>
          </w:p>
        </w:tc>
      </w:tr>
    </w:tbl>
    <w:p>
      <w:pPr>
        <w:pStyle w:val="Heading2"/>
      </w:pPr>
      <w:r>
        <w:t>F-14 Metadata completion and repository quality workflows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Curation | Future</w:t>
            </w:r>
          </w:p>
        </w:tc>
      </w:tr>
      <w:tr>
        <w:tc>
          <w:tcPr>
            <w:tcW w:type="dxa" w:w="4680"/>
          </w:tcPr>
          <w:p>
            <w:r>
              <w:t>Future Opportunity</w:t>
            </w:r>
          </w:p>
        </w:tc>
        <w:tc>
          <w:tcPr>
            <w:tcW w:type="dxa" w:w="4680"/>
          </w:tcPr>
          <w:p>
            <w:r>
              <w:t>Provide post-synchronization processes for incomplete metadata, organizational cleanup, obsolete-content review, and repository-quality improvements.</w:t>
            </w:r>
          </w:p>
        </w:tc>
      </w:tr>
      <w:tr>
        <w:tc>
          <w:tcPr>
            <w:tcW w:type="dxa" w:w="4680"/>
          </w:tcPr>
          <w:p>
            <w:r>
              <w:t>Guardrail / Design Note</w:t>
            </w:r>
          </w:p>
        </w:tc>
        <w:tc>
          <w:tcPr>
            <w:tcW w:type="dxa" w:w="4680"/>
          </w:tcPr>
          <w:p>
            <w:r>
              <w:t>Keep interpretive judgments out of Synchronization.</w:t>
            </w:r>
          </w:p>
        </w:tc>
      </w:tr>
    </w:tbl>
    <w:p>
      <w:pPr>
        <w:pStyle w:val="Heading2"/>
      </w:pPr>
      <w:r>
        <w:t>F-15 Chunking pipeline</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Derived Knowledge | Future lab</w:t>
            </w:r>
          </w:p>
        </w:tc>
      </w:tr>
      <w:tr>
        <w:tc>
          <w:tcPr>
            <w:tcW w:type="dxa" w:w="4680"/>
          </w:tcPr>
          <w:p>
            <w:r>
              <w:t>Future Opportunity</w:t>
            </w:r>
          </w:p>
        </w:tc>
        <w:tc>
          <w:tcPr>
            <w:tcW w:type="dxa" w:w="4680"/>
          </w:tcPr>
          <w:p>
            <w:r>
              <w:t>Split canonical content into retrieval units with metadata and context preservation.</w:t>
            </w:r>
          </w:p>
        </w:tc>
      </w:tr>
      <w:tr>
        <w:tc>
          <w:tcPr>
            <w:tcW w:type="dxa" w:w="4680"/>
          </w:tcPr>
          <w:p>
            <w:r>
              <w:t>Guardrail / Design Note</w:t>
            </w:r>
          </w:p>
        </w:tc>
        <w:tc>
          <w:tcPr>
            <w:tcW w:type="dxa" w:w="4680"/>
          </w:tcPr>
          <w:p>
            <w:r>
              <w:t>Derived knowledge must remain separate from canonical Knowledge Objects.</w:t>
            </w:r>
          </w:p>
        </w:tc>
      </w:tr>
    </w:tbl>
    <w:p>
      <w:pPr>
        <w:pStyle w:val="Heading2"/>
      </w:pPr>
      <w:r>
        <w:t>F-16 Embedding pipeline</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Derived Knowledge | Future lab</w:t>
            </w:r>
          </w:p>
        </w:tc>
      </w:tr>
      <w:tr>
        <w:tc>
          <w:tcPr>
            <w:tcW w:type="dxa" w:w="4680"/>
          </w:tcPr>
          <w:p>
            <w:r>
              <w:t>Future Opportunity</w:t>
            </w:r>
          </w:p>
        </w:tc>
        <w:tc>
          <w:tcPr>
            <w:tcW w:type="dxa" w:w="4680"/>
          </w:tcPr>
          <w:p>
            <w:r>
              <w:t>Generate vector representations for semantic comparison and retrieval.</w:t>
            </w:r>
          </w:p>
        </w:tc>
      </w:tr>
      <w:tr>
        <w:tc>
          <w:tcPr>
            <w:tcW w:type="dxa" w:w="4680"/>
          </w:tcPr>
          <w:p>
            <w:r>
              <w:t>Guardrail / Design Note</w:t>
            </w:r>
          </w:p>
        </w:tc>
        <w:tc>
          <w:tcPr>
            <w:tcW w:type="dxa" w:w="4680"/>
          </w:tcPr>
          <w:p>
            <w:r>
              <w:t>Requires explicit derived-data storage and model/version metadata.</w:t>
            </w:r>
          </w:p>
        </w:tc>
      </w:tr>
    </w:tbl>
    <w:p>
      <w:pPr>
        <w:pStyle w:val="Heading2"/>
      </w:pPr>
      <w:r>
        <w:t>F-17 Vector search / semantic retrieval</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Services | Future lab</w:t>
            </w:r>
          </w:p>
        </w:tc>
      </w:tr>
      <w:tr>
        <w:tc>
          <w:tcPr>
            <w:tcW w:type="dxa" w:w="4680"/>
          </w:tcPr>
          <w:p>
            <w:r>
              <w:t>Future Opportunity</w:t>
            </w:r>
          </w:p>
        </w:tc>
        <w:tc>
          <w:tcPr>
            <w:tcW w:type="dxa" w:w="4680"/>
          </w:tcPr>
          <w:p>
            <w:r>
              <w:t>Index embeddings and provide semantic retrieval over AlphaOmega knowledge.</w:t>
            </w:r>
          </w:p>
        </w:tc>
      </w:tr>
      <w:tr>
        <w:tc>
          <w:tcPr>
            <w:tcW w:type="dxa" w:w="4680"/>
          </w:tcPr>
          <w:p>
            <w:r>
              <w:t>Guardrail / Design Note</w:t>
            </w:r>
          </w:p>
        </w:tc>
        <w:tc>
          <w:tcPr>
            <w:tcW w:type="dxa" w:w="4680"/>
          </w:tcPr>
          <w:p>
            <w:r>
              <w:t>Technology selection should follow actual retrieval requirements.</w:t>
            </w:r>
          </w:p>
        </w:tc>
      </w:tr>
    </w:tbl>
    <w:p>
      <w:pPr>
        <w:pStyle w:val="Heading2"/>
      </w:pPr>
      <w:r>
        <w:t>F-18 Retrieval-Augmented Generation (RAG)</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Services | Future lab</w:t>
            </w:r>
          </w:p>
        </w:tc>
      </w:tr>
      <w:tr>
        <w:tc>
          <w:tcPr>
            <w:tcW w:type="dxa" w:w="4680"/>
          </w:tcPr>
          <w:p>
            <w:r>
              <w:t>Future Opportunity</w:t>
            </w:r>
          </w:p>
        </w:tc>
        <w:tc>
          <w:tcPr>
            <w:tcW w:type="dxa" w:w="4680"/>
          </w:tcPr>
          <w:p>
            <w:r>
              <w:t>Ground model responses in retrieved AlphaOmega knowledge with source traceability/citations.</w:t>
            </w:r>
          </w:p>
        </w:tc>
      </w:tr>
      <w:tr>
        <w:tc>
          <w:tcPr>
            <w:tcW w:type="dxa" w:w="4680"/>
          </w:tcPr>
          <w:p>
            <w:r>
              <w:t>Guardrail / Design Note</w:t>
            </w:r>
          </w:p>
        </w:tc>
        <w:tc>
          <w:tcPr>
            <w:tcW w:type="dxa" w:w="4680"/>
          </w:tcPr>
          <w:p>
            <w:r>
              <w:t>RAG consumes canonical/derived knowledge; it does not replace synchronization.</w:t>
            </w:r>
          </w:p>
        </w:tc>
      </w:tr>
    </w:tbl>
    <w:p>
      <w:pPr>
        <w:pStyle w:val="Heading2"/>
      </w:pPr>
      <w:r>
        <w:t>F-19 Knowledge Services layer</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Knowledge Services | Future</w:t>
            </w:r>
          </w:p>
        </w:tc>
      </w:tr>
      <w:tr>
        <w:tc>
          <w:tcPr>
            <w:tcW w:type="dxa" w:w="4680"/>
          </w:tcPr>
          <w:p>
            <w:r>
              <w:t>Future Opportunity</w:t>
            </w:r>
          </w:p>
        </w:tc>
        <w:tc>
          <w:tcPr>
            <w:tcW w:type="dxa" w:w="4680"/>
          </w:tcPr>
          <w:p>
            <w:r>
              <w:t>Create reusable services above the canonical repository for retrieval, search, summarization, analysis, and other consumers.</w:t>
            </w:r>
          </w:p>
        </w:tc>
      </w:tr>
      <w:tr>
        <w:tc>
          <w:tcPr>
            <w:tcW w:type="dxa" w:w="4680"/>
          </w:tcPr>
          <w:p>
            <w:r>
              <w:t>Guardrail / Design Note</w:t>
            </w:r>
          </w:p>
        </w:tc>
        <w:tc>
          <w:tcPr>
            <w:tcW w:type="dxa" w:w="4680"/>
          </w:tcPr>
          <w:p>
            <w:r>
              <w:t>Maintain boundary between factual canonical repository and derived/interpretive services.</w:t>
            </w:r>
          </w:p>
        </w:tc>
      </w:tr>
    </w:tbl>
    <w:p>
      <w:pPr>
        <w:pStyle w:val="Heading2"/>
      </w:pPr>
      <w:r>
        <w:t>F-20 Agentic AI / CYRIL integration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CYRIL | Future</w:t>
            </w:r>
          </w:p>
        </w:tc>
      </w:tr>
      <w:tr>
        <w:tc>
          <w:tcPr>
            <w:tcW w:type="dxa" w:w="4680"/>
          </w:tcPr>
          <w:p>
            <w:r>
              <w:t>Future Opportunity</w:t>
            </w:r>
          </w:p>
        </w:tc>
        <w:tc>
          <w:tcPr>
            <w:tcW w:type="dxa" w:w="4680"/>
          </w:tcPr>
          <w:p>
            <w:r>
              <w:t>Allow agents to reason over AlphaOmega, identify knowledge gaps, recommend organization, and support higher-level workflows.</w:t>
            </w:r>
          </w:p>
        </w:tc>
      </w:tr>
      <w:tr>
        <w:tc>
          <w:tcPr>
            <w:tcW w:type="dxa" w:w="4680"/>
          </w:tcPr>
          <w:p>
            <w:r>
              <w:t>Guardrail / Design Note</w:t>
            </w:r>
          </w:p>
        </w:tc>
        <w:tc>
          <w:tcPr>
            <w:tcW w:type="dxa" w:w="4680"/>
          </w:tcPr>
          <w:p>
            <w:r>
              <w:t>CYRIL interprets facts; AlphaOmega Synchronization records facts.</w:t>
            </w:r>
          </w:p>
        </w:tc>
      </w:tr>
    </w:tbl>
    <w:p>
      <w:pPr>
        <w:pStyle w:val="Heading2"/>
      </w:pPr>
      <w:r>
        <w:t>F-21 Additional Sources of Truth / connectors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Connector / Translator | Future</w:t>
            </w:r>
          </w:p>
        </w:tc>
      </w:tr>
      <w:tr>
        <w:tc>
          <w:tcPr>
            <w:tcW w:type="dxa" w:w="4680"/>
          </w:tcPr>
          <w:p>
            <w:r>
              <w:t>Future Opportunity</w:t>
            </w:r>
          </w:p>
        </w:tc>
        <w:tc>
          <w:tcPr>
            <w:tcW w:type="dxa" w:w="4680"/>
          </w:tcPr>
          <w:p>
            <w:r>
              <w:t>Add sources such as SharePoint, GitHub, Obsidian, Google Drive, local folders, email, and other repositories.</w:t>
            </w:r>
          </w:p>
        </w:tc>
      </w:tr>
      <w:tr>
        <w:tc>
          <w:tcPr>
            <w:tcW w:type="dxa" w:w="4680"/>
          </w:tcPr>
          <w:p>
            <w:r>
              <w:t>Guardrail / Design Note</w:t>
            </w:r>
          </w:p>
        </w:tc>
        <w:tc>
          <w:tcPr>
            <w:tcW w:type="dxa" w:w="4680"/>
          </w:tcPr>
          <w:p>
            <w:r>
              <w:t>New sources should fit existing Connector/Translator boundaries without redesigning downstream stages.</w:t>
            </w:r>
          </w:p>
        </w:tc>
      </w:tr>
    </w:tbl>
    <w:p>
      <w:pPr>
        <w:pStyle w:val="Heading2"/>
      </w:pPr>
      <w:r>
        <w:t>F-22 Connector scaling for many source types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Connector / Translator | Future when needed</w:t>
            </w:r>
          </w:p>
        </w:tc>
      </w:tr>
      <w:tr>
        <w:tc>
          <w:tcPr>
            <w:tcW w:type="dxa" w:w="4680"/>
          </w:tcPr>
          <w:p>
            <w:r>
              <w:t>Future Opportunity</w:t>
            </w:r>
          </w:p>
        </w:tc>
        <w:tc>
          <w:tcPr>
            <w:tcW w:type="dxa" w:w="4680"/>
          </w:tcPr>
          <w:p>
            <w:r>
              <w:t>Revisit internal connector/translator organization if the number and diversity of Sources of Truth becomes large.</w:t>
            </w:r>
          </w:p>
        </w:tc>
      </w:tr>
      <w:tr>
        <w:tc>
          <w:tcPr>
            <w:tcW w:type="dxa" w:w="4680"/>
          </w:tcPr>
          <w:p>
            <w:r>
              <w:t>Guardrail / Design Note</w:t>
            </w:r>
          </w:p>
        </w:tc>
        <w:tc>
          <w:tcPr>
            <w:tcW w:type="dxa" w:w="4680"/>
          </w:tcPr>
          <w:p>
            <w:r>
              <w:t>the earlier implementation stage concluded that many connectors are a more plausible scaling pressure than many users.</w:t>
            </w:r>
          </w:p>
        </w:tc>
      </w:tr>
    </w:tbl>
    <w:p>
      <w:pPr>
        <w:pStyle w:val="Heading2"/>
      </w:pPr>
      <w:r>
        <w:t>F-23 Retry queues and resilient replay</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Operations / Reliability | Future</w:t>
            </w:r>
          </w:p>
        </w:tc>
      </w:tr>
      <w:tr>
        <w:tc>
          <w:tcPr>
            <w:tcW w:type="dxa" w:w="4680"/>
          </w:tcPr>
          <w:p>
            <w:r>
              <w:t>Future Opportunity</w:t>
            </w:r>
          </w:p>
        </w:tc>
        <w:tc>
          <w:tcPr>
            <w:tcW w:type="dxa" w:w="4680"/>
          </w:tcPr>
          <w:p>
            <w:r>
              <w:t>Provide controlled retry/replay for transient source or processing failures.</w:t>
            </w:r>
          </w:p>
        </w:tc>
      </w:tr>
      <w:tr>
        <w:tc>
          <w:tcPr>
            <w:tcW w:type="dxa" w:w="4680"/>
          </w:tcPr>
          <w:p>
            <w:r>
              <w:t>Guardrail / Design Note</w:t>
            </w:r>
          </w:p>
        </w:tc>
        <w:tc>
          <w:tcPr>
            <w:tcW w:type="dxa" w:w="4680"/>
          </w:tcPr>
          <w:p>
            <w:r>
              <w:t>Must preserve idempotency, Processing Job semantics, and stage trust boundaries.</w:t>
            </w:r>
          </w:p>
        </w:tc>
      </w:tr>
    </w:tbl>
    <w:p>
      <w:pPr>
        <w:pStyle w:val="Heading2"/>
      </w:pPr>
      <w:r>
        <w:t>F-24 Parallel processing and worker management</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Operations / Scalability | Future</w:t>
            </w:r>
          </w:p>
        </w:tc>
      </w:tr>
      <w:tr>
        <w:tc>
          <w:tcPr>
            <w:tcW w:type="dxa" w:w="4680"/>
          </w:tcPr>
          <w:p>
            <w:r>
              <w:t>Future Opportunity</w:t>
            </w:r>
          </w:p>
        </w:tc>
        <w:tc>
          <w:tcPr>
            <w:tcW w:type="dxa" w:w="4680"/>
          </w:tcPr>
          <w:p>
            <w:r>
              <w:t>Increase throughput for larger synchronization scopes through safe concurrency.</w:t>
            </w:r>
          </w:p>
        </w:tc>
      </w:tr>
      <w:tr>
        <w:tc>
          <w:tcPr>
            <w:tcW w:type="dxa" w:w="4680"/>
          </w:tcPr>
          <w:p>
            <w:r>
              <w:t>Guardrail / Design Note</w:t>
            </w:r>
          </w:p>
        </w:tc>
        <w:tc>
          <w:tcPr>
            <w:tcW w:type="dxa" w:w="4680"/>
          </w:tcPr>
          <w:p>
            <w:r>
              <w:t>Defer until measured workload justifies complexity.</w:t>
            </w:r>
          </w:p>
        </w:tc>
      </w:tr>
    </w:tbl>
    <w:p>
      <w:pPr>
        <w:pStyle w:val="Heading2"/>
      </w:pPr>
      <w:r>
        <w:t>F-25 Performance optimization and benchmarking</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Operations / Scalability | Future</w:t>
            </w:r>
          </w:p>
        </w:tc>
      </w:tr>
      <w:tr>
        <w:tc>
          <w:tcPr>
            <w:tcW w:type="dxa" w:w="4680"/>
          </w:tcPr>
          <w:p>
            <w:r>
              <w:t>Future Opportunity</w:t>
            </w:r>
          </w:p>
        </w:tc>
        <w:tc>
          <w:tcPr>
            <w:tcW w:type="dxa" w:w="4680"/>
          </w:tcPr>
          <w:p>
            <w:r>
              <w:t>Measure stage throughput, Graph/API cost, database load, extraction time, and large-scope behavior before optimizing.</w:t>
            </w:r>
          </w:p>
        </w:tc>
      </w:tr>
      <w:tr>
        <w:tc>
          <w:tcPr>
            <w:tcW w:type="dxa" w:w="4680"/>
          </w:tcPr>
          <w:p>
            <w:r>
              <w:t>Guardrail / Design Note</w:t>
            </w:r>
          </w:p>
        </w:tc>
        <w:tc>
          <w:tcPr>
            <w:tcW w:type="dxa" w:w="4680"/>
          </w:tcPr>
          <w:p>
            <w:r>
              <w:t>Evidence first; avoid speculative optimization.</w:t>
            </w:r>
          </w:p>
        </w:tc>
      </w:tr>
    </w:tbl>
    <w:p>
      <w:pPr>
        <w:pStyle w:val="Heading2"/>
      </w:pPr>
      <w:r>
        <w:t>F-26 Operational observability</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Operations | Future</w:t>
            </w:r>
          </w:p>
        </w:tc>
      </w:tr>
      <w:tr>
        <w:tc>
          <w:tcPr>
            <w:tcW w:type="dxa" w:w="4680"/>
          </w:tcPr>
          <w:p>
            <w:r>
              <w:t>Future Opportunity</w:t>
            </w:r>
          </w:p>
        </w:tc>
        <w:tc>
          <w:tcPr>
            <w:tcW w:type="dxa" w:w="4680"/>
          </w:tcPr>
          <w:p>
            <w:r>
              <w:t>Expose Processing Job status, counts, failures, timing, and useful synchronization diagnostics in a production-facing form.</w:t>
            </w:r>
          </w:p>
        </w:tc>
      </w:tr>
      <w:tr>
        <w:tc>
          <w:tcPr>
            <w:tcW w:type="dxa" w:w="4680"/>
          </w:tcPr>
          <w:p>
            <w:r>
              <w:t>Guardrail / Design Note</w:t>
            </w:r>
          </w:p>
        </w:tc>
        <w:tc>
          <w:tcPr>
            <w:tcW w:type="dxa" w:w="4680"/>
          </w:tcPr>
          <w:p>
            <w:r>
              <w:t>Use existing stage/job ownership rather than leaking implementation internals.</w:t>
            </w:r>
          </w:p>
        </w:tc>
      </w:tr>
    </w:tbl>
    <w:p>
      <w:pPr>
        <w:pStyle w:val="Heading2"/>
      </w:pPr>
      <w:r>
        <w:t>F-29 Reconcile orchestration module location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Documentation / Repository | Documentation maintenance</w:t>
            </w:r>
          </w:p>
        </w:tc>
      </w:tr>
      <w:tr>
        <w:tc>
          <w:tcPr>
            <w:tcW w:type="dxa" w:w="4680"/>
          </w:tcPr>
          <w:p>
            <w:r>
              <w:t>Future Opportunity</w:t>
            </w:r>
          </w:p>
        </w:tc>
        <w:tc>
          <w:tcPr>
            <w:tcW w:type="dxa" w:w="4680"/>
          </w:tcPr>
          <w:p>
            <w:r>
              <w:t>Resolve the mismatch between canonical directory guidance placing synchronization orchestration under scripts/sync and historical implementation placing sync_orchestrator.py under scripts/orchestration.</w:t>
            </w:r>
          </w:p>
        </w:tc>
      </w:tr>
      <w:tr>
        <w:tc>
          <w:tcPr>
            <w:tcW w:type="dxa" w:w="4680"/>
          </w:tcPr>
          <w:p>
            <w:r>
              <w:t>Guardrail / Design Note</w:t>
            </w:r>
          </w:p>
        </w:tc>
        <w:tc>
          <w:tcPr>
            <w:tcW w:type="dxa" w:w="4680"/>
          </w:tcPr>
          <w:p>
            <w:r>
              <w:t>Choose one canonical location and align code/documentation rather than silently carrying both.</w:t>
            </w:r>
          </w:p>
        </w:tc>
      </w:tr>
    </w:tbl>
    <w:p>
      <w:pPr>
        <w:pStyle w:val="Heading2"/>
      </w:pPr>
      <w:r>
        <w:t>F-30 Clarify Translator failure wording</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Documentation | Documentation maintenance</w:t>
            </w:r>
          </w:p>
        </w:tc>
      </w:tr>
      <w:tr>
        <w:tc>
          <w:tcPr>
            <w:tcW w:type="dxa" w:w="4680"/>
          </w:tcPr>
          <w:p>
            <w:r>
              <w:t>Future Opportunity</w:t>
            </w:r>
          </w:p>
        </w:tc>
        <w:tc>
          <w:tcPr>
            <w:tcW w:type="dxa" w:w="4680"/>
          </w:tcPr>
          <w:p>
            <w:r>
              <w:t>Remove ambiguity between the universal record-level/stage-level exception model and wording suggesting all Translator processing stops immediately on any failure.</w:t>
            </w:r>
          </w:p>
        </w:tc>
      </w:tr>
      <w:tr>
        <w:tc>
          <w:tcPr>
            <w:tcW w:type="dxa" w:w="4680"/>
          </w:tcPr>
          <w:p>
            <w:r>
              <w:t>Guardrail / Design Note</w:t>
            </w:r>
          </w:p>
        </w:tc>
        <w:tc>
          <w:tcPr>
            <w:tcW w:type="dxa" w:w="4680"/>
          </w:tcPr>
          <w:p>
            <w:r>
              <w:t>Document the intended failure boundary precisely.</w:t>
            </w:r>
          </w:p>
        </w:tc>
      </w:tr>
    </w:tbl>
    <w:p>
      <w:pPr>
        <w:pStyle w:val="Heading2"/>
      </w:pPr>
      <w:r>
        <w:t>F-31 Retire or label stale test assumptions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Testing | Maintenance</w:t>
            </w:r>
          </w:p>
        </w:tc>
      </w:tr>
      <w:tr>
        <w:tc>
          <w:tcPr>
            <w:tcW w:type="dxa" w:w="4680"/>
          </w:tcPr>
          <w:p>
            <w:r>
              <w:t>Future Opportunity</w:t>
            </w:r>
          </w:p>
        </w:tc>
        <w:tc>
          <w:tcPr>
            <w:tcW w:type="dxa" w:w="4680"/>
          </w:tcPr>
          <w:p>
            <w:r>
              <w:t>Update or clearly deprecate older tests whose assumptions were disproven, including the old OneNote unchanged-count expectation and stale translated-count assumptions.</w:t>
            </w:r>
          </w:p>
        </w:tc>
      </w:tr>
      <w:tr>
        <w:tc>
          <w:tcPr>
            <w:tcW w:type="dxa" w:w="4680"/>
          </w:tcPr>
          <w:p>
            <w:r>
              <w:t>Guardrail / Design Note</w:t>
            </w:r>
          </w:p>
        </w:tc>
        <w:tc>
          <w:tcPr>
            <w:tcW w:type="dxa" w:w="4680"/>
          </w:tcPr>
          <w:p>
            <w:r>
              <w:t>Preserve historical evidence without allowing obsolete tests to masquerade as current authority.</w:t>
            </w:r>
          </w:p>
        </w:tc>
      </w:tr>
    </w:tbl>
    <w:p>
      <w:pPr>
        <w:pStyle w:val="Heading2"/>
      </w:pPr>
      <w:r>
        <w:t>F-32 Production-like state-agnostic E2E test pattern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Testing | Ongoing standard</w:t>
            </w:r>
          </w:p>
        </w:tc>
      </w:tr>
      <w:tr>
        <w:tc>
          <w:tcPr>
            <w:tcW w:type="dxa" w:w="4680"/>
          </w:tcPr>
          <w:p>
            <w:r>
              <w:t>Future Opportunity</w:t>
            </w:r>
          </w:p>
        </w:tc>
        <w:tc>
          <w:tcPr>
            <w:tcW w:type="dxa" w:w="4680"/>
          </w:tcPr>
          <w:p>
            <w:r>
              <w:t>Generalize the the earlier implementation stage lesson that E2E tests should discover actual source counts/states and reconcile observations instead of hard-coding the answer when independent detection is the behavior under test.</w:t>
            </w:r>
          </w:p>
        </w:tc>
      </w:tr>
      <w:tr>
        <w:tc>
          <w:tcPr>
            <w:tcW w:type="dxa" w:w="4680"/>
          </w:tcPr>
          <w:p>
            <w:r>
              <w:t>Guardrail / Design Note</w:t>
            </w:r>
          </w:p>
        </w:tc>
        <w:tc>
          <w:tcPr>
            <w:tcW w:type="dxa" w:w="4680"/>
          </w:tcPr>
          <w:p>
            <w:r>
              <w:t>Use hard-coded expectations only where the fixture itself is intentionally controlled.</w:t>
            </w:r>
          </w:p>
        </w:tc>
      </w:tr>
    </w:tbl>
    <w:p>
      <w:pPr>
        <w:pStyle w:val="Heading2"/>
      </w:pPr>
      <w:r>
        <w:t>F-33 Test harness distinction between bounded /children scopes and full /delta connectors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Testing / Connector | Maintenance</w:t>
            </w:r>
          </w:p>
        </w:tc>
      </w:tr>
      <w:tr>
        <w:tc>
          <w:tcPr>
            <w:tcW w:type="dxa" w:w="4680"/>
          </w:tcPr>
          <w:p>
            <w:r>
              <w:t>Future Opportunity</w:t>
            </w:r>
          </w:p>
        </w:tc>
        <w:tc>
          <w:tcPr>
            <w:tcW w:type="dxa" w:w="4680"/>
          </w:tcPr>
          <w:p>
            <w:r>
              <w:t>Make the difference explicit so bounded tests do not require or fabricate a deltaLink while production full OneDrive enumeration retains its deltaLink validation.</w:t>
            </w:r>
          </w:p>
        </w:tc>
      </w:tr>
      <w:tr>
        <w:tc>
          <w:tcPr>
            <w:tcW w:type="dxa" w:w="4680"/>
          </w:tcPr>
          <w:p>
            <w:r>
              <w:t>Guardrail / Design Note</w:t>
            </w:r>
          </w:p>
        </w:tc>
        <w:tc>
          <w:tcPr>
            <w:tcW w:type="dxa" w:w="4680"/>
          </w:tcPr>
          <w:p>
            <w:r>
              <w:t>Do not weaken production validation to accommodate a bounded test.</w:t>
            </w:r>
          </w:p>
        </w:tc>
      </w:tr>
    </w:tbl>
    <w:p>
      <w:pPr>
        <w:pStyle w:val="Heading2"/>
      </w:pPr>
      <w:r>
        <w:t>F-34 Canonical timestamp normalization utility</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Shared Infrastructure | Maintenance</w:t>
            </w:r>
          </w:p>
        </w:tc>
      </w:tr>
      <w:tr>
        <w:tc>
          <w:tcPr>
            <w:tcW w:type="dxa" w:w="4680"/>
          </w:tcPr>
          <w:p>
            <w:r>
              <w:t>Future Opportunity</w:t>
            </w:r>
          </w:p>
        </w:tc>
        <w:tc>
          <w:tcPr>
            <w:tcW w:type="dxa" w:w="4680"/>
          </w:tcPr>
          <w:p>
            <w:r>
              <w:t>Centralize ISO-8601 timestamp parsing/normalization so Graph Z and database +00:00 forms are compared semantically across tests and services.</w:t>
            </w:r>
          </w:p>
        </w:tc>
      </w:tr>
      <w:tr>
        <w:tc>
          <w:tcPr>
            <w:tcW w:type="dxa" w:w="4680"/>
          </w:tcPr>
          <w:p>
            <w:r>
              <w:t>Guardrail / Design Note</w:t>
            </w:r>
          </w:p>
        </w:tc>
        <w:tc>
          <w:tcPr>
            <w:tcW w:type="dxa" w:w="4680"/>
          </w:tcPr>
          <w:p>
            <w:r>
              <w:t>Avoid raw timestamp-string equality where representations may differ.</w:t>
            </w:r>
          </w:p>
        </w:tc>
      </w:tr>
    </w:tbl>
    <w:p>
      <w:pPr>
        <w:pStyle w:val="Heading2"/>
      </w:pPr>
      <w:r>
        <w:t>F-35 Source-specific change-signal strategy research</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Discovery / Connector | Future research</w:t>
            </w:r>
          </w:p>
        </w:tc>
      </w:tr>
      <w:tr>
        <w:tc>
          <w:tcPr>
            <w:tcW w:type="dxa" w:w="4680"/>
          </w:tcPr>
          <w:p>
            <w:r>
              <w:t>Future Opportunity</w:t>
            </w:r>
          </w:p>
        </w:tc>
        <w:tc>
          <w:tcPr>
            <w:tcW w:type="dxa" w:w="4680"/>
          </w:tcPr>
          <w:p>
            <w:r>
              <w:t>Continue learning how each Source of Truth exposes reliable change evidence, especially OneNote's coarse or stale timestamp behavior.</w:t>
            </w:r>
          </w:p>
        </w:tc>
      </w:tr>
      <w:tr>
        <w:tc>
          <w:tcPr>
            <w:tcW w:type="dxa" w:w="4680"/>
          </w:tcPr>
          <w:p>
            <w:r>
              <w:t>Guardrail / Design Note</w:t>
            </w:r>
          </w:p>
        </w:tc>
        <w:tc>
          <w:tcPr>
            <w:tcW w:type="dxa" w:w="4680"/>
          </w:tcPr>
          <w:p>
            <w:r>
              <w:t>Do not redesign Discovery merely to chase cleaner UNCHANGED counts. Preserve source-fact semantics and canonical hash gating.</w:t>
            </w:r>
          </w:p>
        </w:tc>
      </w:tr>
    </w:tbl>
    <w:p>
      <w:pPr>
        <w:pStyle w:val="Heading2"/>
      </w:pPr>
      <w:r>
        <w:t>F-38 Request Rejection Persistence</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Operationalization | Near-term</w:t>
            </w:r>
          </w:p>
        </w:tc>
      </w:tr>
      <w:tr>
        <w:tc>
          <w:tcPr>
            <w:tcW w:type="dxa" w:w="4680"/>
          </w:tcPr>
          <w:p>
            <w:r>
              <w:t>Future Opportunity</w:t>
            </w:r>
          </w:p>
        </w:tc>
        <w:tc>
          <w:tcPr>
            <w:tcW w:type="dxa" w:w="4680"/>
          </w:tcPr>
          <w:p>
            <w:r>
              <w:t>Preserve a durable record of an operational request that reaches AlphaOmega but is rejected before Processing Job creation. The record should preserve enough information to determine what operation was requested, what scope was requested, when the request was received, why execution did not begin, and other information needed to understand the rejection.</w:t>
            </w:r>
          </w:p>
        </w:tc>
      </w:tr>
      <w:tr>
        <w:tc>
          <w:tcPr>
            <w:tcW w:type="dxa" w:w="4680"/>
          </w:tcPr>
          <w:p>
            <w:r>
              <w:t>Guardrail / Design Note</w:t>
            </w:r>
          </w:p>
        </w:tc>
        <w:tc>
          <w:tcPr>
            <w:tcW w:type="dxa" w:w="4680"/>
          </w:tcPr>
          <w:p>
            <w:r>
              <w:t>A rejected request does not represent work that began and shall not be represented as a failed Processing Job merely to obtain persistence. The persistence model, ownership, lifecycle, relationship to accepted requests, required fields, and retrieval interface remain to be designed during the earlier implementation stage.</w:t>
            </w:r>
          </w:p>
        </w:tc>
      </w:tr>
    </w:tbl>
    <w:p>
      <w:pPr>
        <w:pStyle w:val="Heading2"/>
      </w:pPr>
      <w:r>
        <w:t>F-39 Job Scheduling</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 | Future</w:t>
            </w:r>
          </w:p>
        </w:tc>
      </w:tr>
      <w:tr>
        <w:tc>
          <w:tcPr>
            <w:tcW w:type="dxa" w:w="4680"/>
          </w:tcPr>
          <w:p>
            <w:r>
              <w:t>Future Opportunity</w:t>
            </w:r>
          </w:p>
        </w:tc>
        <w:tc>
          <w:tcPr>
            <w:tcW w:type="dxa" w:w="4680"/>
          </w:tcPr>
          <w:p>
            <w:r>
              <w:t>Provide a general scheduling capability for AlphaOmega operations so supported work can be requested for future or recurring execution without requiring immediate human initiation. Synchronization may be one scheduled operation, but the scheduling capability should not be limited to synchronization if other AlphaOmega operations later require scheduled execution.</w:t>
            </w:r>
          </w:p>
        </w:tc>
      </w:tr>
      <w:tr>
        <w:tc>
          <w:tcPr>
            <w:tcW w:type="dxa" w:w="4680"/>
          </w:tcPr>
          <w:p>
            <w:r>
              <w:t>Guardrail / Design Note</w:t>
            </w:r>
          </w:p>
        </w:tc>
        <w:tc>
          <w:tcPr>
            <w:tcW w:type="dxa" w:w="4680"/>
          </w:tcPr>
          <w:p>
            <w:r>
              <w:t>Scheduling initiates AlphaOmega operations through their approved application interfaces and does not bypass request validation, authorization, conflict detection, reservation, Processing Job creation, or other operational controls. F-03 remains the synchronization-specific use case; this item represents the broader scheduling capability.</w:t>
            </w:r>
          </w:p>
        </w:tc>
      </w:tr>
    </w:tbl>
    <w:p>
      <w:pPr>
        <w:pStyle w:val="Heading2"/>
      </w:pPr>
      <w:r>
        <w:t>F-40 Configurable Retry Policy</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 | Future</w:t>
            </w:r>
          </w:p>
        </w:tc>
      </w:tr>
      <w:tr>
        <w:tc>
          <w:tcPr>
            <w:tcW w:type="dxa" w:w="4680"/>
          </w:tcPr>
          <w:p>
            <w:r>
              <w:t>Future Opportunity</w:t>
            </w:r>
          </w:p>
        </w:tc>
        <w:tc>
          <w:tcPr>
            <w:tcW w:type="dxa" w:w="4680"/>
          </w:tcPr>
          <w:p>
            <w:r>
              <w:t>Establish a configurable AlphaOmega retry policy for temporary operational failures. Future design should determine which failures are retryable, maximum attempts, retry timing and backoff, Source-of-Truth-provided retry instructions, diagnostic recording, and the conditions under which retry stops and the operation is reported as failed.</w:t>
            </w:r>
          </w:p>
        </w:tc>
      </w:tr>
      <w:tr>
        <w:tc>
          <w:tcPr>
            <w:tcW w:type="dxa" w:w="4680"/>
          </w:tcPr>
          <w:p>
            <w:r>
              <w:t>Guardrail / Design Note</w:t>
            </w:r>
          </w:p>
        </w:tc>
        <w:tc>
          <w:tcPr>
            <w:tcW w:type="dxa" w:w="4680"/>
          </w:tcPr>
          <w:p>
            <w:r>
              <w:t>Existing provider-specific recovery behavior, including Microsoft Graph retry and throttling handling, must be considered rather than duplicated or accidentally replaced. Deterministic failures requiring changes to data, configuration, authorization, code, or human action should not be repeatedly retried. Retry behavior must preserve idempotency and remain visible through operational records.</w:t>
            </w:r>
          </w:p>
        </w:tc>
      </w:tr>
    </w:tbl>
    <w:p>
      <w:pPr>
        <w:pStyle w:val="Heading2"/>
      </w:pPr>
      <w:r>
        <w:t>F-41 Out-of-Box Sources</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 | Future</w:t>
            </w:r>
          </w:p>
        </w:tc>
      </w:tr>
      <w:tr>
        <w:tc>
          <w:tcPr>
            <w:tcW w:type="dxa" w:w="4680"/>
          </w:tcPr>
          <w:p>
            <w:r>
              <w:t>Future Opportunity</w:t>
            </w:r>
          </w:p>
        </w:tc>
        <w:tc>
          <w:tcPr>
            <w:tcW w:type="dxa" w:w="4680"/>
          </w:tcPr>
          <w:p>
            <w:r>
              <w:t>Determine which Sources of Truth AlphaOmega should officially support as built-in integrations. Microsoft 365 is a natural candidate because OneDrive and OneNote integrations already exist. Additional built-in Sources should be selected through future research based on actual use cases, architectural fit, demand, and maintenance cost rather than assumed in advance.</w:t>
            </w:r>
          </w:p>
        </w:tc>
      </w:tr>
      <w:tr>
        <w:tc>
          <w:tcPr>
            <w:tcW w:type="dxa" w:w="4680"/>
          </w:tcPr>
          <w:p>
            <w:r>
              <w:t>Guardrail / Design Note</w:t>
            </w:r>
          </w:p>
        </w:tc>
        <w:tc>
          <w:tcPr>
            <w:tcW w:type="dxa" w:w="4680"/>
          </w:tcPr>
          <w:p>
            <w:r>
              <w:t>Built-in Source support should not create Source-specific behavior in downstream synchronization stages. Each supported Source must conform to the established Source integration boundaries and AlphaOmega's canonical synchronization contracts.</w:t>
            </w:r>
          </w:p>
        </w:tc>
      </w:tr>
    </w:tbl>
    <w:p>
      <w:pPr>
        <w:pStyle w:val="Heading2"/>
      </w:pPr>
      <w:r>
        <w:t>F-42 Extensible Source integration</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Operation | Future</w:t>
            </w:r>
          </w:p>
        </w:tc>
      </w:tr>
      <w:tr>
        <w:tc>
          <w:tcPr>
            <w:tcW w:type="dxa" w:w="4680"/>
          </w:tcPr>
          <w:p>
            <w:r>
              <w:t>Future Opportunity</w:t>
            </w:r>
          </w:p>
        </w:tc>
        <w:tc>
          <w:tcPr>
            <w:tcW w:type="dxa" w:w="4680"/>
          </w:tcPr>
          <w:p>
            <w:r>
              <w:t>Establish a standardized Source integration model so adding support for a new Source of Truth does not require redesigning AlphaOmega. The target is for a new integration to provide the required Connector behavior, Translator behavior, authentication configuration, Source-type registration, and validation while existing downstream synchronization stages continue operating through their established canonical contracts.</w:t>
            </w:r>
          </w:p>
        </w:tc>
      </w:tr>
      <w:tr>
        <w:tc>
          <w:tcPr>
            <w:tcW w:type="dxa" w:w="4680"/>
          </w:tcPr>
          <w:p>
            <w:r>
              <w:t>Guardrail / Design Note</w:t>
            </w:r>
          </w:p>
        </w:tc>
        <w:tc>
          <w:tcPr>
            <w:tcW w:type="dxa" w:w="4680"/>
          </w:tcPr>
          <w:p>
            <w:r>
              <w:t>Adding a Source should be an extension, not a project-wide modification. Source-specific behavior shall remain behind the appropriate Connector, Translator, authentication, and registration boundaries. Discovery, Extraction, Load, and Orchestration should not require Source-specific redesign merely because a new Source is introduced.</w:t>
            </w:r>
          </w:p>
        </w:tc>
      </w:tr>
    </w:tbl>
    <w:p>
      <w:pPr>
        <w:pStyle w:val="Heading2"/>
      </w:pPr>
      <w:r>
        <w:t>F-43 Preservation of Microsoft Graph deltalink</w:t>
      </w:r>
    </w:p>
    <w:tbl>
      <w:tblPr>
        <w:tblStyle w:val="TableGrid"/>
        <w:tblW w:type="auto" w:w="0"/>
        <w:tblLook w:firstColumn="1" w:firstRow="1" w:lastColumn="0" w:lastRow="0" w:noHBand="0" w:noVBand="1" w:val="04A0"/>
      </w:tblPr>
      <w:tblGrid>
        <w:gridCol w:w="4680"/>
        <w:gridCol w:w="4680"/>
      </w:tblGrid>
      <w:tr>
        <w:tc>
          <w:tcPr>
            <w:tcW w:type="dxa" w:w="4680"/>
          </w:tcPr>
          <w:p>
            <w:r>
              <w:t>Area / Horizon</w:t>
            </w:r>
          </w:p>
        </w:tc>
        <w:tc>
          <w:tcPr>
            <w:tcW w:type="dxa" w:w="4680"/>
          </w:tcPr>
          <w:p>
            <w:r>
              <w:t>Synchronization | Future</w:t>
            </w:r>
          </w:p>
        </w:tc>
      </w:tr>
      <w:tr>
        <w:tc>
          <w:tcPr>
            <w:tcW w:type="dxa" w:w="4680"/>
          </w:tcPr>
          <w:p>
            <w:r>
              <w:t>Future Opportunity</w:t>
            </w:r>
          </w:p>
        </w:tc>
        <w:tc>
          <w:tcPr>
            <w:tcW w:type="dxa" w:w="4680"/>
          </w:tcPr>
          <w:p>
            <w:r>
              <w:t>There is one future optimization: preserving the Microsoft Graph deltaLink. After the initial full enumeration, subsequent refreshes could request only changes since the previous successful observation. That could reduce refresh time substantially. However, delta-based incremental refresh requires careful persistence and recovery rules and should be treated as a future optimization—not introduced during the current production wiring work.</w:t>
            </w:r>
          </w:p>
        </w:tc>
      </w:tr>
      <w:tr>
        <w:tc>
          <w:tcPr>
            <w:tcW w:type="dxa" w:w="4680"/>
          </w:tcPr>
          <w:p>
            <w:r>
              <w:t>Guardrail / Design Note</w:t>
            </w:r>
          </w:p>
        </w:tc>
        <w:tc>
          <w:tcPr>
            <w:tcW w:type="dxa" w:w="4680"/>
          </w:tcPr>
          <w:p>
            <w:r>
              <w:t>TBD</w:t>
            </w:r>
          </w:p>
        </w:tc>
      </w:tr>
    </w:tbl>
    <w:sectPr w:rsidR="00304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670E"/>
    <w:rsid w:val="0017670E"/>
    <w:rsid w:val="00304C87"/>
    <w:rsid w:val="00F2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F093BB-5669-4E62-94B8-1BD5AF86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itle">
    <w:name w:val="Title"/>
    <w:rPr>
      <w:rFonts w:ascii="Arial" w:hAnsi="Arial"/>
      <w:b/>
      <w:sz w:val="40"/>
    </w:rPr>
  </w:style>
  <w:style w:type="paragraph" w:customStyle="1" w:styleId="Heading1">
    <w:name w:val="heading 1"/>
    <w:rPr>
      <w:rFonts w:ascii="Arial" w:hAnsi="Arial"/>
      <w:b/>
      <w:sz w:val="32"/>
    </w:rPr>
  </w:style>
  <w:style w:type="paragraph" w:customStyle="1" w:styleId="Heading2">
    <w:name w:val="heading 2"/>
    <w:rPr>
      <w:rFonts w:ascii="Arial" w:hAnsi="Arial"/>
      <w:b/>
      <w:sz w:val="26"/>
    </w:rPr>
  </w:style>
  <w:style w:type="paragraph" w:customStyle="1" w:styleId="ListBullet">
    <w:name w:val="List Bullet"/>
    <w:basedOn w:val="Normal"/>
    <w:pPr>
      <w:ind w:left="360"/>
    </w:pPr>
  </w:style>
  <w:style w:type="table" w:customStyle="1" w:styleId="TableGrid">
    <w:name w:val="Table Grid"/>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323">
      <w:marLeft w:val="0"/>
      <w:marRight w:val="0"/>
      <w:marTop w:val="0"/>
      <w:marBottom w:val="0"/>
      <w:divBdr>
        <w:top w:val="none" w:sz="0" w:space="0" w:color="auto"/>
        <w:left w:val="none" w:sz="0" w:space="0" w:color="auto"/>
        <w:bottom w:val="none" w:sz="0" w:space="0" w:color="auto"/>
        <w:right w:val="none" w:sz="0" w:space="0" w:color="auto"/>
      </w:divBdr>
    </w:div>
    <w:div w:id="44304086">
      <w:marLeft w:val="0"/>
      <w:marRight w:val="0"/>
      <w:marTop w:val="0"/>
      <w:marBottom w:val="0"/>
      <w:divBdr>
        <w:top w:val="none" w:sz="0" w:space="0" w:color="auto"/>
        <w:left w:val="none" w:sz="0" w:space="0" w:color="auto"/>
        <w:bottom w:val="none" w:sz="0" w:space="0" w:color="auto"/>
        <w:right w:val="none" w:sz="0" w:space="0" w:color="auto"/>
      </w:divBdr>
    </w:div>
    <w:div w:id="80220011">
      <w:marLeft w:val="0"/>
      <w:marRight w:val="0"/>
      <w:marTop w:val="0"/>
      <w:marBottom w:val="0"/>
      <w:divBdr>
        <w:top w:val="none" w:sz="0" w:space="0" w:color="auto"/>
        <w:left w:val="none" w:sz="0" w:space="0" w:color="auto"/>
        <w:bottom w:val="none" w:sz="0" w:space="0" w:color="auto"/>
        <w:right w:val="none" w:sz="0" w:space="0" w:color="auto"/>
      </w:divBdr>
    </w:div>
    <w:div w:id="103427806">
      <w:marLeft w:val="0"/>
      <w:marRight w:val="0"/>
      <w:marTop w:val="0"/>
      <w:marBottom w:val="0"/>
      <w:divBdr>
        <w:top w:val="none" w:sz="0" w:space="0" w:color="auto"/>
        <w:left w:val="none" w:sz="0" w:space="0" w:color="auto"/>
        <w:bottom w:val="none" w:sz="0" w:space="0" w:color="auto"/>
        <w:right w:val="none" w:sz="0" w:space="0" w:color="auto"/>
      </w:divBdr>
    </w:div>
    <w:div w:id="189730329">
      <w:marLeft w:val="0"/>
      <w:marRight w:val="0"/>
      <w:marTop w:val="0"/>
      <w:marBottom w:val="0"/>
      <w:divBdr>
        <w:top w:val="none" w:sz="0" w:space="0" w:color="auto"/>
        <w:left w:val="none" w:sz="0" w:space="0" w:color="auto"/>
        <w:bottom w:val="none" w:sz="0" w:space="0" w:color="auto"/>
        <w:right w:val="none" w:sz="0" w:space="0" w:color="auto"/>
      </w:divBdr>
    </w:div>
    <w:div w:id="192964021">
      <w:marLeft w:val="0"/>
      <w:marRight w:val="0"/>
      <w:marTop w:val="0"/>
      <w:marBottom w:val="0"/>
      <w:divBdr>
        <w:top w:val="none" w:sz="0" w:space="0" w:color="auto"/>
        <w:left w:val="none" w:sz="0" w:space="0" w:color="auto"/>
        <w:bottom w:val="none" w:sz="0" w:space="0" w:color="auto"/>
        <w:right w:val="none" w:sz="0" w:space="0" w:color="auto"/>
      </w:divBdr>
    </w:div>
    <w:div w:id="193273110">
      <w:marLeft w:val="0"/>
      <w:marRight w:val="0"/>
      <w:marTop w:val="0"/>
      <w:marBottom w:val="0"/>
      <w:divBdr>
        <w:top w:val="none" w:sz="0" w:space="0" w:color="auto"/>
        <w:left w:val="none" w:sz="0" w:space="0" w:color="auto"/>
        <w:bottom w:val="none" w:sz="0" w:space="0" w:color="auto"/>
        <w:right w:val="none" w:sz="0" w:space="0" w:color="auto"/>
      </w:divBdr>
    </w:div>
    <w:div w:id="269053592">
      <w:marLeft w:val="0"/>
      <w:marRight w:val="0"/>
      <w:marTop w:val="0"/>
      <w:marBottom w:val="0"/>
      <w:divBdr>
        <w:top w:val="none" w:sz="0" w:space="0" w:color="auto"/>
        <w:left w:val="none" w:sz="0" w:space="0" w:color="auto"/>
        <w:bottom w:val="none" w:sz="0" w:space="0" w:color="auto"/>
        <w:right w:val="none" w:sz="0" w:space="0" w:color="auto"/>
      </w:divBdr>
    </w:div>
    <w:div w:id="279533481">
      <w:marLeft w:val="0"/>
      <w:marRight w:val="0"/>
      <w:marTop w:val="0"/>
      <w:marBottom w:val="0"/>
      <w:divBdr>
        <w:top w:val="none" w:sz="0" w:space="0" w:color="auto"/>
        <w:left w:val="none" w:sz="0" w:space="0" w:color="auto"/>
        <w:bottom w:val="none" w:sz="0" w:space="0" w:color="auto"/>
        <w:right w:val="none" w:sz="0" w:space="0" w:color="auto"/>
      </w:divBdr>
    </w:div>
    <w:div w:id="323247798">
      <w:marLeft w:val="0"/>
      <w:marRight w:val="0"/>
      <w:marTop w:val="0"/>
      <w:marBottom w:val="0"/>
      <w:divBdr>
        <w:top w:val="none" w:sz="0" w:space="0" w:color="auto"/>
        <w:left w:val="none" w:sz="0" w:space="0" w:color="auto"/>
        <w:bottom w:val="none" w:sz="0" w:space="0" w:color="auto"/>
        <w:right w:val="none" w:sz="0" w:space="0" w:color="auto"/>
      </w:divBdr>
    </w:div>
    <w:div w:id="331952557">
      <w:marLeft w:val="0"/>
      <w:marRight w:val="0"/>
      <w:marTop w:val="0"/>
      <w:marBottom w:val="0"/>
      <w:divBdr>
        <w:top w:val="none" w:sz="0" w:space="0" w:color="auto"/>
        <w:left w:val="none" w:sz="0" w:space="0" w:color="auto"/>
        <w:bottom w:val="none" w:sz="0" w:space="0" w:color="auto"/>
        <w:right w:val="none" w:sz="0" w:space="0" w:color="auto"/>
      </w:divBdr>
    </w:div>
    <w:div w:id="419103578">
      <w:marLeft w:val="0"/>
      <w:marRight w:val="0"/>
      <w:marTop w:val="0"/>
      <w:marBottom w:val="0"/>
      <w:divBdr>
        <w:top w:val="none" w:sz="0" w:space="0" w:color="auto"/>
        <w:left w:val="none" w:sz="0" w:space="0" w:color="auto"/>
        <w:bottom w:val="none" w:sz="0" w:space="0" w:color="auto"/>
        <w:right w:val="none" w:sz="0" w:space="0" w:color="auto"/>
      </w:divBdr>
    </w:div>
    <w:div w:id="501773759">
      <w:marLeft w:val="0"/>
      <w:marRight w:val="0"/>
      <w:marTop w:val="0"/>
      <w:marBottom w:val="0"/>
      <w:divBdr>
        <w:top w:val="none" w:sz="0" w:space="0" w:color="auto"/>
        <w:left w:val="none" w:sz="0" w:space="0" w:color="auto"/>
        <w:bottom w:val="none" w:sz="0" w:space="0" w:color="auto"/>
        <w:right w:val="none" w:sz="0" w:space="0" w:color="auto"/>
      </w:divBdr>
    </w:div>
    <w:div w:id="516848118">
      <w:marLeft w:val="0"/>
      <w:marRight w:val="0"/>
      <w:marTop w:val="0"/>
      <w:marBottom w:val="0"/>
      <w:divBdr>
        <w:top w:val="none" w:sz="0" w:space="0" w:color="auto"/>
        <w:left w:val="none" w:sz="0" w:space="0" w:color="auto"/>
        <w:bottom w:val="none" w:sz="0" w:space="0" w:color="auto"/>
        <w:right w:val="none" w:sz="0" w:space="0" w:color="auto"/>
      </w:divBdr>
    </w:div>
    <w:div w:id="714164241">
      <w:marLeft w:val="0"/>
      <w:marRight w:val="0"/>
      <w:marTop w:val="0"/>
      <w:marBottom w:val="0"/>
      <w:divBdr>
        <w:top w:val="none" w:sz="0" w:space="0" w:color="auto"/>
        <w:left w:val="none" w:sz="0" w:space="0" w:color="auto"/>
        <w:bottom w:val="none" w:sz="0" w:space="0" w:color="auto"/>
        <w:right w:val="none" w:sz="0" w:space="0" w:color="auto"/>
      </w:divBdr>
    </w:div>
    <w:div w:id="718551710">
      <w:marLeft w:val="0"/>
      <w:marRight w:val="0"/>
      <w:marTop w:val="0"/>
      <w:marBottom w:val="0"/>
      <w:divBdr>
        <w:top w:val="none" w:sz="0" w:space="0" w:color="auto"/>
        <w:left w:val="none" w:sz="0" w:space="0" w:color="auto"/>
        <w:bottom w:val="none" w:sz="0" w:space="0" w:color="auto"/>
        <w:right w:val="none" w:sz="0" w:space="0" w:color="auto"/>
      </w:divBdr>
    </w:div>
    <w:div w:id="796678474">
      <w:marLeft w:val="0"/>
      <w:marRight w:val="0"/>
      <w:marTop w:val="0"/>
      <w:marBottom w:val="0"/>
      <w:divBdr>
        <w:top w:val="none" w:sz="0" w:space="0" w:color="auto"/>
        <w:left w:val="none" w:sz="0" w:space="0" w:color="auto"/>
        <w:bottom w:val="none" w:sz="0" w:space="0" w:color="auto"/>
        <w:right w:val="none" w:sz="0" w:space="0" w:color="auto"/>
      </w:divBdr>
    </w:div>
    <w:div w:id="833178904">
      <w:marLeft w:val="0"/>
      <w:marRight w:val="0"/>
      <w:marTop w:val="0"/>
      <w:marBottom w:val="0"/>
      <w:divBdr>
        <w:top w:val="none" w:sz="0" w:space="0" w:color="auto"/>
        <w:left w:val="none" w:sz="0" w:space="0" w:color="auto"/>
        <w:bottom w:val="none" w:sz="0" w:space="0" w:color="auto"/>
        <w:right w:val="none" w:sz="0" w:space="0" w:color="auto"/>
      </w:divBdr>
    </w:div>
    <w:div w:id="899024325">
      <w:marLeft w:val="0"/>
      <w:marRight w:val="0"/>
      <w:marTop w:val="0"/>
      <w:marBottom w:val="0"/>
      <w:divBdr>
        <w:top w:val="none" w:sz="0" w:space="0" w:color="auto"/>
        <w:left w:val="none" w:sz="0" w:space="0" w:color="auto"/>
        <w:bottom w:val="none" w:sz="0" w:space="0" w:color="auto"/>
        <w:right w:val="none" w:sz="0" w:space="0" w:color="auto"/>
      </w:divBdr>
    </w:div>
    <w:div w:id="913471522">
      <w:marLeft w:val="0"/>
      <w:marRight w:val="0"/>
      <w:marTop w:val="0"/>
      <w:marBottom w:val="0"/>
      <w:divBdr>
        <w:top w:val="none" w:sz="0" w:space="0" w:color="auto"/>
        <w:left w:val="none" w:sz="0" w:space="0" w:color="auto"/>
        <w:bottom w:val="none" w:sz="0" w:space="0" w:color="auto"/>
        <w:right w:val="none" w:sz="0" w:space="0" w:color="auto"/>
      </w:divBdr>
    </w:div>
    <w:div w:id="929238598">
      <w:marLeft w:val="0"/>
      <w:marRight w:val="0"/>
      <w:marTop w:val="0"/>
      <w:marBottom w:val="0"/>
      <w:divBdr>
        <w:top w:val="none" w:sz="0" w:space="0" w:color="auto"/>
        <w:left w:val="none" w:sz="0" w:space="0" w:color="auto"/>
        <w:bottom w:val="none" w:sz="0" w:space="0" w:color="auto"/>
        <w:right w:val="none" w:sz="0" w:space="0" w:color="auto"/>
      </w:divBdr>
    </w:div>
    <w:div w:id="980383948">
      <w:marLeft w:val="0"/>
      <w:marRight w:val="0"/>
      <w:marTop w:val="0"/>
      <w:marBottom w:val="0"/>
      <w:divBdr>
        <w:top w:val="none" w:sz="0" w:space="0" w:color="auto"/>
        <w:left w:val="none" w:sz="0" w:space="0" w:color="auto"/>
        <w:bottom w:val="none" w:sz="0" w:space="0" w:color="auto"/>
        <w:right w:val="none" w:sz="0" w:space="0" w:color="auto"/>
      </w:divBdr>
    </w:div>
    <w:div w:id="1124730417">
      <w:marLeft w:val="0"/>
      <w:marRight w:val="0"/>
      <w:marTop w:val="0"/>
      <w:marBottom w:val="0"/>
      <w:divBdr>
        <w:top w:val="none" w:sz="0" w:space="0" w:color="auto"/>
        <w:left w:val="none" w:sz="0" w:space="0" w:color="auto"/>
        <w:bottom w:val="none" w:sz="0" w:space="0" w:color="auto"/>
        <w:right w:val="none" w:sz="0" w:space="0" w:color="auto"/>
      </w:divBdr>
    </w:div>
    <w:div w:id="1129862024">
      <w:marLeft w:val="0"/>
      <w:marRight w:val="0"/>
      <w:marTop w:val="0"/>
      <w:marBottom w:val="0"/>
      <w:divBdr>
        <w:top w:val="none" w:sz="0" w:space="0" w:color="auto"/>
        <w:left w:val="none" w:sz="0" w:space="0" w:color="auto"/>
        <w:bottom w:val="none" w:sz="0" w:space="0" w:color="auto"/>
        <w:right w:val="none" w:sz="0" w:space="0" w:color="auto"/>
      </w:divBdr>
    </w:div>
    <w:div w:id="1180313715">
      <w:marLeft w:val="0"/>
      <w:marRight w:val="0"/>
      <w:marTop w:val="0"/>
      <w:marBottom w:val="0"/>
      <w:divBdr>
        <w:top w:val="none" w:sz="0" w:space="0" w:color="auto"/>
        <w:left w:val="none" w:sz="0" w:space="0" w:color="auto"/>
        <w:bottom w:val="none" w:sz="0" w:space="0" w:color="auto"/>
        <w:right w:val="none" w:sz="0" w:space="0" w:color="auto"/>
      </w:divBdr>
    </w:div>
    <w:div w:id="1204901316">
      <w:marLeft w:val="0"/>
      <w:marRight w:val="0"/>
      <w:marTop w:val="0"/>
      <w:marBottom w:val="0"/>
      <w:divBdr>
        <w:top w:val="none" w:sz="0" w:space="0" w:color="auto"/>
        <w:left w:val="none" w:sz="0" w:space="0" w:color="auto"/>
        <w:bottom w:val="none" w:sz="0" w:space="0" w:color="auto"/>
        <w:right w:val="none" w:sz="0" w:space="0" w:color="auto"/>
      </w:divBdr>
    </w:div>
    <w:div w:id="1220096767">
      <w:marLeft w:val="0"/>
      <w:marRight w:val="0"/>
      <w:marTop w:val="0"/>
      <w:marBottom w:val="0"/>
      <w:divBdr>
        <w:top w:val="none" w:sz="0" w:space="0" w:color="auto"/>
        <w:left w:val="none" w:sz="0" w:space="0" w:color="auto"/>
        <w:bottom w:val="none" w:sz="0" w:space="0" w:color="auto"/>
        <w:right w:val="none" w:sz="0" w:space="0" w:color="auto"/>
      </w:divBdr>
    </w:div>
    <w:div w:id="1315447131">
      <w:marLeft w:val="0"/>
      <w:marRight w:val="0"/>
      <w:marTop w:val="0"/>
      <w:marBottom w:val="0"/>
      <w:divBdr>
        <w:top w:val="none" w:sz="0" w:space="0" w:color="auto"/>
        <w:left w:val="none" w:sz="0" w:space="0" w:color="auto"/>
        <w:bottom w:val="none" w:sz="0" w:space="0" w:color="auto"/>
        <w:right w:val="none" w:sz="0" w:space="0" w:color="auto"/>
      </w:divBdr>
    </w:div>
    <w:div w:id="1383796311">
      <w:marLeft w:val="0"/>
      <w:marRight w:val="0"/>
      <w:marTop w:val="0"/>
      <w:marBottom w:val="0"/>
      <w:divBdr>
        <w:top w:val="none" w:sz="0" w:space="0" w:color="auto"/>
        <w:left w:val="none" w:sz="0" w:space="0" w:color="auto"/>
        <w:bottom w:val="none" w:sz="0" w:space="0" w:color="auto"/>
        <w:right w:val="none" w:sz="0" w:space="0" w:color="auto"/>
      </w:divBdr>
    </w:div>
    <w:div w:id="1583371659">
      <w:marLeft w:val="0"/>
      <w:marRight w:val="0"/>
      <w:marTop w:val="0"/>
      <w:marBottom w:val="0"/>
      <w:divBdr>
        <w:top w:val="none" w:sz="0" w:space="0" w:color="auto"/>
        <w:left w:val="none" w:sz="0" w:space="0" w:color="auto"/>
        <w:bottom w:val="none" w:sz="0" w:space="0" w:color="auto"/>
        <w:right w:val="none" w:sz="0" w:space="0" w:color="auto"/>
      </w:divBdr>
    </w:div>
    <w:div w:id="1597711006">
      <w:marLeft w:val="0"/>
      <w:marRight w:val="0"/>
      <w:marTop w:val="0"/>
      <w:marBottom w:val="0"/>
      <w:divBdr>
        <w:top w:val="none" w:sz="0" w:space="0" w:color="auto"/>
        <w:left w:val="none" w:sz="0" w:space="0" w:color="auto"/>
        <w:bottom w:val="none" w:sz="0" w:space="0" w:color="auto"/>
        <w:right w:val="none" w:sz="0" w:space="0" w:color="auto"/>
      </w:divBdr>
    </w:div>
    <w:div w:id="1657033407">
      <w:marLeft w:val="0"/>
      <w:marRight w:val="0"/>
      <w:marTop w:val="0"/>
      <w:marBottom w:val="0"/>
      <w:divBdr>
        <w:top w:val="none" w:sz="0" w:space="0" w:color="auto"/>
        <w:left w:val="none" w:sz="0" w:space="0" w:color="auto"/>
        <w:bottom w:val="none" w:sz="0" w:space="0" w:color="auto"/>
        <w:right w:val="none" w:sz="0" w:space="0" w:color="auto"/>
      </w:divBdr>
    </w:div>
    <w:div w:id="1787263091">
      <w:marLeft w:val="0"/>
      <w:marRight w:val="0"/>
      <w:marTop w:val="0"/>
      <w:marBottom w:val="0"/>
      <w:divBdr>
        <w:top w:val="none" w:sz="0" w:space="0" w:color="auto"/>
        <w:left w:val="none" w:sz="0" w:space="0" w:color="auto"/>
        <w:bottom w:val="none" w:sz="0" w:space="0" w:color="auto"/>
        <w:right w:val="none" w:sz="0" w:space="0" w:color="auto"/>
      </w:divBdr>
    </w:div>
    <w:div w:id="1787386309">
      <w:marLeft w:val="0"/>
      <w:marRight w:val="0"/>
      <w:marTop w:val="0"/>
      <w:marBottom w:val="0"/>
      <w:divBdr>
        <w:top w:val="none" w:sz="0" w:space="0" w:color="auto"/>
        <w:left w:val="none" w:sz="0" w:space="0" w:color="auto"/>
        <w:bottom w:val="none" w:sz="0" w:space="0" w:color="auto"/>
        <w:right w:val="none" w:sz="0" w:space="0" w:color="auto"/>
      </w:divBdr>
    </w:div>
    <w:div w:id="1789933469">
      <w:marLeft w:val="0"/>
      <w:marRight w:val="0"/>
      <w:marTop w:val="0"/>
      <w:marBottom w:val="0"/>
      <w:divBdr>
        <w:top w:val="none" w:sz="0" w:space="0" w:color="auto"/>
        <w:left w:val="none" w:sz="0" w:space="0" w:color="auto"/>
        <w:bottom w:val="none" w:sz="0" w:space="0" w:color="auto"/>
        <w:right w:val="none" w:sz="0" w:space="0" w:color="auto"/>
      </w:divBdr>
    </w:div>
    <w:div w:id="1803764997">
      <w:marLeft w:val="0"/>
      <w:marRight w:val="0"/>
      <w:marTop w:val="0"/>
      <w:marBottom w:val="0"/>
      <w:divBdr>
        <w:top w:val="none" w:sz="0" w:space="0" w:color="auto"/>
        <w:left w:val="none" w:sz="0" w:space="0" w:color="auto"/>
        <w:bottom w:val="none" w:sz="0" w:space="0" w:color="auto"/>
        <w:right w:val="none" w:sz="0" w:space="0" w:color="auto"/>
      </w:divBdr>
    </w:div>
    <w:div w:id="1827084696">
      <w:marLeft w:val="0"/>
      <w:marRight w:val="0"/>
      <w:marTop w:val="0"/>
      <w:marBottom w:val="0"/>
      <w:divBdr>
        <w:top w:val="none" w:sz="0" w:space="0" w:color="auto"/>
        <w:left w:val="none" w:sz="0" w:space="0" w:color="auto"/>
        <w:bottom w:val="none" w:sz="0" w:space="0" w:color="auto"/>
        <w:right w:val="none" w:sz="0" w:space="0" w:color="auto"/>
      </w:divBdr>
    </w:div>
    <w:div w:id="1867982368">
      <w:marLeft w:val="0"/>
      <w:marRight w:val="0"/>
      <w:marTop w:val="0"/>
      <w:marBottom w:val="0"/>
      <w:divBdr>
        <w:top w:val="none" w:sz="0" w:space="0" w:color="auto"/>
        <w:left w:val="none" w:sz="0" w:space="0" w:color="auto"/>
        <w:bottom w:val="none" w:sz="0" w:space="0" w:color="auto"/>
        <w:right w:val="none" w:sz="0" w:space="0" w:color="auto"/>
      </w:divBdr>
    </w:div>
    <w:div w:id="1904094181">
      <w:marLeft w:val="0"/>
      <w:marRight w:val="0"/>
      <w:marTop w:val="0"/>
      <w:marBottom w:val="0"/>
      <w:divBdr>
        <w:top w:val="none" w:sz="0" w:space="0" w:color="auto"/>
        <w:left w:val="none" w:sz="0" w:space="0" w:color="auto"/>
        <w:bottom w:val="none" w:sz="0" w:space="0" w:color="auto"/>
        <w:right w:val="none" w:sz="0" w:space="0" w:color="auto"/>
      </w:divBdr>
    </w:div>
    <w:div w:id="1908610765">
      <w:marLeft w:val="0"/>
      <w:marRight w:val="0"/>
      <w:marTop w:val="0"/>
      <w:marBottom w:val="0"/>
      <w:divBdr>
        <w:top w:val="none" w:sz="0" w:space="0" w:color="auto"/>
        <w:left w:val="none" w:sz="0" w:space="0" w:color="auto"/>
        <w:bottom w:val="none" w:sz="0" w:space="0" w:color="auto"/>
        <w:right w:val="none" w:sz="0" w:space="0" w:color="auto"/>
      </w:divBdr>
    </w:div>
    <w:div w:id="1912036780">
      <w:marLeft w:val="0"/>
      <w:marRight w:val="0"/>
      <w:marTop w:val="0"/>
      <w:marBottom w:val="0"/>
      <w:divBdr>
        <w:top w:val="none" w:sz="0" w:space="0" w:color="auto"/>
        <w:left w:val="none" w:sz="0" w:space="0" w:color="auto"/>
        <w:bottom w:val="none" w:sz="0" w:space="0" w:color="auto"/>
        <w:right w:val="none" w:sz="0" w:space="0" w:color="auto"/>
      </w:divBdr>
    </w:div>
    <w:div w:id="1952201156">
      <w:marLeft w:val="0"/>
      <w:marRight w:val="0"/>
      <w:marTop w:val="0"/>
      <w:marBottom w:val="0"/>
      <w:divBdr>
        <w:top w:val="none" w:sz="0" w:space="0" w:color="auto"/>
        <w:left w:val="none" w:sz="0" w:space="0" w:color="auto"/>
        <w:bottom w:val="none" w:sz="0" w:space="0" w:color="auto"/>
        <w:right w:val="none" w:sz="0" w:space="0" w:color="auto"/>
      </w:divBdr>
    </w:div>
    <w:div w:id="1971469176">
      <w:marLeft w:val="0"/>
      <w:marRight w:val="0"/>
      <w:marTop w:val="0"/>
      <w:marBottom w:val="0"/>
      <w:divBdr>
        <w:top w:val="none" w:sz="0" w:space="0" w:color="auto"/>
        <w:left w:val="none" w:sz="0" w:space="0" w:color="auto"/>
        <w:bottom w:val="none" w:sz="0" w:space="0" w:color="auto"/>
        <w:right w:val="none" w:sz="0" w:space="0" w:color="auto"/>
      </w:divBdr>
    </w:div>
    <w:div w:id="1990744457">
      <w:marLeft w:val="0"/>
      <w:marRight w:val="0"/>
      <w:marTop w:val="0"/>
      <w:marBottom w:val="0"/>
      <w:divBdr>
        <w:top w:val="none" w:sz="0" w:space="0" w:color="auto"/>
        <w:left w:val="none" w:sz="0" w:space="0" w:color="auto"/>
        <w:bottom w:val="none" w:sz="0" w:space="0" w:color="auto"/>
        <w:right w:val="none" w:sz="0" w:space="0" w:color="auto"/>
      </w:divBdr>
    </w:div>
    <w:div w:id="211362751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3355</Words>
  <Characters>19127</Characters>
  <Application>Microsoft Office Word</Application>
  <DocSecurity>0</DocSecurity>
  <Lines>159</Lines>
  <Paragraphs>44</Paragraphs>
  <ScaleCrop>false</ScaleCrop>
  <Company/>
  <LinksUpToDate>false</LinksUpToDate>
  <CharactersWithSpaces>22438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2026-09-19T13:40:00Z</dcterms:created>
  <dcterms:modified xsi:type="dcterms:W3CDTF">2026-09-19T13:40:00Z</dcterms:modified>
</cp:coreProperties>
</file>