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Statement of Advice</w:t>
      </w:r>
    </w:p>
    <w:p>
      <w:pPr>
        <w:pStyle w:val="Subtitle"/>
      </w:pPr>
      <w:r>
        <w:t xml:space="preserve">Prepared for Alex and Sam Example</w:t>
      </w:r>
    </w:p>
    <w:p>
      <w:pPr>
        <w:pStyle w:val="Heading1"/>
      </w:pPr>
      <w:r>
        <w:t xml:space="preserve">1. Executive summary</w:t>
      </w:r>
    </w:p>
    <w:p>
      <w:pPr>
        <w:pStyle w:val="BodyText"/>
      </w:pPr>
      <w:r>
        <w:t xml:space="preserve">This sample text shows the body style. The converter replaces the template body with generated content and keeps the styles, page setup, headers and footers.</w:t>
      </w:r>
    </w:p>
    <w:p>
      <w:pPr>
        <w:pStyle w:val="Heading2"/>
      </w:pPr>
      <w:r>
        <w:t xml:space="preserve">Your goals</w:t>
      </w:r>
    </w:p>
    <w:p>
      <w:pPr>
        <w:pStyle w:val="BodyText"/>
      </w:pPr>
      <w:r>
        <w:t xml:space="preserve">Retire at 63 with an income of $80,000 a year in today’s dollars.</w:t>
      </w:r>
    </w:p>
    <w:p>
      <w:pPr>
        <w:pStyle w:val="Heading3"/>
      </w:pPr>
      <w:r>
        <w:t xml:space="preserve">Cash flow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w="3008" w:type="dxa"/>
          </w:tcPr>
          <w:p>
            <w:r>
              <w:t xml:space="preserve">Product</w:t>
            </w:r>
          </w:p>
        </w:tc>
        <w:tc>
          <w:tcPr>
            <w:tcW w:w="3008" w:type="dxa"/>
          </w:tcPr>
          <w:p>
            <w:r>
              <w:t xml:space="preserve">Current</w:t>
            </w:r>
          </w:p>
        </w:tc>
        <w:tc>
          <w:tcPr>
            <w:tcW w:w="3008" w:type="dxa"/>
          </w:tcPr>
          <w:p>
            <w:r>
              <w:t xml:space="preserve">Recommended</w:t>
            </w:r>
          </w:p>
        </w:tc>
      </w:tr>
      <w:tr>
        <w:tc>
          <w:tcPr>
            <w:tcW w:w="3008" w:type="dxa"/>
          </w:tcPr>
          <w:p>
            <w:r>
              <w:t xml:space="preserve">Superannuation</w:t>
            </w:r>
          </w:p>
        </w:tc>
        <w:tc>
          <w:tcPr>
            <w:tcW w:w="3008" w:type="dxa"/>
          </w:tcPr>
          <w:p>
            <w:r>
              <w:t xml:space="preserve">$412,000</w:t>
            </w:r>
          </w:p>
        </w:tc>
        <w:tc>
          <w:tcPr>
            <w:tcW w:w="3008" w:type="dxa"/>
          </w:tcPr>
          <w:p>
            <w:r>
              <w:t xml:space="preserve">$412,000</w:t>
            </w:r>
          </w:p>
        </w:tc>
      </w:tr>
      <w:tr>
        <w:tc>
          <w:tcPr>
            <w:tcW w:w="3008" w:type="dxa"/>
          </w:tcPr>
          <w:p>
            <w:r>
              <w:t xml:space="preserve">Account-based pension</w:t>
            </w:r>
          </w:p>
        </w:tc>
        <w:tc>
          <w:tcPr>
            <w:tcW w:w="3008" w:type="dxa"/>
          </w:tcPr>
          <w:p>
            <w:r>
              <w:t xml:space="preserve">Nil</w:t>
            </w:r>
          </w:p>
        </w:tc>
        <w:tc>
          <w:tcPr>
            <w:tcW w:w="3008" w:type="dxa"/>
          </w:tcPr>
          <w:p>
            <w:r>
              <w:t xml:space="preserve">$250,000</w:t>
            </w:r>
          </w:p>
        </w:tc>
      </w:tr>
      <w:tr>
        <w:tc>
          <w:tcPr>
            <w:tcW w:w="3008" w:type="dxa"/>
          </w:tcPr>
          <w:p>
            <w:r>
              <w:t xml:space="preserve">Cash buffer</w:t>
            </w:r>
          </w:p>
        </w:tc>
        <w:tc>
          <w:tcPr>
            <w:tcW w:w="3008" w:type="dxa"/>
          </w:tcPr>
          <w:p>
            <w:r>
              <w:t xml:space="preserve">$18,000</w:t>
            </w:r>
          </w:p>
        </w:tc>
        <w:tc>
          <w:tcPr>
            <w:tcW w:w="3008" w:type="dxa"/>
          </w:tcPr>
          <w:p>
            <w:r>
              <w:t xml:space="preserve">$60,000</w:t>
            </w:r>
          </w:p>
        </w:tc>
      </w:tr>
    </w:tbl>
    <w:p>
      <w:pPr>
        <w:pStyle w:val="BodyText"/>
      </w:pP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AU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cs="Calibri" w:eastAsia="Calibri"/>
        <w:sz w:val="22"/>
        <w:szCs w:val="22"/>
        <w:lang w:val="en-AU" w:eastAsia="en-US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  <w:rPr>
      <w:rFonts w:ascii="Calibri" w:hAnsi="Calibri" w:cs="Calibri" w:eastAsia="Calibri"/>
      <w:sz w:val="22"/>
      <w:szCs w:val="22"/>
    </w:rPr>
  </w:style>
  <w:style w:type="paragraph" w:styleId="Heading1">
    <w:name w:val="heading 1"/>
    <w:basedOn w:val="Normal"/>
    <w:next w:val="BodyText"/>
    <w:qFormat/>
    <w:pPr>
      <w:keepNext/>
      <w:keepLines/>
      <w:spacing w:before="360" w:after="120" w:line="259" w:lineRule="auto"/>
      <w:outlineLvl w:val="0"/>
    </w:pPr>
    <w:rPr>
      <w:rFonts w:ascii="Calibri" w:hAnsi="Calibri" w:cs="Calibri" w:eastAsia="Calibri"/>
      <w:b/>
      <w:color w:val="2F5496"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80" w:line="259" w:lineRule="auto"/>
      <w:outlineLvl w:val="1"/>
    </w:pPr>
    <w:rPr>
      <w:rFonts w:ascii="Calibri" w:hAnsi="Calibri" w:cs="Calibri" w:eastAsia="Calibri"/>
      <w:b/>
      <w:color w:val="2F5496"/>
      <w:sz w:val="26"/>
      <w:szCs w:val="26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60" w:line="259" w:lineRule="auto"/>
      <w:outlineLvl w:val="2"/>
    </w:pPr>
    <w:rPr>
      <w:rFonts w:ascii="Calibri" w:hAnsi="Calibri" w:cs="Calibri" w:eastAsia="Calibri"/>
      <w:b/>
      <w:i/>
      <w:color w:val="2F5496"/>
      <w:sz w:val="23"/>
      <w:szCs w:val="23"/>
    </w:rPr>
  </w:style>
  <w:style w:type="paragraph" w:styleId="Title">
    <w:name w:val="Title"/>
    <w:basedOn w:val="Normal"/>
    <w:next w:val="Normal"/>
    <w:qFormat/>
    <w:pPr>
      <w:spacing w:before="0" w:after="120" w:line="240" w:lineRule="auto"/>
    </w:pPr>
    <w:rPr>
      <w:rFonts w:ascii="Calibri" w:hAnsi="Calibri" w:cs="Calibri" w:eastAsia="Calibri"/>
      <w:color w:val="2F5496"/>
      <w:kern w:val="28"/>
      <w:sz w:val="52"/>
      <w:szCs w:val="52"/>
    </w:rPr>
  </w:style>
  <w:style w:type="paragraph" w:styleId="Subtitle">
    <w:name w:val="Subtitle"/>
    <w:basedOn w:val="Normal"/>
    <w:next w:val="Normal"/>
    <w:qFormat/>
    <w:rPr>
      <w:rFonts w:ascii="Calibri" w:hAnsi="Calibri" w:cs="Calibri" w:eastAsia="Calibri"/>
      <w:color w:val="7F7F7F"/>
      <w:spacing w:val="15"/>
      <w:sz w:val="28"/>
      <w:szCs w:val="28"/>
    </w:rPr>
  </w:style>
  <w:style w:type="paragraph" w:styleId="BodyText">
    <w:name w:val="Body Text"/>
    <w:basedOn w:val="Normal"/>
    <w:qFormat/>
    <w:pPr>
      <w:spacing w:before="0" w:after="120" w:line="259" w:lineRule="auto"/>
    </w:pPr>
  </w:style>
  <w:style w:type="paragraph" w:styleId="Header">
    <w:name w:val="header"/>
    <w:basedOn w:val="Normal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513"/>
        <w:tab w:val="right" w:pos="9026"/>
      </w:tabs>
      <w:spacing w:after="0" w:line="240" w:lineRule="auto"/>
    </w:pPr>
    <w:rPr>
      <w:color w:val="595959"/>
      <w:sz w:val="16"/>
      <w:szCs w:val="16"/>
    </w:rPr>
  </w:style>
  <w:style w:type="table" w:styleId="GridTable4-Accent1">
    <w:name w:val="Grid Table 4 Accent 1"/>
    <w:basedOn w:val="TableNormal"/>
    <w:qFormat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color w:val="FFFFFF"/>
      </w:rPr>
      <w:tblPr/>
      <w:tcPr>
        <w:shd w:val="clear" w:color="auto" w:fill="4472C4"/>
      </w:tcPr>
    </w:tblStylePr>
    <w:tblStylePr w:type="band1Horz">
      <w:tblPr/>
      <w:tcPr>
        <w:shd w:val="clear" w:color="auto" w:fill="D9E2F3"/>
      </w:tcPr>
    </w:tblStylePr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Built-in table style only</dc:title>
  <dc:creator>Synthetic template fixture</dc:creator>
  <dcterms:created xsi:type="dcterms:W3CDTF">2026-10-20T00:00:00Z</dcterms:created>
</cp:coreProperties>
</file>