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FirstParagraph"/>
      </w:pPr>
      <w:r>
        <w:t>Sample body paragraph, long enough to read as the prose of a real advice document rather than a label or a heading.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p>
      <w:pPr>
        <w:pStyle w:val="Heading2"/>
      </w:pPr>
      <w:r>
        <w:t>Sample heading two</w:t>
      </w:r>
    </w:p>
    <w:p>
      <w:pPr>
        <w:pStyle w:val="FirstParagraph"/>
      </w:pPr>
      <w:r>
        <w:t>Sample body paragraph, long enough to read as the prose of a real advice document rather than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2F5496"/>
      <w:sz w:val="28"/>
    </w:rPr>
  </w:style>
  <w:style w:type="paragraph" w:styleId="BodyText">
    <w:name w:val="Body Text"/>
    <w:basedOn w:val="Normal"/>
    <w:qFormat/>
    <w:pPr>
      <w:spacing w:before="20" w:after="100"/>
    </w:pPr>
    <w:rPr>
      <w:rFonts w:ascii="Arial" w:hAnsi="Arial"/>
      <w:sz w:val="20"/>
      <w:szCs w:val="20"/>
    </w:rPr>
  </w:style>
  <w:style w:type="paragraph" w:styleId="FirstParagraph">
    <w:name w:val="First Paragraph"/>
    <w:basedOn w:val="BodyText"/>
    <w:next w:val="BodyText"/>
    <w:qFormat/>
    <w:pPr>
      <w:spacing w:before="240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