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heading one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pPr>
        <w:pStyle w:val="ListParagraph"/>
        <w:numPr>
          <w:ilvl w:val="0"/>
          <w:numId w:val="1"/>
        </w:numPr>
      </w:pPr>
      <w:r>
        <w:t xml:space="preserve">A bullet point in the template, as the practice writes them.</w:t>
      </w:r>
    </w:p>
    <w:p>
      <w:pPr>
        <w:pStyle w:val="ListParagraph"/>
        <w:numPr>
          <w:ilvl w:val="0"/>
          <w:numId w:val="1"/>
        </w:numPr>
      </w:pPr>
      <w:r>
        <w:t xml:space="preserve">Another bullet point in the template, in the same style.</w:t>
      </w:r>
    </w:p>
    <w:p>
      <w:pPr>
        <w:pStyle w:val="Heading2"/>
      </w:pPr>
      <w:r>
        <w:t xml:space="preserve">Sample heading two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p>
      <w:pPr>
        <w:pStyle w:val="Heading3"/>
      </w:pPr>
      <w:r>
        <w:t xml:space="preserve">Sample heading three</w:t>
      </w:r>
    </w:p>
    <w:p>
      <w:r>
        <w:t xml:space="preserve">Sample body paragraph written the way an adviser writes the body of a real advice document, long enough that nobody would mistake it for a letterhead line,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/>
        <w:sz w:val="22"/>
        <w:szCs w:val="22"/>
      </w:rPr>
    </w:rPrDefault>
    <w:pPrDefault>
      <w:pPr>
        <w:spacing w:after="160"/>
      </w:pPr>
    </w:pPrDefault>
  </w:docDefaults>
  <w:style w:type="paragraph" w:default="1" w:styleId="Normal">
    <w:name w:val="Normal"/>
    <w:qFormat/>
    <w:rPr>
      <w:rFonts w:ascii="Arial" w:hAnsi="Arial" w:cs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color w:val="1F3A5F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color w:val="1F3A5F"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color w:val="1F3A5F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Theme="majorHAnsi" w:hAnsiTheme="majorHAnsi" w:cstheme="majorBidi"/>
      <w:i/>
      <w:color w:val="2F549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  <w:rPr>
      <w:rFonts w:asciiTheme="minorHAnsi" w:hAnsiTheme="minorHAns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