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SolarWash — מדריך חיבור ממירים לממשק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rtl/>
        </w:rPr>
        <w:t xml:space="preserve">מדריך הפעלה לאופרטור: חיבור ממיר בודד או מספר ממירים למערכת SolarWash, קבלת נתוני AC ונתוני DC פר-סטרינג, והפעלת ניטור ה-PR וזיהוי הזיהום.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עיקרון מנחה: Modbus מקומי (SunSpec) הוא הנתיב המועדף — ללא מגבלות קצב, זמן-אמת אמיתי ורזולוציה פר-סטרינג. ממשקי ענן משמשים כגיבוי כשאין גישת רשת מקומית.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מה מזינים בקונסול האופרטור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מותג (slug) — מזהה הממיר מתוך קטלוג האדפטרים.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host — כתובת ה-IP של הממיר / הדאטה-לוגר / ה-SCADA.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port — פורט החיבור (Modbus TCP בדרך כלל 502, אצל SolarEdge 1502).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unitId — מזהה ה-slave של הממיר.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access — דגלי גישה: hasLan · hasModbus · hasLocalHttp · hasCloudCreds.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לאחר ההזנה לחצו 'בדיקת חיבור' (Test) — תקין כאשר מתקבל PR מערכתי ונתוני סטרינג.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דרישות מקדימות כלליות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הממיר/הדאטה-לוגר מחובר לאותה רשת מקומית של אספן ה-SolarWash (או נגיש אליו).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כתובת IP קבועה לממיר (הזמנת DHCP בנתב או IP סטטי).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הפעלת ממשק הנתונים על הממיר (Modbus TCP / API מקומי) לפי המותג.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פתיחת הפורט הרלוונטי בחומת האש אל האספן.</w:t>
      </w:r>
    </w:p>
    <w:p>
      <w:pPr>
        <w:pStyle w:val="ListParagraph"/>
        <w:numPr>
          <w:ilvl w:val="0"/>
          <w:numId w:val="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אימות נגישות רשת (ping / טלנט לפורט) לפני 'בדיקת חיבור'.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טבלת ייחוס מהירה</w:t>
      </w:r>
    </w:p>
    <w:tbl>
      <w:tblPr>
        <w:bidiVisual/>
        <w:tblW w:type="dxa" w:w="936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2300"/>
        <w:gridCol w:w="4200"/>
        <w:gridCol w:w="1300"/>
        <w:gridCol w:w="1560"/>
      </w:tblGrid>
      <w:tr>
        <w:trPr>
          <w:tblHeader/>
        </w:trP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מותג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טרנספורט מועדף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פורט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0A1F3C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/>
                <w:bCs/>
                <w:color w:val="FFFFFF"/>
                <w:sz w:val="18"/>
                <w:szCs w:val="18"/>
                <w:rtl/>
              </w:rPr>
              <w:t xml:space="preserve">unitId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SolarEdge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Modbus TCP מקומי (מועדף) · API ענן לנתוני פאנל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126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Huawei (SUN2000 / FusionSolar)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Modbus TCP דרך SmartLogger / SDongle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לכל ממיר תחת ה-Logger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Sungrow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Modbus TCP דרך WiNet-S / Logger1000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Fronius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Solar API מקומי (HTTP) + SunSpec Modbus TCP — הכי פתוח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80 (HTTP) / 502 (Modbus)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SMA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Modbus TCP (Speedwire / SunSpec)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3 (תלוי דגם)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GoodWe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Modbus מקומי (מועדף) · SEMS API בענן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247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Solis (Ginlong)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SolisCloud API · Modbus דרך דאטה-לוגר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Growatt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Modbus דרך דאטה-לוגר (מועדף) · OpenAPI לא-יציב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1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Enphase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IQ Gateway מקומי (Envoy) · Enlighten Partner API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443 (מקומי)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—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ממירים מרכזיים (Utility)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Modbus TCP / IEC 61850 דרך SCADA המתקן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502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EAF0F8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לפי בלוק/קומבינר</w:t>
            </w:r>
          </w:p>
        </w:tc>
      </w:tr>
      <w:tr>
        <w:tc>
          <w:tcPr>
            <w:tcW w:type="dxa" w:w="2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ממיר ללא תקשורת (Closed)</w:t>
            </w:r>
          </w:p>
        </w:tc>
        <w:tc>
          <w:tcPr>
            <w:tcW w:type="dxa" w:w="42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אין ממשק — נדרשת תוספת חומרה</w:t>
            </w:r>
          </w:p>
        </w:tc>
        <w:tc>
          <w:tcPr>
            <w:tcW w:type="dxa" w:w="130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—</w:t>
            </w:r>
          </w:p>
        </w:tc>
        <w:tc>
          <w:tcPr>
            <w:tcW w:type="dxa" w:w="1560"/>
            <w:tcBorders>
              <w:top w:val="single" w:color="CCCCCC" w:sz="1"/>
              <w:left w:val="single" w:color="CCCCCC" w:sz="1"/>
              <w:bottom w:val="single" w:color="CCCCCC" w:sz="1"/>
              <w:right w:val="single" w:color="CCCCCC" w:sz="1"/>
            </w:tcBorders>
            <w:shd w:fill="FFFFFF" w:val="clear"/>
            <w:tcMar>
              <w:top w:type="dxa" w:w="60"/>
              <w:left w:type="dxa" w:w="100"/>
              <w:bottom w:type="dxa" w:w="60"/>
              <w:right w:type="dxa" w:w="100"/>
            </w:tcMar>
            <w:vAlign w:val="center"/>
          </w:tcPr>
          <w:p>
            <w:pPr>
              <w:bidi/>
              <w:jc w:val="right"/>
            </w:pPr>
            <w:r>
              <w:rPr>
                <w:rFonts w:ascii="Arial" w:cs="Arial" w:eastAsia="Arial" w:hAnsi="Arial"/>
                <w:b w:val="false"/>
                <w:bCs w:val="false"/>
                <w:color w:val="000000"/>
                <w:sz w:val="18"/>
                <w:szCs w:val="18"/>
                <w:rtl/>
              </w:rPr>
              <w:t xml:space="preserve">—</w:t>
            </w:r>
          </w:p>
        </w:tc>
      </w:tr>
    </w:tbl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חיבור שלב-אחר-שלב לכל ממיר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1. SolarEdge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Modbus TCP מקומי (מועדף) · API ענן לנתוני פאנל · פורט: 1502 · unitId: 126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ודאו שהממיר מחובר לרשת המקומית (Ethernet מומלץ) ושמורה לו כתובת IP קבועה בנתב.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באפליקציית SetApp: Site Communication ← Modbus TCP ← הפעלה (Enable), פורט 1502.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שימו לב: SolarEdge מאפשר חיבור Modbus TCP יחיד בלבד בו-זמנית — אם הניטור הענני תפוס, ייתכן שיהיה צורך לשחרר אותו.</w:t>
      </w:r>
    </w:p>
    <w:p>
      <w:pPr>
        <w:pStyle w:val="ListParagraph"/>
        <w:numPr>
          <w:ilvl w:val="0"/>
          <w:numId w:val="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לנתוני רמת-פאנל (אופטימייזרים): הנפיקו מפתח API במערכת הניטור (Monitoring) עבור האתר.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solaredge · host: כתובת ה-IP · port: 1502 · unitId: 126 · access: hasLan + hasModbus. לנתוני פאנל הוסיפו hasCloudCreds + מפתח ה-API.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ה-API הענני מוגבל-קצב; נתוני הפאנל מגיעים ממנו ולא מ-Modbus. עבור PR פר-פאנל זהו המקור.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2. Huawei (SUN2000 / FusionSolar)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Modbus TCP דרך SmartLogger / SDongle · פורט: 502 · unitId: לכל ממיר תחת ה-Logger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ודאו נוכחות SmartLogger3000 או SDongle-A ברשת המקומית.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בממשק ה-SmartLogger: Settings ← Communication ← Modbus TCP ← Enable.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רשמו את כתובת ה-IP של ה-Logger ואת מזהי הממירים (slave id).</w:t>
      </w:r>
    </w:p>
    <w:p>
      <w:pPr>
        <w:pStyle w:val="ListParagraph"/>
        <w:numPr>
          <w:ilvl w:val="0"/>
          <w:numId w:val="5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חלופת ענן: צרו משתמש Northbound ב-FusionSolar (כולל systemCode) — שימו לב למכסות המחמירות.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huawei · host: IP של ה-SmartLogger · port: 502 · unitId: מזהה הממיר · access: hasLan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מומלץ Modbus מקומי לזמן-אמת; ה-API הענני מתאים לסנכרון יומי בלבד (מכסה לצד שלישי).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3. Sungrow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Modbus TCP דרך WiNet-S / Logger1000 · פורט: 502 · unitId: 1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חברו את ה-WiNet-S (ביתי) או Logger1000 (שדה) לרשת המקומית.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בממשק המכשיר הפעילו Modbus TCP והגדירו פורט 502.</w:t>
      </w:r>
    </w:p>
    <w:p>
      <w:pPr>
        <w:pStyle w:val="ListParagraph"/>
        <w:numPr>
          <w:ilvl w:val="0"/>
          <w:numId w:val="6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חלופת ענן: רישום ב-iSolarCloud OpenAPI (appkey + OAuth2), עדכון כל ~5 דקות.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sungrow · host: IP · port: 502 · unitId: 1 · access: hasLan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ה-OAuth של iSolarCloud לא-סטנדרטי; Modbus המקומי יציב יותר.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4. Fronius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Solar API מקומי (HTTP) + SunSpec Modbus TCP — הכי פתוח · פורט: 80 (HTTP) / 502 (Modbus) · unitId: 1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ודאו את הממיר ברשת עם IP קבוע.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בממשק ה-Datamanager/ה-ממיר: Settings ← Modbus ← הפעילו 'Modbus TCP' (slave).</w:t>
      </w:r>
    </w:p>
    <w:p>
      <w:pPr>
        <w:pStyle w:val="ListParagraph"/>
        <w:numPr>
          <w:ilvl w:val="0"/>
          <w:numId w:val="7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ה-Solar API (JSON) פעיל כברירת מחדל וללא הזדהות: /solar_api/v1/GetInverterRealtimeData.cgi.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fronius · host: IP · port: 502 (או HTTP 80) · access: hasLan + hasLocalHttp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החיבור הקל ביותר — Solar API מקומי ללא הרשאות, עדכון כל ~10 שניות.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5. SMA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Modbus TCP (Speedwire / SunSpec) · פורט: 502 · unitId: 3 (תלוי דגם)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היכנסו לממשק הווב של הממיר עם IP קבוע.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External Communication ← Modbus ← הפעילו 'TCP Server', פורט 502.</w:t>
      </w:r>
    </w:p>
    <w:p>
      <w:pPr>
        <w:pStyle w:val="ListParagraph"/>
        <w:numPr>
          <w:ilvl w:val="0"/>
          <w:numId w:val="8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אשרו את מזהה ה-Unit/SusyID של הדגם.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sma · host: IP · port: 502 · unitId: לפי הדגם · access: hasLan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אמין מאוד ל-C&amp;I ולקרקעיים; שליטת כתיבה ייחודית ל-SMA.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6. GoodWe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Modbus מקומי (מועדף) · SEMS API בענן · פורט: 502 · unitId: 247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חברו את הממיר/דאטה-לוגר ל-RS485/Modbus ברשת.</w:t>
      </w:r>
    </w:p>
    <w:p>
      <w:pPr>
        <w:pStyle w:val="ListParagraph"/>
        <w:numPr>
          <w:ilvl w:val="0"/>
          <w:numId w:val="9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לחלופת ענן: יש לחתום NDA מול נציג GoodWe לקבלת גישת SEMS API.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goodwe · host: IP · port: 502 · unitId: 247 · access: hasLan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מכסת ענן 3,600 קריאות/שעה ודורשת NDA — Modbus מקומי עוקף את החסם.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7. Solis (Ginlong)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SolisCloud API · Modbus דרך דאטה-לוגר · פורט: 502 · unitId: 1</w:t>
      </w:r>
    </w:p>
    <w:p>
      <w:pPr>
        <w:pStyle w:val="ListParagraph"/>
        <w:numPr>
          <w:ilvl w:val="0"/>
          <w:numId w:val="10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ל-Modbus: חברו את הדאטה-לוגר (RS485) ל-IP קבוע ברשת.</w:t>
      </w:r>
    </w:p>
    <w:p>
      <w:pPr>
        <w:pStyle w:val="ListParagraph"/>
        <w:numPr>
          <w:ilvl w:val="0"/>
          <w:numId w:val="10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ל-ענן: הנפיקו key_id + secret ב-SolisCloud (בקשות חתומות HMAC).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solis · host: IP · port: 502 · access: hasLan + hasModbus (או hasCloudCreds לענן).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API ענני סביר ויציב; Modbus זמין דרך הדאטה-לוגר.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8. Growatt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Modbus דרך דאטה-לוגר (מועדף) · OpenAPI לא-יציב · פורט: 502 · unitId: 1</w:t>
      </w:r>
    </w:p>
    <w:p>
      <w:pPr>
        <w:pStyle w:val="ListParagraph"/>
        <w:numPr>
          <w:ilvl w:val="0"/>
          <w:numId w:val="11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חברו ShineWiFi-X / דאטה-לוגר (RS485) ל-IP קבוע — זהו הנתיב האמין.</w:t>
      </w:r>
    </w:p>
    <w:p>
      <w:pPr>
        <w:pStyle w:val="ListParagraph"/>
        <w:numPr>
          <w:ilvl w:val="0"/>
          <w:numId w:val="11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הימנעו מהסתמכות על ה-OpenAPI הענני: לעיתים מחזיר error_permission_denied לצד שלישי.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growatt · host: IP · port: 502 · unitId: 1 · access: hasLan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הענן לא-יציב לאינטגרטורים — ברירת המחדל היא Modbus מקומי.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9. Enphase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IQ Gateway מקומי (Envoy) · Enlighten Partner API · פורט: 443 (מקומי) · unitId: —</w:t>
      </w:r>
    </w:p>
    <w:p>
      <w:pPr>
        <w:pStyle w:val="ListParagraph"/>
        <w:numPr>
          <w:ilvl w:val="0"/>
          <w:numId w:val="1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ודאו את ה-IQ Gateway (Envoy) ברשת עם IP קבוע.</w:t>
      </w:r>
    </w:p>
    <w:p>
      <w:pPr>
        <w:pStyle w:val="ListParagraph"/>
        <w:numPr>
          <w:ilvl w:val="0"/>
          <w:numId w:val="1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הפיקו טוקן מקומי מה-Gateway (מתחלף — יש לרענן).</w:t>
      </w:r>
    </w:p>
    <w:p>
      <w:pPr>
        <w:pStyle w:val="ListParagraph"/>
        <w:numPr>
          <w:ilvl w:val="0"/>
          <w:numId w:val="1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ל-ענן: דרושה תוכנית Partner למתקין רשום עם 10+ התקנות.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enphase · host: IP של ה-Gateway · port: 443 · access: hasLan + hasLocalHttp (או hasCloudCreds).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מיקרו-ממיר = נתון פר-פאנל מובנה, כמו SolarEdge.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10. ממירים מרכזיים (Utility)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Modbus TCP / IEC 61850 דרך SCADA המתקן · פורט: 502 · unitId: לפי בלוק/קומבינר</w:t>
      </w:r>
    </w:p>
    <w:p>
      <w:pPr>
        <w:pStyle w:val="ListParagraph"/>
        <w:numPr>
          <w:ilvl w:val="0"/>
          <w:numId w:val="1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תאמו עם ה-EPC/מפעיל המתקן גישת קריאה ל-SCADA.</w:t>
      </w:r>
    </w:p>
    <w:p>
      <w:pPr>
        <w:pStyle w:val="ListParagraph"/>
        <w:numPr>
          <w:ilvl w:val="0"/>
          <w:numId w:val="1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קבלו מיפוי רגיסטרים/נקודות (Modbus או IEC 61850) ברמת קומבינר.</w:t>
      </w:r>
    </w:p>
    <w:p>
      <w:pPr>
        <w:pStyle w:val="ListParagraph"/>
        <w:numPr>
          <w:ilvl w:val="0"/>
          <w:numId w:val="13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הגדירו את כתובת ה-SCADA gateway ב-host.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מותג: central_utility · host: IP של ה-SCADA · port: 502 · access: hasLan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בנויים לטלמטריה בזמן-אמת — רזולוציה ברמת בלוק/קומבינר.</w:t>
      </w:r>
    </w:p>
    <w:p>
      <w:pPr>
        <w:pStyle w:val="Heading2"/>
        <w:bidi/>
        <w:spacing w:before="200"/>
        <w:jc w:val="right"/>
      </w:pPr>
      <w:r>
        <w:rPr>
          <w:rFonts w:ascii="Arial" w:cs="Arial" w:eastAsia="Arial" w:hAnsi="Arial"/>
          <w:b/>
          <w:bCs/>
          <w:color w:val="0A1F3C"/>
          <w:rtl/>
        </w:rPr>
        <w:t xml:space="preserve">11. ממיר ללא תקשורת (Closed)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b/>
          <w:bCs/>
          <w:sz w:val="18"/>
          <w:szCs w:val="18"/>
          <w:rtl/>
        </w:rPr>
        <w:t xml:space="preserve">טרנספורט: אין ממשק — נדרשת תוספת חומרה · פורט: — · unitId: —</w:t>
      </w:r>
    </w:p>
    <w:p>
      <w:pPr>
        <w:pStyle w:val="ListParagraph"/>
        <w:numPr>
          <w:ilvl w:val="0"/>
          <w:numId w:val="1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אבחנו שאין דאטה-לוגר/דונגל ושאין יציאת Modbus/Ethernet.</w:t>
      </w:r>
    </w:p>
    <w:p>
      <w:pPr>
        <w:pStyle w:val="ListParagraph"/>
        <w:numPr>
          <w:ilvl w:val="0"/>
          <w:numId w:val="1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התקינו דאטה-לוגר חיצוני תואם-SunSpec או מונה CT-clamp.</w:t>
      </w:r>
    </w:p>
    <w:p>
      <w:pPr>
        <w:pStyle w:val="ListParagraph"/>
        <w:numPr>
          <w:ilvl w:val="0"/>
          <w:numId w:val="14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לאחר ההתקנה — חברו כממיר SunSpec רגיל (Modbus TCP).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sz w:val="19"/>
          <w:szCs w:val="19"/>
          <w:rtl/>
        </w:rPr>
        <w:t xml:space="preserve">מה להזין בקונסול: לאחר תוספת החומרה: מותג בהתאם לדאטה-לוגר · port: 502 · access: hasLan + hasModbus.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9A7B2E"/>
          <w:sz w:val="19"/>
          <w:szCs w:val="19"/>
          <w:rtl/>
        </w:rPr>
        <w:t xml:space="preserve">הערה: הזדמנות upsell — הפיכת אתר 'חסום' למקור נתונים מלא.</w:t>
      </w:r>
    </w:p>
    <w:p>
      <w:pPr>
        <w:pStyle w:val="Heading2"/>
        <w:bidi/>
        <w:jc w:val="right"/>
      </w:pPr>
      <w:r>
        <w:rPr>
          <w:rFonts w:ascii="Arial" w:cs="Arial" w:eastAsia="Arial" w:hAnsi="Arial"/>
          <w:b/>
          <w:bCs/>
          <w:rtl/>
        </w:rPr>
        <w:t xml:space="preserve">אימות ופתרון תקלות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לא מזוהה SunSpec: ודאו ש-Modbus TCP מופעל ושהפורט נכון; נסו בסיס רגיסטרים חלופי (40000 / 50000 / 0).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חיבור נדחה אצל SolarEdge: רק חיבור Modbus יחיד מותר — שחררו את הניטור הענני או חיבור אחר.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נתונים בענן מתעכבים: מכסות קצב (Huawei יומי, GoodWe 3600/שעה) — עברו ל-Modbus מקומי.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אין נתוני סטרינג (רק ממיר): ייתכן שהממיר לא חושף מודל 160 (למשל SolarEdge — נתוני פאנל מגיעים מהענן).</w:t>
      </w:r>
    </w:p>
    <w:p>
      <w:pPr>
        <w:pStyle w:val="ListParagraph"/>
        <w:numPr>
          <w:ilvl w:val="0"/>
          <w:numId w:val="2"/>
        </w:numPr>
        <w:bidi/>
        <w:spacing w:after="60"/>
        <w:jc w:val="right"/>
      </w:pPr>
      <w:r>
        <w:rPr>
          <w:rFonts w:ascii="Arial" w:cs="Arial" w:eastAsia="Arial" w:hAnsi="Arial"/>
          <w:rtl/>
        </w:rPr>
        <w:t xml:space="preserve">Timeout: בדקו IP קבוע, פתיחת פורט בחומת אש, ונגישות מהאספן.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rtl/>
        </w:rPr>
        <w:t xml:space="preserve"> </w:t>
      </w:r>
    </w:p>
    <w:p>
      <w:pPr>
        <w:bidi/>
        <w:spacing w:after="120"/>
        <w:jc w:val="right"/>
      </w:pPr>
      <w:r>
        <w:rPr>
          <w:rFonts w:ascii="Arial" w:cs="Arial" w:eastAsia="Arial" w:hAnsi="Arial"/>
          <w:i/>
          <w:iCs/>
          <w:color w:val="888888"/>
          <w:sz w:val="16"/>
          <w:szCs w:val="16"/>
          <w:rtl/>
        </w:rPr>
        <w:t xml:space="preserve">מסמך פנימי לאופרטורים של SolarWash · להפצה מבוקרת בלבד.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right"/>
      <w:pPr>
        <w:ind w:right="720" w:hanging="360"/>
      </w:pPr>
    </w:lvl>
  </w:abstractNum>
  <w:abstractNum w:abstractNumId="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5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6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7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8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9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0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1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2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3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abstractNum w:abstractNumId="14" w15:restartNumberingAfterBreak="0">
    <w:multiLevelType w:val="hybridMultilevel"/>
    <w:lvl w:ilvl="0" w15:tentative="1">
      <w:start w:val="1"/>
      <w:numFmt w:val="decimal"/>
      <w:lvlText w:val="%1."/>
      <w:lvlJc w:val="right"/>
      <w:pPr>
        <w:ind w:right="72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  <w:num w:numId="3">
    <w:abstractNumId w:val="14"/>
    <w:lvlOverride w:ilvl="0">
      <w:startOverride w:val="1"/>
    </w:lvlOverride>
  </w:num>
  <w:num w:numId="4">
    <w:abstractNumId w:val="3"/>
    <w:lvlOverride w:ilvl="0">
      <w:startOverride w:val="1"/>
    </w:lvlOverride>
  </w:num>
  <w:num w:numId="5">
    <w:abstractNumId w:val="4"/>
    <w:lvlOverride w:ilvl="0">
      <w:startOverride w:val="1"/>
    </w:lvlOverride>
  </w:num>
  <w:num w:numId="6">
    <w:abstractNumId w:val="5"/>
    <w:lvlOverride w:ilvl="0">
      <w:startOverride w:val="1"/>
    </w:lvlOverride>
  </w:num>
  <w:num w:numId="7">
    <w:abstractNumId w:val="6"/>
    <w:lvlOverride w:ilvl="0">
      <w:startOverride w:val="1"/>
    </w:lvlOverride>
  </w:num>
  <w:num w:numId="8">
    <w:abstractNumId w:val="7"/>
    <w:lvlOverride w:ilvl="0">
      <w:startOverride w:val="1"/>
    </w:lvlOverride>
  </w:num>
  <w:num w:numId="9">
    <w:abstractNumId w:val="8"/>
    <w:lvlOverride w:ilvl="0">
      <w:startOverride w:val="1"/>
    </w:lvlOverride>
  </w:num>
  <w:num w:numId="10">
    <w:abstractNumId w:val="9"/>
    <w:lvlOverride w:ilvl="0">
      <w:startOverride w:val="1"/>
    </w:lvlOverride>
  </w:num>
  <w:num w:numId="11">
    <w:abstractNumId w:val="10"/>
    <w:lvlOverride w:ilvl="0">
      <w:startOverride w:val="1"/>
    </w:lvlOverride>
  </w:num>
  <w:num w:numId="12">
    <w:abstractNumId w:val="11"/>
    <w:lvlOverride w:ilvl="0">
      <w:startOverride w:val="1"/>
    </w:lvlOverride>
  </w:num>
  <w:num w:numId="13">
    <w:abstractNumId w:val="12"/>
    <w:lvlOverride w:ilvl="0">
      <w:startOverride w:val="1"/>
    </w:lvlOverride>
  </w:num>
  <w:num w:numId="14">
    <w:abstractNumId w:val="13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2"/>
        <w:szCs w:val="22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00" w:before="200"/>
      <w:outlineLvl w:val="0"/>
    </w:pPr>
    <w:rPr>
      <w:rFonts w:ascii="Arial" w:cs="Arial" w:eastAsia="Arial" w:hAnsi="Arial"/>
      <w:b/>
      <w:bCs/>
      <w:color w:val="0A1F3C"/>
      <w:sz w:val="34"/>
      <w:szCs w:val="34"/>
    </w:rPr>
  </w:style>
  <w:style w:type="paragraph" w:styleId="Heading2">
    <w:name w:val="Heading 2"/>
    <w:basedOn w:val="Normal"/>
    <w:next w:val="Normal"/>
    <w:qFormat/>
    <w:pPr>
      <w:spacing w:after="120" w:before="200"/>
      <w:outlineLvl w:val="1"/>
    </w:pPr>
    <w:rPr>
      <w:rFonts w:ascii="Arial" w:cs="Arial" w:eastAsia="Arial" w:hAnsi="Arial"/>
      <w:b/>
      <w:bCs/>
      <w:color w:val="123257"/>
      <w:sz w:val="26"/>
      <w:szCs w:val="26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2026-06-26T21:00:47.977Z</dcterms:created>
  <dcterms:modified xsi:type="dcterms:W3CDTF">2026-06-26T21:00:47.977Z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