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Учреждение образования</w:t>
      </w:r>
    </w:p>
    <w:p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для банка</w:t>
      </w: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Разработал</w:t>
      </w:r>
      <w:r w:rsidRPr="007B419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Ковалев А.А.</w:t>
      </w:r>
      <w:r w:rsidRPr="007B419F">
        <w:rPr>
          <w:rFonts w:ascii="Times New Roman" w:eastAsia="Times New Roman" w:hAnsi="Times New Roman" w:cs="Times New Roman"/>
          <w:sz w:val="28"/>
          <w:szCs w:val="28"/>
          <w:lang w:eastAsia="ru-RU"/>
        </w:rPr>
        <w:t xml:space="preserve"> </w:t>
      </w: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2 курс 4</w:t>
      </w:r>
      <w:r w:rsidRPr="007B419F">
        <w:rPr>
          <w:rFonts w:ascii="Times New Roman" w:eastAsia="Times New Roman" w:hAnsi="Times New Roman" w:cs="Times New Roman"/>
          <w:sz w:val="28"/>
          <w:szCs w:val="28"/>
          <w:lang w:eastAsia="ru-RU"/>
        </w:rPr>
        <w:t xml:space="preserve"> группа</w:t>
      </w: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sidRPr="007B419F">
        <w:rPr>
          <w:rFonts w:ascii="Times New Roman" w:eastAsia="Times New Roman" w:hAnsi="Times New Roman" w:cs="Times New Roman"/>
          <w:sz w:val="28"/>
          <w:szCs w:val="28"/>
          <w:lang w:eastAsia="ru-RU"/>
        </w:rPr>
        <w:t xml:space="preserve">Преподаватель: </w:t>
      </w:r>
      <w:r>
        <w:rPr>
          <w:rFonts w:ascii="Times New Roman" w:eastAsia="Times New Roman" w:hAnsi="Times New Roman" w:cs="Times New Roman"/>
          <w:sz w:val="28"/>
          <w:szCs w:val="28"/>
          <w:lang w:eastAsia="ru-RU"/>
        </w:rPr>
        <w:t>Берников В.О.</w:t>
      </w: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Default="000A7AA8" w:rsidP="000A7AA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2021</w:t>
      </w:r>
    </w:p>
    <w:p w:rsidR="000A7AA8" w:rsidRPr="007B419F" w:rsidRDefault="000A7AA8" w:rsidP="000A7AA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0A7AA8" w:rsidRDefault="000A7AA8" w:rsidP="000A7AA8">
      <w:pPr>
        <w:spacing w:after="240" w:line="240" w:lineRule="auto"/>
        <w:jc w:val="center"/>
        <w:rPr>
          <w:rFonts w:ascii="Times New Roman" w:hAnsi="Times New Roman"/>
          <w:b/>
          <w:color w:val="000000"/>
          <w:sz w:val="28"/>
          <w:szCs w:val="28"/>
        </w:rPr>
      </w:pPr>
      <w:r w:rsidRPr="007B4E29">
        <w:rPr>
          <w:rFonts w:ascii="Times New Roman" w:hAnsi="Times New Roman"/>
          <w:b/>
          <w:color w:val="000000"/>
          <w:sz w:val="28"/>
          <w:szCs w:val="28"/>
        </w:rPr>
        <w:lastRenderedPageBreak/>
        <w:t>Введение</w:t>
      </w:r>
    </w:p>
    <w:p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0A7AA8" w:rsidRPr="008C251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0A7AA8" w:rsidRPr="00B55A4D" w:rsidRDefault="000A7AA8" w:rsidP="000A7AA8">
      <w:pPr>
        <w:spacing w:after="240" w:line="240" w:lineRule="auto"/>
        <w:ind w:firstLine="708"/>
        <w:jc w:val="both"/>
        <w:rPr>
          <w:rFonts w:ascii="Times New Roman" w:hAnsi="Times New Roman"/>
          <w:color w:val="000000"/>
          <w:sz w:val="28"/>
          <w:szCs w:val="28"/>
        </w:rPr>
      </w:pPr>
      <w:r w:rsidRPr="00B55A4D">
        <w:rPr>
          <w:rFonts w:ascii="Times New Roman" w:hAnsi="Times New Roman"/>
          <w:color w:val="000000"/>
          <w:sz w:val="28"/>
          <w:szCs w:val="28"/>
        </w:rPr>
        <w:t>Разработанная и утвержденная документация должна вкл</w:t>
      </w:r>
      <w:r>
        <w:rPr>
          <w:rFonts w:ascii="Times New Roman" w:hAnsi="Times New Roman"/>
          <w:color w:val="000000"/>
          <w:sz w:val="28"/>
          <w:szCs w:val="28"/>
        </w:rPr>
        <w:t>ючать в себя следующие разделы: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описания технологий, применяемых для обеспечения сохранности информации;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0A7AA8" w:rsidRPr="00781391"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lastRenderedPageBreak/>
        <w:t>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rsidR="000A7AA8"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rsidR="000A7AA8" w:rsidRPr="00133F4D"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Целью п</w:t>
      </w:r>
      <w:r w:rsidRPr="00133F4D">
        <w:rPr>
          <w:rFonts w:ascii="Times New Roman" w:hAnsi="Times New Roman"/>
          <w:color w:val="000000"/>
          <w:sz w:val="28"/>
          <w:szCs w:val="28"/>
        </w:rPr>
        <w:t>олитики является регламентирование единых подходов и</w:t>
      </w:r>
      <w:r>
        <w:rPr>
          <w:rFonts w:ascii="Times New Roman" w:hAnsi="Times New Roman"/>
          <w:color w:val="000000"/>
          <w:sz w:val="28"/>
          <w:szCs w:val="28"/>
        </w:rPr>
        <w:t xml:space="preserve"> </w:t>
      </w:r>
      <w:r w:rsidRPr="00133F4D">
        <w:rPr>
          <w:rFonts w:ascii="Times New Roman" w:hAnsi="Times New Roman"/>
          <w:color w:val="000000"/>
          <w:sz w:val="28"/>
          <w:szCs w:val="28"/>
        </w:rPr>
        <w:t>требований по обеспечению информационной безопасности сотрудниками</w:t>
      </w:r>
      <w:r>
        <w:rPr>
          <w:rFonts w:ascii="Times New Roman" w:hAnsi="Times New Roman"/>
          <w:color w:val="000000"/>
          <w:sz w:val="28"/>
          <w:szCs w:val="28"/>
        </w:rPr>
        <w:t xml:space="preserve"> банка</w:t>
      </w:r>
      <w:r w:rsidRPr="00133F4D">
        <w:rPr>
          <w:rFonts w:ascii="Times New Roman" w:hAnsi="Times New Roman"/>
          <w:color w:val="000000"/>
          <w:sz w:val="28"/>
          <w:szCs w:val="28"/>
        </w:rPr>
        <w:t>, а также государственными органами и</w:t>
      </w:r>
      <w:r>
        <w:rPr>
          <w:rFonts w:ascii="Times New Roman" w:hAnsi="Times New Roman"/>
          <w:color w:val="000000"/>
          <w:sz w:val="28"/>
          <w:szCs w:val="28"/>
        </w:rPr>
        <w:t xml:space="preserve"> </w:t>
      </w:r>
      <w:r w:rsidRPr="00133F4D">
        <w:rPr>
          <w:rFonts w:ascii="Times New Roman" w:hAnsi="Times New Roman"/>
          <w:color w:val="000000"/>
          <w:sz w:val="28"/>
          <w:szCs w:val="28"/>
        </w:rPr>
        <w:t>организациями, иными юридическими лицами и индивидуальными</w:t>
      </w:r>
      <w:r>
        <w:rPr>
          <w:rFonts w:ascii="Times New Roman" w:hAnsi="Times New Roman"/>
          <w:color w:val="000000"/>
          <w:sz w:val="28"/>
          <w:szCs w:val="28"/>
        </w:rPr>
        <w:t xml:space="preserve"> </w:t>
      </w:r>
      <w:r w:rsidRPr="00133F4D">
        <w:rPr>
          <w:rFonts w:ascii="Times New Roman" w:hAnsi="Times New Roman"/>
          <w:color w:val="000000"/>
          <w:sz w:val="28"/>
          <w:szCs w:val="28"/>
        </w:rPr>
        <w:t>предпринимателями в</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рамках оказания им услуг </w:t>
      </w:r>
      <w:r>
        <w:rPr>
          <w:rFonts w:ascii="Times New Roman" w:hAnsi="Times New Roman"/>
          <w:color w:val="000000"/>
          <w:sz w:val="28"/>
          <w:szCs w:val="28"/>
        </w:rPr>
        <w:t>банком</w:t>
      </w:r>
      <w:r w:rsidRPr="00133F4D">
        <w:rPr>
          <w:rFonts w:ascii="Times New Roman" w:hAnsi="Times New Roman"/>
          <w:color w:val="000000"/>
          <w:sz w:val="28"/>
          <w:szCs w:val="28"/>
        </w:rPr>
        <w:t>.</w:t>
      </w:r>
    </w:p>
    <w:p w:rsidR="000A7AA8" w:rsidRPr="002705EE" w:rsidRDefault="000A7AA8" w:rsidP="000A7AA8">
      <w:pPr>
        <w:spacing w:after="240" w:line="240" w:lineRule="auto"/>
        <w:ind w:firstLine="708"/>
        <w:jc w:val="both"/>
        <w:rPr>
          <w:rFonts w:ascii="Times New Roman" w:hAnsi="Times New Roman"/>
          <w:color w:val="000000"/>
          <w:sz w:val="28"/>
          <w:szCs w:val="28"/>
        </w:rPr>
      </w:pPr>
      <w:r w:rsidRPr="002705EE">
        <w:rPr>
          <w:rFonts w:ascii="Times New Roman" w:hAnsi="Times New Roman"/>
          <w:color w:val="000000"/>
          <w:sz w:val="28"/>
          <w:szCs w:val="28"/>
        </w:rPr>
        <w:t>Достижение указанной цели предполагает решение следующих задач:</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реализация требований законодательства </w:t>
      </w:r>
      <w:r>
        <w:rPr>
          <w:rFonts w:ascii="Times New Roman" w:hAnsi="Times New Roman"/>
          <w:color w:val="000000"/>
          <w:sz w:val="28"/>
          <w:szCs w:val="28"/>
        </w:rPr>
        <w:t>государства</w:t>
      </w:r>
      <w:r w:rsidRPr="00133F4D">
        <w:rPr>
          <w:rFonts w:ascii="Times New Roman" w:hAnsi="Times New Roman"/>
          <w:color w:val="000000"/>
          <w:sz w:val="28"/>
          <w:szCs w:val="28"/>
        </w:rPr>
        <w:t xml:space="preserve"> в части</w:t>
      </w:r>
      <w:r>
        <w:rPr>
          <w:rFonts w:ascii="Times New Roman" w:hAnsi="Times New Roman"/>
          <w:color w:val="000000"/>
          <w:sz w:val="28"/>
          <w:szCs w:val="28"/>
        </w:rPr>
        <w:t xml:space="preserve"> </w:t>
      </w:r>
      <w:r w:rsidRPr="002705EE">
        <w:rPr>
          <w:rFonts w:ascii="Times New Roman" w:hAnsi="Times New Roman"/>
          <w:color w:val="000000"/>
          <w:sz w:val="28"/>
          <w:szCs w:val="28"/>
        </w:rPr>
        <w:t>информационной безопасности информационных систем и мер контроля их</w:t>
      </w:r>
      <w:r>
        <w:rPr>
          <w:rFonts w:ascii="Times New Roman" w:hAnsi="Times New Roman"/>
          <w:color w:val="000000"/>
          <w:sz w:val="28"/>
          <w:szCs w:val="28"/>
        </w:rPr>
        <w:t xml:space="preserve"> </w:t>
      </w:r>
      <w:r w:rsidRPr="002705EE">
        <w:rPr>
          <w:rFonts w:ascii="Times New Roman" w:hAnsi="Times New Roman"/>
          <w:color w:val="000000"/>
          <w:sz w:val="28"/>
          <w:szCs w:val="28"/>
        </w:rPr>
        <w:t>защищенности;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определение ответственности суб</w:t>
      </w:r>
      <w:r>
        <w:rPr>
          <w:rFonts w:ascii="Times New Roman" w:hAnsi="Times New Roman"/>
          <w:color w:val="000000"/>
          <w:sz w:val="28"/>
          <w:szCs w:val="28"/>
        </w:rPr>
        <w:t xml:space="preserve">ъектов информационных отношений по </w:t>
      </w:r>
      <w:r w:rsidRPr="002705EE">
        <w:rPr>
          <w:rFonts w:ascii="Times New Roman" w:hAnsi="Times New Roman"/>
          <w:color w:val="000000"/>
          <w:sz w:val="28"/>
          <w:szCs w:val="28"/>
        </w:rPr>
        <w:t>обеспечению и соблюдению требований политики, в том числе с</w:t>
      </w:r>
      <w:r>
        <w:rPr>
          <w:rFonts w:ascii="Times New Roman" w:hAnsi="Times New Roman"/>
          <w:color w:val="000000"/>
          <w:sz w:val="28"/>
          <w:szCs w:val="28"/>
        </w:rPr>
        <w:t xml:space="preserve"> использованием </w:t>
      </w:r>
      <w:r w:rsidRPr="002705EE">
        <w:rPr>
          <w:rFonts w:ascii="Times New Roman" w:hAnsi="Times New Roman"/>
          <w:color w:val="000000"/>
          <w:sz w:val="28"/>
          <w:szCs w:val="28"/>
        </w:rPr>
        <w:t>программных, программно-аппаратных средств технической</w:t>
      </w:r>
      <w:r>
        <w:rPr>
          <w:rFonts w:ascii="Times New Roman" w:hAnsi="Times New Roman"/>
          <w:color w:val="000000"/>
          <w:sz w:val="28"/>
          <w:szCs w:val="28"/>
        </w:rPr>
        <w:t xml:space="preserve"> и </w:t>
      </w:r>
      <w:r w:rsidRPr="002705EE">
        <w:rPr>
          <w:rFonts w:ascii="Times New Roman" w:hAnsi="Times New Roman"/>
          <w:color w:val="000000"/>
          <w:sz w:val="28"/>
          <w:szCs w:val="28"/>
        </w:rPr>
        <w:t>криптографической защиты информации, а также посредством принятия</w:t>
      </w:r>
      <w:r>
        <w:rPr>
          <w:rFonts w:ascii="Times New Roman" w:hAnsi="Times New Roman"/>
          <w:color w:val="000000"/>
          <w:sz w:val="28"/>
          <w:szCs w:val="28"/>
        </w:rPr>
        <w:t xml:space="preserve"> </w:t>
      </w:r>
      <w:r w:rsidRPr="002705EE">
        <w:rPr>
          <w:rFonts w:ascii="Times New Roman" w:hAnsi="Times New Roman"/>
          <w:color w:val="000000"/>
          <w:sz w:val="28"/>
          <w:szCs w:val="28"/>
        </w:rPr>
        <w:t>соответствующих внутренних нормативных и организационно-методических</w:t>
      </w:r>
      <w:r>
        <w:rPr>
          <w:rFonts w:ascii="Times New Roman" w:hAnsi="Times New Roman"/>
          <w:color w:val="000000"/>
          <w:sz w:val="28"/>
          <w:szCs w:val="28"/>
        </w:rPr>
        <w:t xml:space="preserve"> </w:t>
      </w:r>
      <w:r w:rsidRPr="002705EE">
        <w:rPr>
          <w:rFonts w:ascii="Times New Roman" w:hAnsi="Times New Roman"/>
          <w:color w:val="000000"/>
          <w:sz w:val="28"/>
          <w:szCs w:val="28"/>
        </w:rPr>
        <w:t>документов информационной безопасности банка;</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своевременное выявление и оценка пр</w:t>
      </w:r>
      <w:r>
        <w:rPr>
          <w:rFonts w:ascii="Times New Roman" w:hAnsi="Times New Roman"/>
          <w:color w:val="000000"/>
          <w:sz w:val="28"/>
          <w:szCs w:val="28"/>
        </w:rPr>
        <w:t xml:space="preserve">ичин, условий и характера угроз </w:t>
      </w:r>
      <w:r w:rsidRPr="002705EE">
        <w:rPr>
          <w:rFonts w:ascii="Times New Roman" w:hAnsi="Times New Roman"/>
          <w:color w:val="000000"/>
          <w:sz w:val="28"/>
          <w:szCs w:val="28"/>
        </w:rPr>
        <w:t>информационной безопасности и дальнейшее прогнозирование развития</w:t>
      </w:r>
      <w:r>
        <w:rPr>
          <w:rFonts w:ascii="Times New Roman" w:hAnsi="Times New Roman"/>
          <w:color w:val="000000"/>
          <w:sz w:val="28"/>
          <w:szCs w:val="28"/>
        </w:rPr>
        <w:t xml:space="preserve"> </w:t>
      </w:r>
      <w:r w:rsidRPr="002705EE">
        <w:rPr>
          <w:rFonts w:ascii="Times New Roman" w:hAnsi="Times New Roman"/>
          <w:color w:val="000000"/>
          <w:sz w:val="28"/>
          <w:szCs w:val="28"/>
        </w:rPr>
        <w:t>событий на основе мониторинга инцидентов информационной безопасности;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планирование, реализация и контроль эффективности </w:t>
      </w:r>
      <w:r>
        <w:rPr>
          <w:rFonts w:ascii="Times New Roman" w:hAnsi="Times New Roman"/>
          <w:color w:val="000000"/>
          <w:sz w:val="28"/>
          <w:szCs w:val="28"/>
        </w:rPr>
        <w:t xml:space="preserve">использования </w:t>
      </w:r>
      <w:r w:rsidRPr="002705EE">
        <w:rPr>
          <w:rFonts w:ascii="Times New Roman" w:hAnsi="Times New Roman"/>
          <w:color w:val="000000"/>
          <w:sz w:val="28"/>
          <w:szCs w:val="28"/>
        </w:rPr>
        <w:t>защитных мер и средств защиты информации, создание механизма</w:t>
      </w:r>
      <w:r>
        <w:rPr>
          <w:rFonts w:ascii="Times New Roman" w:hAnsi="Times New Roman"/>
          <w:color w:val="000000"/>
          <w:sz w:val="28"/>
          <w:szCs w:val="28"/>
        </w:rPr>
        <w:t xml:space="preserve"> </w:t>
      </w:r>
      <w:r w:rsidRPr="002705EE">
        <w:rPr>
          <w:rFonts w:ascii="Times New Roman" w:hAnsi="Times New Roman"/>
          <w:color w:val="000000"/>
          <w:sz w:val="28"/>
          <w:szCs w:val="28"/>
        </w:rPr>
        <w:t>оперативного реагирования на угрозы информационной безопасности;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реализация программ по осведом</w:t>
      </w:r>
      <w:r>
        <w:rPr>
          <w:rFonts w:ascii="Times New Roman" w:hAnsi="Times New Roman"/>
          <w:color w:val="000000"/>
          <w:sz w:val="28"/>
          <w:szCs w:val="28"/>
        </w:rPr>
        <w:t xml:space="preserve">ленности и обучению сотрудников </w:t>
      </w:r>
      <w:r w:rsidRPr="002705EE">
        <w:rPr>
          <w:rFonts w:ascii="Times New Roman" w:hAnsi="Times New Roman"/>
          <w:color w:val="000000"/>
          <w:sz w:val="28"/>
          <w:szCs w:val="28"/>
        </w:rPr>
        <w:t>(работников) банка о возможных факторах рисков информационной</w:t>
      </w:r>
      <w:r>
        <w:rPr>
          <w:rFonts w:ascii="Times New Roman" w:hAnsi="Times New Roman"/>
          <w:color w:val="000000"/>
          <w:sz w:val="28"/>
          <w:szCs w:val="28"/>
        </w:rPr>
        <w:t xml:space="preserve"> </w:t>
      </w:r>
      <w:r w:rsidRPr="002705EE">
        <w:rPr>
          <w:rFonts w:ascii="Times New Roman" w:hAnsi="Times New Roman"/>
          <w:color w:val="000000"/>
          <w:sz w:val="28"/>
          <w:szCs w:val="28"/>
        </w:rPr>
        <w:t>безопасности и мерах противодействия.</w:t>
      </w: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rsidR="000A7AA8" w:rsidRDefault="000A7AA8" w:rsidP="000A7AA8">
      <w:pPr>
        <w:spacing w:after="240" w:line="240" w:lineRule="auto"/>
        <w:jc w:val="center"/>
        <w:rPr>
          <w:rFonts w:ascii="Times New Roman" w:hAnsi="Times New Roman" w:cs="Times New Roman"/>
          <w:b/>
          <w:color w:val="000000" w:themeColor="text1"/>
          <w:sz w:val="28"/>
          <w:szCs w:val="28"/>
        </w:rPr>
      </w:pPr>
      <w:r w:rsidRPr="00781391">
        <w:rPr>
          <w:rFonts w:ascii="Times New Roman" w:hAnsi="Times New Roman" w:cs="Times New Roman"/>
          <w:b/>
          <w:color w:val="000000" w:themeColor="text1"/>
          <w:sz w:val="28"/>
          <w:szCs w:val="28"/>
        </w:rPr>
        <w:lastRenderedPageBreak/>
        <w:t>Описание структуры банка</w:t>
      </w:r>
    </w:p>
    <w:p w:rsidR="000A7AA8" w:rsidRDefault="000A7AA8" w:rsidP="000A7AA8">
      <w:pPr>
        <w:spacing w:after="240" w:line="240" w:lineRule="auto"/>
        <w:ind w:firstLine="708"/>
        <w:jc w:val="both"/>
        <w:rPr>
          <w:rFonts w:ascii="Times New Roman" w:hAnsi="Times New Roman"/>
          <w:b/>
          <w:color w:val="000000"/>
          <w:sz w:val="28"/>
          <w:szCs w:val="28"/>
        </w:rPr>
      </w:pPr>
      <w:r w:rsidRPr="00C13E38">
        <w:rPr>
          <w:rFonts w:ascii="Times New Roman" w:hAnsi="Times New Roman"/>
          <w:color w:val="000000"/>
          <w:sz w:val="28"/>
          <w:szCs w:val="28"/>
        </w:rPr>
        <w:t>Структура банка – это форма организации его внутренних элементов: подразделений, управлений и служб</w:t>
      </w:r>
      <w:r w:rsidRPr="00C13E38">
        <w:rPr>
          <w:rFonts w:ascii="Times New Roman" w:hAnsi="Times New Roman"/>
          <w:b/>
          <w:color w:val="000000"/>
          <w:sz w:val="28"/>
          <w:szCs w:val="28"/>
        </w:rPr>
        <w:t>.</w:t>
      </w:r>
    </w:p>
    <w:p w:rsidR="000A7AA8" w:rsidRPr="00E92666" w:rsidRDefault="000A7AA8" w:rsidP="000A7AA8">
      <w:pPr>
        <w:spacing w:after="240" w:line="240" w:lineRule="auto"/>
        <w:ind w:firstLine="708"/>
        <w:jc w:val="both"/>
        <w:rPr>
          <w:rFonts w:ascii="Times New Roman" w:hAnsi="Times New Roman"/>
          <w:color w:val="000000"/>
          <w:sz w:val="28"/>
          <w:szCs w:val="28"/>
        </w:rPr>
      </w:pPr>
      <w:r w:rsidRPr="00E92666">
        <w:rPr>
          <w:rFonts w:ascii="Times New Roman" w:hAnsi="Times New Roman"/>
          <w:color w:val="000000"/>
          <w:sz w:val="28"/>
          <w:szCs w:val="28"/>
        </w:rPr>
        <w:t>Среди внутренних аспектов работы банк</w:t>
      </w:r>
      <w:r>
        <w:rPr>
          <w:rFonts w:ascii="Times New Roman" w:hAnsi="Times New Roman"/>
          <w:color w:val="000000"/>
          <w:sz w:val="28"/>
          <w:szCs w:val="28"/>
        </w:rPr>
        <w:t>а особенно важными оказываются:</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Основные направления деятельности: кредитование, привлечение средств во вклады, расчетные и обменные операции, пр.;</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Масштаб деятельности банка: один или несколько близких городов, представительства в регионах страны, международные структуры;</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Важнейшие категории клиентов банка: частные лица, производственные или торговые предприятия, отдельные отрасли и др.</w:t>
      </w:r>
    </w:p>
    <w:p w:rsidR="000A7AA8" w:rsidRPr="00E92666" w:rsidRDefault="000A7AA8" w:rsidP="000A7AA8">
      <w:pPr>
        <w:spacing w:after="240" w:line="240" w:lineRule="auto"/>
        <w:ind w:firstLine="567"/>
        <w:jc w:val="both"/>
        <w:rPr>
          <w:rFonts w:ascii="Times New Roman" w:hAnsi="Times New Roman"/>
          <w:color w:val="000000"/>
          <w:sz w:val="28"/>
          <w:szCs w:val="28"/>
        </w:rPr>
      </w:pPr>
      <w:r w:rsidRPr="00E92666">
        <w:rPr>
          <w:rFonts w:ascii="Times New Roman" w:hAnsi="Times New Roman"/>
          <w:color w:val="000000"/>
          <w:sz w:val="28"/>
          <w:szCs w:val="28"/>
        </w:rPr>
        <w:t>К внешним условиям относятся:</w:t>
      </w:r>
    </w:p>
    <w:p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Указания владельцев банка;</w:t>
      </w:r>
    </w:p>
    <w:p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Цели создания данной конкретной организации;</w:t>
      </w:r>
    </w:p>
    <w:p w:rsidR="000A7AA8"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Ее место в финансово-экономической системе страны или региона.</w:t>
      </w:r>
    </w:p>
    <w:p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 банковской практике стран с развитой рыночной экономикой</w:t>
      </w:r>
      <w:r>
        <w:rPr>
          <w:rFonts w:ascii="Times New Roman" w:hAnsi="Times New Roman"/>
          <w:color w:val="000000"/>
          <w:sz w:val="28"/>
          <w:szCs w:val="28"/>
        </w:rPr>
        <w:t xml:space="preserve"> принята трехступенчатая класси</w:t>
      </w:r>
      <w:r w:rsidRPr="00EE393A">
        <w:rPr>
          <w:rFonts w:ascii="Times New Roman" w:hAnsi="Times New Roman"/>
          <w:color w:val="000000"/>
          <w:sz w:val="28"/>
          <w:szCs w:val="28"/>
        </w:rPr>
        <w:t xml:space="preserve">фикация субъектов управления в зависимости от объема </w:t>
      </w:r>
      <w:r>
        <w:rPr>
          <w:rFonts w:ascii="Times New Roman" w:hAnsi="Times New Roman"/>
          <w:color w:val="000000"/>
          <w:sz w:val="28"/>
          <w:szCs w:val="28"/>
        </w:rPr>
        <w:t>их распорядительных полномочий.</w:t>
      </w:r>
    </w:p>
    <w:p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Высшее руководство (дирекция) — в его компетенцию входит принятие основополагающих решений по поводу целевых установок и экономической политики банка, подбор и расстановка кад­ров, руководство нижестоящими у</w:t>
      </w:r>
      <w:r>
        <w:rPr>
          <w:rFonts w:ascii="Times New Roman" w:hAnsi="Times New Roman"/>
          <w:color w:val="000000"/>
          <w:sz w:val="28"/>
          <w:szCs w:val="28"/>
        </w:rPr>
        <w:t>правленческими подразделениями.</w:t>
      </w:r>
    </w:p>
    <w:p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Среднее руководство (руководители отделов) осуществляет управление отдельными сферами банковской деятельности, регулирование процесса работы, руководство подчиненными служащими, подготовку</w:t>
      </w:r>
      <w:r>
        <w:rPr>
          <w:rFonts w:ascii="Times New Roman" w:hAnsi="Times New Roman"/>
          <w:color w:val="000000"/>
          <w:sz w:val="28"/>
          <w:szCs w:val="28"/>
        </w:rPr>
        <w:t xml:space="preserve"> принятия решений для дирекции.</w:t>
      </w:r>
    </w:p>
    <w:p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Низшее руководство (руководители групп) распределяет задания и контролирует работу отдельных групп.</w:t>
      </w:r>
    </w:p>
    <w:p w:rsidR="000A7AA8" w:rsidRDefault="000A7AA8" w:rsidP="000A7AA8">
      <w:pPr>
        <w:spacing w:after="240" w:line="240" w:lineRule="auto"/>
        <w:ind w:firstLine="567"/>
        <w:jc w:val="both"/>
        <w:rPr>
          <w:rFonts w:ascii="Times New Roman" w:hAnsi="Times New Roman"/>
          <w:color w:val="000000"/>
          <w:sz w:val="28"/>
          <w:szCs w:val="28"/>
        </w:rPr>
      </w:pPr>
      <w:r>
        <w:rPr>
          <w:rFonts w:ascii="Times New Roman" w:hAnsi="Times New Roman"/>
          <w:color w:val="000000"/>
          <w:sz w:val="28"/>
          <w:szCs w:val="28"/>
        </w:rPr>
        <w:t>Основным структурными информационными объектами банка являются:</w:t>
      </w:r>
    </w:p>
    <w:p w:rsidR="000A7AA8" w:rsidRDefault="000A7AA8" w:rsidP="000A7AA8">
      <w:pPr>
        <w:pStyle w:val="a3"/>
        <w:numPr>
          <w:ilvl w:val="0"/>
          <w:numId w:val="2"/>
        </w:numPr>
        <w:tabs>
          <w:tab w:val="left" w:pos="567"/>
        </w:tabs>
        <w:spacing w:after="240" w:line="240" w:lineRule="auto"/>
        <w:ind w:left="142" w:firstLine="218"/>
        <w:jc w:val="both"/>
        <w:rPr>
          <w:rFonts w:ascii="Times New Roman" w:hAnsi="Times New Roman"/>
          <w:color w:val="000000"/>
          <w:sz w:val="28"/>
          <w:szCs w:val="28"/>
        </w:rPr>
      </w:pPr>
      <w:r>
        <w:rPr>
          <w:rFonts w:ascii="Times New Roman" w:hAnsi="Times New Roman"/>
          <w:color w:val="000000"/>
          <w:sz w:val="28"/>
          <w:szCs w:val="28"/>
        </w:rPr>
        <w:t>базы данных банка, хранящая информацию о счетах клиентах, их картах: номер счёта, состояние счёта, идентификационные характеристики и количество выпущенных карт для одного клиента; личные данные клиента: адрес, семейное положение, место работы, дата рождения, наличие или отсутствие судимостей и т.д.;</w:t>
      </w:r>
    </w:p>
    <w:p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информационная система банковских терминалов;</w:t>
      </w:r>
    </w:p>
    <w:p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информационно-справочная система банка и т.д.</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Основными ресурсами информационной системы банка, подлежащие защите, являются сервера, хранящие информацию о банке и его клиентах, архивы документов и ценных банковских бумаг, портативные носители информации и т.д.</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lastRenderedPageBreak/>
        <w:t>Система критериев оценки ценности информационных систем банка сводится к оценке важности того или иного информационного объекта и к оценке возможных последствий нарушения целостности информации и несанкционированного к ней доступа. Особой защите подлежат носители информации, содержащие информацию о финансовой составляющей клиентов банка.</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Список потенциальных угроз информационным системам банка:</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базам данных банковской фирмы;</w:t>
      </w:r>
    </w:p>
    <w:p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программного обеспечения банковских терминалов, информационно-справочных систем банка;</w:t>
      </w:r>
    </w:p>
    <w:p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процедур осуществления денежных транзакций, терминалов безналичного расчёта;</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различного рода атаки на банковские серверы;</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банковским архивам документов и т.д.</w:t>
      </w:r>
    </w:p>
    <w:p w:rsidR="000A7AA8" w:rsidRPr="00455E71"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Pr="00BC0A44"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rsidR="000A7AA8" w:rsidRDefault="000A7AA8" w:rsidP="000A7AA8">
      <w:pPr>
        <w:spacing w:after="240" w:line="240" w:lineRule="auto"/>
        <w:jc w:val="center"/>
        <w:rPr>
          <w:rFonts w:ascii="Times New Roman" w:hAnsi="Times New Roman"/>
          <w:b/>
          <w:color w:val="000000"/>
          <w:sz w:val="28"/>
          <w:szCs w:val="28"/>
        </w:rPr>
      </w:pPr>
      <w:r w:rsidRPr="006D3EBE">
        <w:rPr>
          <w:rFonts w:ascii="Times New Roman" w:hAnsi="Times New Roman"/>
          <w:b/>
          <w:color w:val="000000"/>
          <w:sz w:val="28"/>
          <w:szCs w:val="28"/>
        </w:rPr>
        <w:lastRenderedPageBreak/>
        <w:t>Оценка рисков</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 банка характеризуется возможным вредом финансовому положению банковской фирмы, а также понижением её репутационных характеристик. Особой ценностью обладают информационных объекты, содержащие информацию о клиентах банка, их счетах и проводимых между ними операциях. Не меньшей ценностью обладают договоры, ценные бумаги, расписки, их бумажные и электронные копии.</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Значимость определённых угроз зависит от вреда, которые они могут нанести информационным системам и банковской компании в целом. Примеры угроз:</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нарушение целостность информации, хранящейся на банковских серверах;</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различные стихийные бедствия, приводящие к нарушению целостности банковского здания и уничтожения информационных объектов и т.д.</w:t>
      </w:r>
    </w:p>
    <w:p w:rsidR="000A7AA8" w:rsidRDefault="000A7AA8" w:rsidP="000A7AA8">
      <w:pPr>
        <w:spacing w:after="240" w:line="240" w:lineRule="auto"/>
        <w:ind w:firstLine="708"/>
        <w:jc w:val="both"/>
        <w:rPr>
          <w:rFonts w:ascii="Times New Roman" w:hAnsi="Times New Roman"/>
          <w:color w:val="000000"/>
          <w:sz w:val="28"/>
          <w:szCs w:val="28"/>
        </w:rPr>
      </w:pPr>
      <w:r w:rsidRPr="003B533F">
        <w:rPr>
          <w:rFonts w:ascii="Times New Roman" w:hAnsi="Times New Roman"/>
          <w:color w:val="00000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банка ситуаций: возникновение серверных атак, конфликтных ситуаций с клиентами, возникших на основе нарушения целостности банковской информации и получения третьими лицами доступа к конфиденциальной информации и т.д. </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ценные бумаги, документы – высокая ценность;</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справочная информация, база данных клиентской информации – средняя ценность;</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информация о проведённых транзакциях по счетам – средняя, низкая ценность.</w:t>
      </w:r>
    </w:p>
    <w:p w:rsidR="000A7AA8" w:rsidRDefault="000A7AA8" w:rsidP="000A7AA8">
      <w:pPr>
        <w:spacing w:after="24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рисков предполагает анализ средств, при помощи которых злоумышленник может навредить информационной системе банка, или стихийных </w:t>
      </w:r>
      <w:r>
        <w:rPr>
          <w:rFonts w:ascii="Times New Roman" w:hAnsi="Times New Roman"/>
          <w:color w:val="000000"/>
          <w:sz w:val="28"/>
          <w:szCs w:val="28"/>
        </w:rPr>
        <w:lastRenderedPageBreak/>
        <w:t>бедствий, который могут сдать причиной уничтожения физических носителей информации:</w:t>
      </w:r>
    </w:p>
    <w:p w:rsidR="000A7AA8" w:rsidRDefault="000A7AA8" w:rsidP="000A7AA8">
      <w:pPr>
        <w:pStyle w:val="a3"/>
        <w:numPr>
          <w:ilvl w:val="0"/>
          <w:numId w:val="9"/>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специально ПО для доступа к банковским серверам;</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sidRPr="00027D78">
        <w:rPr>
          <w:rFonts w:ascii="Times New Roman" w:hAnsi="Times New Roman"/>
          <w:color w:val="000000"/>
          <w:sz w:val="28"/>
          <w:szCs w:val="28"/>
        </w:rPr>
        <w:t>вирусы, «трояны», «черви»</w:t>
      </w:r>
      <w:r>
        <w:rPr>
          <w:rFonts w:ascii="Times New Roman" w:hAnsi="Times New Roman"/>
          <w:color w:val="000000"/>
          <w:sz w:val="28"/>
          <w:szCs w:val="28"/>
        </w:rPr>
        <w:t xml:space="preserve"> и другое вредоносное программное обеспечение</w:t>
      </w:r>
      <w:r w:rsidRPr="00027D78">
        <w:rPr>
          <w:rFonts w:ascii="Times New Roman" w:hAnsi="Times New Roman"/>
          <w:color w:val="000000"/>
          <w:sz w:val="28"/>
          <w:szCs w:val="28"/>
        </w:rPr>
        <w:t>, способные нанести вред банковскому ПО и информационным системам;</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 банка;</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rsidR="000A7AA8" w:rsidRDefault="000A7AA8" w:rsidP="000A7AA8">
      <w:pPr>
        <w:spacing w:after="240" w:line="240" w:lineRule="auto"/>
        <w:jc w:val="center"/>
        <w:rPr>
          <w:rFonts w:ascii="Times New Roman" w:hAnsi="Times New Roman"/>
          <w:b/>
          <w:color w:val="000000"/>
          <w:sz w:val="28"/>
          <w:szCs w:val="28"/>
        </w:rPr>
      </w:pPr>
      <w:r w:rsidRPr="008625AC">
        <w:rPr>
          <w:rFonts w:ascii="Times New Roman" w:hAnsi="Times New Roman"/>
          <w:color w:val="000000"/>
          <w:sz w:val="28"/>
          <w:szCs w:val="28"/>
        </w:rPr>
        <w:br w:type="column"/>
      </w:r>
      <w:r w:rsidRPr="00404328">
        <w:rPr>
          <w:rFonts w:ascii="Times New Roman" w:hAnsi="Times New Roman"/>
          <w:b/>
          <w:color w:val="000000"/>
          <w:sz w:val="28"/>
          <w:szCs w:val="28"/>
        </w:rPr>
        <w:lastRenderedPageBreak/>
        <w:t>Разработка мер защиты</w:t>
      </w:r>
    </w:p>
    <w:p w:rsidR="000A7AA8" w:rsidRDefault="000A7AA8" w:rsidP="000A7AA8">
      <w:pPr>
        <w:spacing w:after="240" w:line="240" w:lineRule="auto"/>
        <w:ind w:firstLine="708"/>
        <w:jc w:val="both"/>
        <w:rPr>
          <w:rFonts w:ascii="Times New Roman" w:hAnsi="Times New Roman"/>
          <w:color w:val="000000"/>
          <w:sz w:val="28"/>
          <w:szCs w:val="28"/>
        </w:rPr>
      </w:pPr>
      <w:r w:rsidRPr="00404328">
        <w:rPr>
          <w:rFonts w:ascii="Times New Roman" w:hAnsi="Times New Roman"/>
          <w:color w:val="000000"/>
          <w:sz w:val="28"/>
          <w:szCs w:val="28"/>
        </w:rPr>
        <w:t>На основании политики безопасности строится программа безопасности, которая реализуе</w:t>
      </w:r>
      <w:r>
        <w:rPr>
          <w:rFonts w:ascii="Times New Roman" w:hAnsi="Times New Roman"/>
          <w:color w:val="000000"/>
          <w:sz w:val="28"/>
          <w:szCs w:val="28"/>
        </w:rPr>
        <w:t>тся на процедурном и программно-техническом уровнях.</w:t>
      </w:r>
    </w:p>
    <w:p w:rsidR="000A7AA8" w:rsidRDefault="000A7AA8" w:rsidP="000A7AA8">
      <w:pPr>
        <w:spacing w:after="240" w:line="240" w:lineRule="auto"/>
        <w:jc w:val="center"/>
        <w:rPr>
          <w:rFonts w:ascii="Times New Roman" w:hAnsi="Times New Roman"/>
          <w:b/>
          <w:color w:val="000000"/>
          <w:sz w:val="28"/>
          <w:szCs w:val="28"/>
        </w:rPr>
      </w:pPr>
      <w:r w:rsidRPr="00404328">
        <w:rPr>
          <w:rFonts w:ascii="Times New Roman" w:hAnsi="Times New Roman"/>
          <w:b/>
          <w:color w:val="000000"/>
          <w:sz w:val="28"/>
          <w:szCs w:val="28"/>
        </w:rPr>
        <w:t>Процедурный уровень</w:t>
      </w:r>
    </w:p>
    <w:p w:rsidR="000A7AA8" w:rsidRPr="007B7519" w:rsidRDefault="000A7AA8" w:rsidP="000A7AA8">
      <w:pPr>
        <w:spacing w:after="240" w:line="240" w:lineRule="auto"/>
        <w:ind w:left="709" w:hanging="1"/>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Можно выделить следующие группы процедурных мер:</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банка. Работники банка, которым предоставлен высший уровень доступа к ценным бумагам, документам, базам данных и серверным должны быть должным образом проинструктированы о политике информационной безопасности банка и быть готовы реагировать на внештатные ситуации в соответсвии с распорядком;</w:t>
      </w:r>
    </w:p>
    <w:p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 банка;</w:t>
      </w:r>
    </w:p>
    <w:p w:rsidR="000A7AA8" w:rsidRPr="0018138F"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0A7AA8" w:rsidRPr="00AC485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rsidR="000A7AA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 здании банка;</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rsidR="000A7AA8" w:rsidRPr="00AC485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0A7AA8" w:rsidRPr="004C052B"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proofErr w:type="spellStart"/>
      <w:r>
        <w:rPr>
          <w:rFonts w:ascii="Times New Roman" w:hAnsi="Times New Roman"/>
          <w:color w:val="000000"/>
          <w:sz w:val="28"/>
          <w:szCs w:val="28"/>
        </w:rPr>
        <w:t>радиолучевых</w:t>
      </w:r>
      <w:proofErr w:type="spellEnd"/>
      <w:r>
        <w:rPr>
          <w:rFonts w:ascii="Times New Roman" w:hAnsi="Times New Roman"/>
          <w:color w:val="000000"/>
          <w:sz w:val="28"/>
          <w:szCs w:val="28"/>
        </w:rPr>
        <w:t>, радиоволновых и инфракрасных защитных систем: антенн, глушителей и т.д.</w:t>
      </w:r>
    </w:p>
    <w:p w:rsidR="000A7AA8" w:rsidRPr="00211D4E"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rsidR="000A7AA8"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 банка;</w:t>
      </w:r>
    </w:p>
    <w:p w:rsidR="000A7AA8" w:rsidRPr="00211D4E"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 xml:space="preserve">реагирование на </w:t>
      </w:r>
      <w:r>
        <w:rPr>
          <w:rFonts w:ascii="Times New Roman" w:hAnsi="Times New Roman"/>
          <w:color w:val="000000"/>
          <w:sz w:val="28"/>
          <w:szCs w:val="28"/>
          <w:lang w:val="be-BY"/>
        </w:rPr>
        <w:t>нарушения режима безопасности:</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 банка;</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 банка на сегменты и своевременной их отключение;</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lastRenderedPageBreak/>
        <w:t>необходимо стремится к скорейшей локализации инцидента и выявлению нарушителя;</w:t>
      </w:r>
    </w:p>
    <w:p w:rsidR="000A7AA8" w:rsidRPr="00212CB4"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 банка и блокировка доступа ко всем объектам информационной системы банка;</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плани</w:t>
      </w:r>
      <w:r>
        <w:rPr>
          <w:rFonts w:ascii="Times New Roman" w:hAnsi="Times New Roman"/>
          <w:color w:val="000000"/>
          <w:sz w:val="28"/>
          <w:szCs w:val="28"/>
          <w:lang w:val="be-BY"/>
        </w:rPr>
        <w:t>рование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обеспечение информационной системы банка избыточными мерами резервного копирования, хранения копий информации и представления информации в разных видах;</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 банка в случае критической ситуации и прорабатывание с персоналом банка сценариев развития внештатных ситуаций.</w:t>
      </w:r>
    </w:p>
    <w:p w:rsidR="000A7AA8" w:rsidRDefault="000A7AA8" w:rsidP="000A7AA8">
      <w:pPr>
        <w:spacing w:after="240" w:line="240" w:lineRule="auto"/>
        <w:jc w:val="center"/>
        <w:rPr>
          <w:rFonts w:ascii="Times New Roman" w:hAnsi="Times New Roman"/>
          <w:b/>
          <w:color w:val="000000"/>
          <w:sz w:val="28"/>
          <w:szCs w:val="28"/>
          <w:lang w:val="be-BY"/>
        </w:rPr>
      </w:pPr>
      <w:r>
        <w:rPr>
          <w:rFonts w:ascii="Times New Roman" w:hAnsi="Times New Roman"/>
          <w:b/>
          <w:color w:val="000000"/>
          <w:sz w:val="28"/>
          <w:szCs w:val="28"/>
          <w:lang w:val="be-BY"/>
        </w:rPr>
        <w:t>Программно-технический уровень</w:t>
      </w:r>
    </w:p>
    <w:p w:rsidR="000A7AA8" w:rsidRPr="00874D95" w:rsidRDefault="000A7AA8" w:rsidP="000A7AA8">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Основой </w:t>
      </w:r>
      <w:r w:rsidRPr="00A46AFF">
        <w:rPr>
          <w:rFonts w:ascii="Times New Roman" w:hAnsi="Times New Roman" w:cs="Times New Roman"/>
          <w:bCs/>
          <w:sz w:val="28"/>
          <w:szCs w:val="28"/>
        </w:rPr>
        <w:t>программно-технического уровня</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являются следующие механизмы безопасности:</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идентификация</w:t>
      </w:r>
      <w:r>
        <w:rPr>
          <w:rFonts w:ascii="Times New Roman" w:hAnsi="Times New Roman" w:cs="Times New Roman"/>
          <w:sz w:val="28"/>
          <w:szCs w:val="28"/>
        </w:rPr>
        <w:t xml:space="preserve"> и аутентификация пользователей:</w:t>
      </w:r>
    </w:p>
    <w:p w:rsidR="000A7AA8" w:rsidRPr="00C67692"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r w:rsidRPr="00C67692">
        <w:rPr>
          <w:rFonts w:ascii="Times New Roman" w:hAnsi="Times New Roman" w:cs="Times New Roman"/>
          <w:sz w:val="28"/>
          <w:szCs w:val="28"/>
        </w:rPr>
        <w:t>;</w:t>
      </w:r>
    </w:p>
    <w:p w:rsidR="000A7AA8"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rsidR="000A7AA8" w:rsidRPr="002D2E09"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управление доступом:</w:t>
      </w:r>
    </w:p>
    <w:p w:rsidR="000A7AA8" w:rsidRPr="00C67692"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работникам банка средств контроля доступа за деятельностью пользователей</w:t>
      </w:r>
      <w:r w:rsidRPr="00C67692">
        <w:rPr>
          <w:rFonts w:ascii="Times New Roman" w:hAnsi="Times New Roman" w:cs="Times New Roman"/>
          <w:sz w:val="28"/>
          <w:szCs w:val="28"/>
        </w:rPr>
        <w:t>;</w:t>
      </w:r>
    </w:p>
    <w:p w:rsidR="000A7AA8"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rsidR="000A7AA8" w:rsidRPr="00A01E89"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полное ограничение и предоставление необходимости в подтверждении прав доступа для пользователей, проявляющих подозрительную активность;</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протоколирование и</w:t>
      </w:r>
      <w:r>
        <w:rPr>
          <w:rFonts w:ascii="Times New Roman" w:hAnsi="Times New Roman" w:cs="Times New Roman"/>
          <w:sz w:val="28"/>
          <w:szCs w:val="28"/>
        </w:rPr>
        <w:t xml:space="preserve"> аудит:</w:t>
      </w:r>
    </w:p>
    <w:p w:rsidR="000A7AA8" w:rsidRPr="00C67692"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r w:rsidRPr="00C67692">
        <w:rPr>
          <w:rFonts w:ascii="Times New Roman" w:hAnsi="Times New Roman" w:cs="Times New Roman"/>
          <w:sz w:val="28"/>
          <w:szCs w:val="28"/>
        </w:rPr>
        <w:t>;</w:t>
      </w:r>
    </w:p>
    <w:p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rsidR="000A7AA8" w:rsidRPr="00DB2FF4"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sidRPr="00DB2FF4">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br w:type="column"/>
      </w:r>
      <w:r>
        <w:rPr>
          <w:rFonts w:ascii="Times New Roman" w:hAnsi="Times New Roman" w:cs="Times New Roman"/>
          <w:sz w:val="28"/>
          <w:szCs w:val="28"/>
        </w:rPr>
        <w:lastRenderedPageBreak/>
        <w:t>криптография:</w:t>
      </w:r>
    </w:p>
    <w:p w:rsidR="000A7AA8" w:rsidRPr="00C67692"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r w:rsidRPr="00C67692">
        <w:rPr>
          <w:rFonts w:ascii="Times New Roman" w:hAnsi="Times New Roman" w:cs="Times New Roman"/>
          <w:sz w:val="28"/>
          <w:szCs w:val="28"/>
        </w:rPr>
        <w:t>;</w:t>
      </w:r>
    </w:p>
    <w:p w:rsidR="000A7AA8"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rsidR="000A7AA8" w:rsidRPr="00E17AE6"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экранирование:</w:t>
      </w:r>
    </w:p>
    <w:p w:rsidR="000A7AA8" w:rsidRPr="00C67692" w:rsidRDefault="000A7AA8" w:rsidP="000A7AA8">
      <w:pPr>
        <w:pStyle w:val="a3"/>
        <w:numPr>
          <w:ilvl w:val="0"/>
          <w:numId w:val="21"/>
        </w:numPr>
        <w:autoSpaceDE w:val="0"/>
        <w:autoSpaceDN w:val="0"/>
        <w:adjustRightInd w:val="0"/>
        <w:spacing w:after="0" w:line="240" w:lineRule="auto"/>
        <w:ind w:hanging="502"/>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r w:rsidRPr="00C67692">
        <w:rPr>
          <w:rFonts w:ascii="Times New Roman" w:hAnsi="Times New Roman" w:cs="Times New Roman"/>
          <w:sz w:val="28"/>
          <w:szCs w:val="28"/>
        </w:rPr>
        <w:t>;</w:t>
      </w:r>
    </w:p>
    <w:p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rsidR="000A7AA8" w:rsidRPr="00E17AE6"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 банка.</w:t>
      </w:r>
    </w:p>
    <w:p w:rsidR="000A7AA8" w:rsidRPr="00E17AE6" w:rsidRDefault="000A7AA8" w:rsidP="000A7AA8">
      <w:pPr>
        <w:autoSpaceDE w:val="0"/>
        <w:autoSpaceDN w:val="0"/>
        <w:adjustRightInd w:val="0"/>
        <w:spacing w:after="0" w:line="240" w:lineRule="auto"/>
        <w:jc w:val="both"/>
        <w:rPr>
          <w:rFonts w:ascii="Times New Roman" w:hAnsi="Times New Roman" w:cs="Times New Roman"/>
          <w:sz w:val="28"/>
          <w:szCs w:val="28"/>
        </w:rPr>
      </w:pP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обеспе</w:t>
      </w:r>
      <w:r>
        <w:rPr>
          <w:rFonts w:ascii="Times New Roman" w:hAnsi="Times New Roman" w:cs="Times New Roman"/>
          <w:sz w:val="28"/>
          <w:szCs w:val="28"/>
        </w:rPr>
        <w:t>чение высокой доступности:</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автоматизация процессов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rsidR="000A7AA8" w:rsidRDefault="000A7AA8" w:rsidP="000A7AA8">
      <w:pPr>
        <w:autoSpaceDE w:val="0"/>
        <w:autoSpaceDN w:val="0"/>
        <w:adjustRightInd w:val="0"/>
        <w:spacing w:after="0" w:line="240" w:lineRule="auto"/>
        <w:jc w:val="both"/>
        <w:rPr>
          <w:rFonts w:ascii="Times New Roman" w:hAnsi="Times New Roman" w:cs="Times New Roman"/>
          <w:sz w:val="28"/>
          <w:szCs w:val="28"/>
        </w:rPr>
      </w:pPr>
    </w:p>
    <w:p w:rsidR="000A7AA8" w:rsidRDefault="000A7AA8" w:rsidP="000A7AA8">
      <w:pPr>
        <w:rPr>
          <w:rFonts w:ascii="Times New Roman" w:hAnsi="Times New Roman" w:cs="Times New Roman"/>
          <w:sz w:val="28"/>
          <w:szCs w:val="28"/>
        </w:rPr>
      </w:pPr>
      <w:r>
        <w:rPr>
          <w:rFonts w:ascii="Times New Roman" w:hAnsi="Times New Roman" w:cs="Times New Roman"/>
          <w:sz w:val="28"/>
          <w:szCs w:val="28"/>
        </w:rPr>
        <w:br w:type="page"/>
      </w:r>
    </w:p>
    <w:p w:rsidR="000A7AA8" w:rsidRPr="00572B40" w:rsidRDefault="000A7AA8" w:rsidP="000A7AA8">
      <w:pPr>
        <w:autoSpaceDE w:val="0"/>
        <w:autoSpaceDN w:val="0"/>
        <w:adjustRightInd w:val="0"/>
        <w:spacing w:after="0" w:line="240" w:lineRule="auto"/>
        <w:jc w:val="center"/>
        <w:rPr>
          <w:rFonts w:ascii="Times New Roman" w:hAnsi="Times New Roman" w:cs="Times New Roman"/>
          <w:b/>
          <w:sz w:val="28"/>
          <w:szCs w:val="28"/>
        </w:rPr>
      </w:pPr>
      <w:r w:rsidRPr="00572B40">
        <w:rPr>
          <w:rFonts w:ascii="Times New Roman" w:hAnsi="Times New Roman" w:cs="Times New Roman"/>
          <w:b/>
          <w:sz w:val="28"/>
          <w:szCs w:val="28"/>
        </w:rPr>
        <w:lastRenderedPageBreak/>
        <w:t>Выводы</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 базовые инструкции по установке, регулированию и контролю защитных средств. </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 банка и может использоваться как пособие для консультации работников банка по вопросам данной сферы.</w:t>
      </w:r>
    </w:p>
    <w:p w:rsidR="000A7AA8" w:rsidRPr="007B7519" w:rsidRDefault="000A7AA8" w:rsidP="000A7AA8">
      <w:pPr>
        <w:spacing w:after="240" w:line="240" w:lineRule="auto"/>
        <w:ind w:firstLine="708"/>
        <w:jc w:val="both"/>
        <w:rPr>
          <w:rFonts w:ascii="Times New Roman" w:hAnsi="Times New Roman"/>
          <w:color w:val="000000"/>
          <w:sz w:val="28"/>
          <w:szCs w:val="28"/>
        </w:rPr>
      </w:pPr>
      <w:bookmarkStart w:id="0" w:name="_GoBack"/>
      <w:r>
        <w:rPr>
          <w:rFonts w:ascii="Times New Roman" w:hAnsi="Times New Roman"/>
          <w:color w:val="000000"/>
          <w:sz w:val="28"/>
          <w:szCs w:val="28"/>
        </w:rPr>
        <w:t>Политика</w:t>
      </w:r>
      <w:r w:rsidRPr="008625AC">
        <w:rPr>
          <w:rFonts w:ascii="Times New Roman" w:hAnsi="Times New Roman"/>
          <w:color w:val="000000"/>
          <w:sz w:val="28"/>
          <w:szCs w:val="28"/>
        </w:rPr>
        <w:t xml:space="preserve">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w:t>
      </w:r>
      <w:r>
        <w:rPr>
          <w:rFonts w:ascii="Times New Roman" w:hAnsi="Times New Roman"/>
          <w:color w:val="000000"/>
          <w:sz w:val="28"/>
          <w:szCs w:val="28"/>
        </w:rPr>
        <w:t>должностным лицам банка</w:t>
      </w:r>
      <w:r w:rsidRPr="008625AC">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bookmarkEnd w:id="0"/>
    <w:p w:rsidR="00441AF7" w:rsidRDefault="00441AF7"/>
    <w:sectPr w:rsidR="00441AF7" w:rsidSect="00727AAA">
      <w:footerReference w:type="defaul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AEF" w:rsidRDefault="00CF4AEF" w:rsidP="00727AAA">
      <w:pPr>
        <w:spacing w:after="0" w:line="240" w:lineRule="auto"/>
      </w:pPr>
      <w:r>
        <w:separator/>
      </w:r>
    </w:p>
  </w:endnote>
  <w:endnote w:type="continuationSeparator" w:id="0">
    <w:p w:rsidR="00CF4AEF" w:rsidRDefault="00CF4AEF"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980364"/>
      <w:docPartObj>
        <w:docPartGallery w:val="Page Numbers (Bottom of Page)"/>
        <w:docPartUnique/>
      </w:docPartObj>
    </w:sdtPr>
    <w:sdtEndPr/>
    <w:sdtContent>
      <w:p w:rsidR="00727AAA" w:rsidRDefault="00727AAA">
        <w:pPr>
          <w:pStyle w:val="a6"/>
          <w:jc w:val="right"/>
        </w:pPr>
        <w:r>
          <w:fldChar w:fldCharType="begin"/>
        </w:r>
        <w:r>
          <w:instrText>PAGE   \* MERGEFORMAT</w:instrText>
        </w:r>
        <w:r>
          <w:fldChar w:fldCharType="separate"/>
        </w:r>
        <w:r w:rsidR="008146BF">
          <w:rPr>
            <w:noProof/>
          </w:rPr>
          <w:t>11</w:t>
        </w:r>
        <w:r>
          <w:fldChar w:fldCharType="end"/>
        </w:r>
      </w:p>
    </w:sdtContent>
  </w:sdt>
  <w:p w:rsidR="00727AAA" w:rsidRDefault="00727A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AEF" w:rsidRDefault="00CF4AEF" w:rsidP="00727AAA">
      <w:pPr>
        <w:spacing w:after="0" w:line="240" w:lineRule="auto"/>
      </w:pPr>
      <w:r>
        <w:separator/>
      </w:r>
    </w:p>
  </w:footnote>
  <w:footnote w:type="continuationSeparator" w:id="0">
    <w:p w:rsidR="00CF4AEF" w:rsidRDefault="00CF4AEF"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48C"/>
    <w:multiLevelType w:val="hybridMultilevel"/>
    <w:tmpl w:val="C4D0105C"/>
    <w:lvl w:ilvl="0" w:tplc="44B69054">
      <w:start w:val="1"/>
      <w:numFmt w:val="russianLower"/>
      <w:suff w:val="space"/>
      <w:lvlText w:val="%1)"/>
      <w:lvlJc w:val="left"/>
      <w:pPr>
        <w:ind w:left="6031" w:hanging="360"/>
      </w:pPr>
      <w:rPr>
        <w:rFonts w:hint="default"/>
      </w:rPr>
    </w:lvl>
    <w:lvl w:ilvl="1" w:tplc="04190019" w:tentative="1">
      <w:start w:val="1"/>
      <w:numFmt w:val="lowerLetter"/>
      <w:lvlText w:val="%2."/>
      <w:lvlJc w:val="left"/>
      <w:pPr>
        <w:ind w:left="6401" w:hanging="360"/>
      </w:pPr>
    </w:lvl>
    <w:lvl w:ilvl="2" w:tplc="0419001B" w:tentative="1">
      <w:start w:val="1"/>
      <w:numFmt w:val="lowerRoman"/>
      <w:lvlText w:val="%3."/>
      <w:lvlJc w:val="right"/>
      <w:pPr>
        <w:ind w:left="7121" w:hanging="180"/>
      </w:pPr>
    </w:lvl>
    <w:lvl w:ilvl="3" w:tplc="0419000F" w:tentative="1">
      <w:start w:val="1"/>
      <w:numFmt w:val="decimal"/>
      <w:lvlText w:val="%4."/>
      <w:lvlJc w:val="left"/>
      <w:pPr>
        <w:ind w:left="7841" w:hanging="360"/>
      </w:pPr>
    </w:lvl>
    <w:lvl w:ilvl="4" w:tplc="04190019" w:tentative="1">
      <w:start w:val="1"/>
      <w:numFmt w:val="lowerLetter"/>
      <w:lvlText w:val="%5."/>
      <w:lvlJc w:val="left"/>
      <w:pPr>
        <w:ind w:left="8561" w:hanging="360"/>
      </w:pPr>
    </w:lvl>
    <w:lvl w:ilvl="5" w:tplc="0419001B" w:tentative="1">
      <w:start w:val="1"/>
      <w:numFmt w:val="lowerRoman"/>
      <w:lvlText w:val="%6."/>
      <w:lvlJc w:val="right"/>
      <w:pPr>
        <w:ind w:left="9281" w:hanging="180"/>
      </w:pPr>
    </w:lvl>
    <w:lvl w:ilvl="6" w:tplc="0419000F" w:tentative="1">
      <w:start w:val="1"/>
      <w:numFmt w:val="decimal"/>
      <w:lvlText w:val="%7."/>
      <w:lvlJc w:val="left"/>
      <w:pPr>
        <w:ind w:left="10001" w:hanging="360"/>
      </w:pPr>
    </w:lvl>
    <w:lvl w:ilvl="7" w:tplc="04190019" w:tentative="1">
      <w:start w:val="1"/>
      <w:numFmt w:val="lowerLetter"/>
      <w:lvlText w:val="%8."/>
      <w:lvlJc w:val="left"/>
      <w:pPr>
        <w:ind w:left="10721" w:hanging="360"/>
      </w:pPr>
    </w:lvl>
    <w:lvl w:ilvl="8" w:tplc="0419001B" w:tentative="1">
      <w:start w:val="1"/>
      <w:numFmt w:val="lowerRoman"/>
      <w:lvlText w:val="%9."/>
      <w:lvlJc w:val="right"/>
      <w:pPr>
        <w:ind w:left="11441"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03B85B03"/>
    <w:multiLevelType w:val="hybridMultilevel"/>
    <w:tmpl w:val="F94C60D2"/>
    <w:lvl w:ilvl="0" w:tplc="3BAA7AFE">
      <w:start w:val="1"/>
      <w:numFmt w:val="bullet"/>
      <w:suff w:val="space"/>
      <w:lvlText w:val=""/>
      <w:lvlJc w:val="left"/>
      <w:pPr>
        <w:ind w:left="4046" w:hanging="360"/>
      </w:pPr>
      <w:rPr>
        <w:rFonts w:ascii="Symbol" w:hAnsi="Symbol" w:hint="default"/>
      </w:rPr>
    </w:lvl>
    <w:lvl w:ilvl="1" w:tplc="C6B23A8A">
      <w:start w:val="1"/>
      <w:numFmt w:val="bullet"/>
      <w:lvlText w:val=""/>
      <w:lvlJc w:val="left"/>
      <w:pPr>
        <w:ind w:left="4909" w:hanging="360"/>
      </w:pPr>
      <w:rPr>
        <w:rFonts w:ascii="Symbol" w:hAnsi="Symbol" w:hint="default"/>
      </w:rPr>
    </w:lvl>
    <w:lvl w:ilvl="2" w:tplc="04190005" w:tentative="1">
      <w:start w:val="1"/>
      <w:numFmt w:val="bullet"/>
      <w:lvlText w:val=""/>
      <w:lvlJc w:val="left"/>
      <w:pPr>
        <w:ind w:left="5629" w:hanging="360"/>
      </w:pPr>
      <w:rPr>
        <w:rFonts w:ascii="Wingdings" w:hAnsi="Wingdings" w:hint="default"/>
      </w:rPr>
    </w:lvl>
    <w:lvl w:ilvl="3" w:tplc="04190001" w:tentative="1">
      <w:start w:val="1"/>
      <w:numFmt w:val="bullet"/>
      <w:lvlText w:val=""/>
      <w:lvlJc w:val="left"/>
      <w:pPr>
        <w:ind w:left="6349" w:hanging="360"/>
      </w:pPr>
      <w:rPr>
        <w:rFonts w:ascii="Symbol" w:hAnsi="Symbol" w:hint="default"/>
      </w:rPr>
    </w:lvl>
    <w:lvl w:ilvl="4" w:tplc="04190003" w:tentative="1">
      <w:start w:val="1"/>
      <w:numFmt w:val="bullet"/>
      <w:lvlText w:val="o"/>
      <w:lvlJc w:val="left"/>
      <w:pPr>
        <w:ind w:left="7069" w:hanging="360"/>
      </w:pPr>
      <w:rPr>
        <w:rFonts w:ascii="Courier New" w:hAnsi="Courier New" w:cs="Courier New" w:hint="default"/>
      </w:rPr>
    </w:lvl>
    <w:lvl w:ilvl="5" w:tplc="04190005" w:tentative="1">
      <w:start w:val="1"/>
      <w:numFmt w:val="bullet"/>
      <w:lvlText w:val=""/>
      <w:lvlJc w:val="left"/>
      <w:pPr>
        <w:ind w:left="7789" w:hanging="360"/>
      </w:pPr>
      <w:rPr>
        <w:rFonts w:ascii="Wingdings" w:hAnsi="Wingdings" w:hint="default"/>
      </w:rPr>
    </w:lvl>
    <w:lvl w:ilvl="6" w:tplc="04190001" w:tentative="1">
      <w:start w:val="1"/>
      <w:numFmt w:val="bullet"/>
      <w:lvlText w:val=""/>
      <w:lvlJc w:val="left"/>
      <w:pPr>
        <w:ind w:left="8509" w:hanging="360"/>
      </w:pPr>
      <w:rPr>
        <w:rFonts w:ascii="Symbol" w:hAnsi="Symbol" w:hint="default"/>
      </w:rPr>
    </w:lvl>
    <w:lvl w:ilvl="7" w:tplc="04190003" w:tentative="1">
      <w:start w:val="1"/>
      <w:numFmt w:val="bullet"/>
      <w:lvlText w:val="o"/>
      <w:lvlJc w:val="left"/>
      <w:pPr>
        <w:ind w:left="9229" w:hanging="360"/>
      </w:pPr>
      <w:rPr>
        <w:rFonts w:ascii="Courier New" w:hAnsi="Courier New" w:cs="Courier New" w:hint="default"/>
      </w:rPr>
    </w:lvl>
    <w:lvl w:ilvl="8" w:tplc="04190005" w:tentative="1">
      <w:start w:val="1"/>
      <w:numFmt w:val="bullet"/>
      <w:lvlText w:val=""/>
      <w:lvlJc w:val="left"/>
      <w:pPr>
        <w:ind w:left="9949" w:hanging="360"/>
      </w:pPr>
      <w:rPr>
        <w:rFonts w:ascii="Wingdings" w:hAnsi="Wingdings" w:hint="default"/>
      </w:rPr>
    </w:lvl>
  </w:abstractNum>
  <w:abstractNum w:abstractNumId="3"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5B2308"/>
    <w:multiLevelType w:val="hybridMultilevel"/>
    <w:tmpl w:val="2D521C3C"/>
    <w:lvl w:ilvl="0" w:tplc="67BC33C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3E11901"/>
    <w:multiLevelType w:val="hybridMultilevel"/>
    <w:tmpl w:val="327E5CF0"/>
    <w:lvl w:ilvl="0" w:tplc="68341850">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B40A7D"/>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246BBF"/>
    <w:multiLevelType w:val="hybridMultilevel"/>
    <w:tmpl w:val="AC26E0FC"/>
    <w:lvl w:ilvl="0" w:tplc="C6B23A8A">
      <w:start w:val="1"/>
      <w:numFmt w:val="bullet"/>
      <w:lvlText w:val=""/>
      <w:lvlJc w:val="left"/>
      <w:pPr>
        <w:ind w:left="1428" w:hanging="360"/>
      </w:pPr>
      <w:rPr>
        <w:rFonts w:ascii="Symbol" w:hAnsi="Symbol" w:hint="default"/>
      </w:rPr>
    </w:lvl>
    <w:lvl w:ilvl="1" w:tplc="DEE0EE6A">
      <w:numFmt w:val="bullet"/>
      <w:lvlText w:val="•"/>
      <w:lvlJc w:val="left"/>
      <w:pPr>
        <w:ind w:left="2148" w:hanging="36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CF93930"/>
    <w:multiLevelType w:val="hybridMultilevel"/>
    <w:tmpl w:val="5D867318"/>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2D332EA"/>
    <w:multiLevelType w:val="hybridMultilevel"/>
    <w:tmpl w:val="2EF24B36"/>
    <w:lvl w:ilvl="0" w:tplc="D9622E26">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13"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B1162A"/>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23E30A0"/>
    <w:multiLevelType w:val="hybridMultilevel"/>
    <w:tmpl w:val="2E86553C"/>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182844"/>
    <w:multiLevelType w:val="hybridMultilevel"/>
    <w:tmpl w:val="00B0C9F2"/>
    <w:lvl w:ilvl="0" w:tplc="4B8C9280">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6621D"/>
    <w:multiLevelType w:val="hybridMultilevel"/>
    <w:tmpl w:val="79BEDFC0"/>
    <w:lvl w:ilvl="0" w:tplc="F3989598">
      <w:start w:val="1"/>
      <w:numFmt w:val="russianLower"/>
      <w:suff w:val="space"/>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9" w15:restartNumberingAfterBreak="0">
    <w:nsid w:val="67DB139E"/>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933585"/>
    <w:multiLevelType w:val="hybridMultilevel"/>
    <w:tmpl w:val="E458921E"/>
    <w:lvl w:ilvl="0" w:tplc="8F88B9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0135514"/>
    <w:multiLevelType w:val="hybridMultilevel"/>
    <w:tmpl w:val="2EF24B36"/>
    <w:lvl w:ilvl="0" w:tplc="D9622E26">
      <w:start w:val="1"/>
      <w:numFmt w:val="russianLower"/>
      <w:suff w:val="space"/>
      <w:lvlText w:val="%1)"/>
      <w:lvlJc w:val="left"/>
      <w:pPr>
        <w:ind w:left="177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7DCE22A5"/>
    <w:multiLevelType w:val="hybridMultilevel"/>
    <w:tmpl w:val="B95EFCE6"/>
    <w:lvl w:ilvl="0" w:tplc="D9622E2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6"/>
  </w:num>
  <w:num w:numId="3">
    <w:abstractNumId w:val="13"/>
  </w:num>
  <w:num w:numId="4">
    <w:abstractNumId w:val="20"/>
  </w:num>
  <w:num w:numId="5">
    <w:abstractNumId w:val="6"/>
  </w:num>
  <w:num w:numId="6">
    <w:abstractNumId w:val="4"/>
  </w:num>
  <w:num w:numId="7">
    <w:abstractNumId w:val="11"/>
  </w:num>
  <w:num w:numId="8">
    <w:abstractNumId w:val="9"/>
  </w:num>
  <w:num w:numId="9">
    <w:abstractNumId w:val="3"/>
  </w:num>
  <w:num w:numId="10">
    <w:abstractNumId w:val="15"/>
  </w:num>
  <w:num w:numId="11">
    <w:abstractNumId w:val="18"/>
  </w:num>
  <w:num w:numId="12">
    <w:abstractNumId w:val="0"/>
  </w:num>
  <w:num w:numId="13">
    <w:abstractNumId w:val="7"/>
  </w:num>
  <w:num w:numId="14">
    <w:abstractNumId w:val="22"/>
  </w:num>
  <w:num w:numId="15">
    <w:abstractNumId w:val="1"/>
  </w:num>
  <w:num w:numId="16">
    <w:abstractNumId w:val="2"/>
  </w:num>
  <w:num w:numId="17">
    <w:abstractNumId w:val="21"/>
  </w:num>
  <w:num w:numId="18">
    <w:abstractNumId w:val="12"/>
  </w:num>
  <w:num w:numId="19">
    <w:abstractNumId w:val="17"/>
  </w:num>
  <w:num w:numId="20">
    <w:abstractNumId w:val="8"/>
  </w:num>
  <w:num w:numId="21">
    <w:abstractNumId w:val="19"/>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F6"/>
    <w:rsid w:val="000A7AA8"/>
    <w:rsid w:val="0030711C"/>
    <w:rsid w:val="00325B62"/>
    <w:rsid w:val="00441AF7"/>
    <w:rsid w:val="00624BAF"/>
    <w:rsid w:val="00727AAA"/>
    <w:rsid w:val="008146BF"/>
    <w:rsid w:val="009135F6"/>
    <w:rsid w:val="00A04F3F"/>
    <w:rsid w:val="00CF4AEF"/>
    <w:rsid w:val="00FC2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3623C-B40D-4B1C-B60E-4FB9775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AA8"/>
    <w:pPr>
      <w:ind w:left="720"/>
      <w:contextualSpacing/>
    </w:pPr>
  </w:style>
  <w:style w:type="paragraph" w:styleId="a4">
    <w:name w:val="header"/>
    <w:basedOn w:val="a"/>
    <w:link w:val="a5"/>
    <w:uiPriority w:val="99"/>
    <w:unhideWhenUsed/>
    <w:rsid w:val="00727A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7AAA"/>
  </w:style>
  <w:style w:type="paragraph" w:styleId="a6">
    <w:name w:val="footer"/>
    <w:basedOn w:val="a"/>
    <w:link w:val="a7"/>
    <w:uiPriority w:val="99"/>
    <w:unhideWhenUsed/>
    <w:rsid w:val="00727A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7AAA"/>
  </w:style>
  <w:style w:type="paragraph" w:styleId="a8">
    <w:name w:val="Balloon Text"/>
    <w:basedOn w:val="a"/>
    <w:link w:val="a9"/>
    <w:uiPriority w:val="99"/>
    <w:semiHidden/>
    <w:unhideWhenUsed/>
    <w:rsid w:val="00727AA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27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2398</Words>
  <Characters>13673</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3</cp:revision>
  <cp:lastPrinted>2021-02-16T08:17:00Z</cp:lastPrinted>
  <dcterms:created xsi:type="dcterms:W3CDTF">2021-02-16T08:15:00Z</dcterms:created>
  <dcterms:modified xsi:type="dcterms:W3CDTF">2022-02-10T06:53:00Z</dcterms:modified>
</cp:coreProperties>
</file>