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Mobile, Inc.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Y CONTINUAR”,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rFonts w:cs="Arial" w:ascii="Arial" w:hAnsi="Arial"/>
          <w:sz w:val="20"/>
          <w:szCs w:val="20"/>
        </w:rPr>
        <w:fldChar w:fldCharType="begin"/>
      </w:r>
      <w:r>
        <w:instrText> REF __RefHeading__3108_1337920592 \r \h </w:instrText>
      </w:r>
      <w:r>
        <w:fldChar w:fldCharType="separate"/>
      </w:r>
      <w:r>
        <w:t>Error: Reference source not found</w:t>
      </w:r>
      <w: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sz w:val="20"/>
          <w:szCs w:val="20"/>
        </w:rPr>
        <w:fldChar w:fldCharType="begin"/>
      </w:r>
      <w:r>
        <w:instrText> REF __RefHeading__6299_1337920592 \r \h </w:instrText>
      </w:r>
      <w:r>
        <w:fldChar w:fldCharType="separate"/>
      </w:r>
      <w:r>
        <w:t>Error: Reference source not found</w:t>
      </w:r>
      <w: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Ref402196241"/>
      <w:bookmarkStart w:id="6" w:name="_Ref402188622"/>
      <w:bookmarkStart w:id="7" w:name="__RefHeading__8942_1337920592"/>
      <w:bookmarkEnd w:id="6"/>
      <w:bookmarkEnd w:id="7"/>
      <w:r>
        <w:rPr>
          <w:b/>
          <w:sz w:val="20"/>
          <w:szCs w:val="20"/>
        </w:rPr>
        <w:t>Software de Terceros y Código Abierto</w:t>
      </w:r>
      <w:r>
        <w:rPr>
          <w:sz w:val="20"/>
          <w:szCs w:val="20"/>
        </w:rPr>
        <w:t>.</w:t>
      </w:r>
      <w:bookmarkEnd w:id="5"/>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sz w:val="20"/>
          <w:szCs w:val="20"/>
        </w:rPr>
        <w:fldChar w:fldCharType="begin"/>
      </w:r>
      <w:r>
        <w:instrText> REF __RefHeading__6670_1337920592 \r \h </w:instrText>
      </w:r>
      <w:r>
        <w:fldChar w:fldCharType="separate"/>
      </w:r>
      <w:r>
        <w:t>10.3</w:t>
      </w:r>
      <w:r>
        <w:fldChar w:fldCharType="end"/>
      </w:r>
      <w:r>
        <w:rPr>
          <w:sz w:val="20"/>
          <w:szCs w:val="20"/>
        </w:rPr>
        <w:t xml:space="preserve"> y </w:t>
      </w:r>
      <w:r>
        <w:rPr>
          <w:sz w:val="20"/>
          <w:szCs w:val="20"/>
        </w:rPr>
        <w:fldChar w:fldCharType="begin"/>
      </w:r>
      <w:r>
        <w:instrText> REF __RefHeading__6672_1337920592 \r \h </w:instrText>
      </w:r>
      <w:r>
        <w:fldChar w:fldCharType="separate"/>
      </w:r>
      <w:r>
        <w:t>10.4</w:t>
      </w:r>
      <w: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sz w:val="20"/>
          <w:szCs w:val="20"/>
        </w:rPr>
        <w:fldChar w:fldCharType="begin"/>
      </w:r>
      <w:r>
        <w:instrText> REF __RefHeading__9298_1337920592 \r \h </w:instrText>
      </w:r>
      <w:r>
        <w:fldChar w:fldCharType="separate"/>
      </w:r>
      <w:r>
        <w:t>19</w:t>
      </w:r>
      <w:r>
        <w:fldChar w:fldCharType="end"/>
      </w:r>
      <w:r>
        <w:rPr>
          <w:sz w:val="20"/>
          <w:szCs w:val="20"/>
        </w:rPr>
        <w:t xml:space="preserve"> a continuación.</w:t>
      </w:r>
    </w:p>
    <w:p>
      <w:pPr>
        <w:pStyle w:val="Outlinenumbered"/>
        <w:numPr>
          <w:ilvl w:val="1"/>
          <w:numId w:val="1"/>
        </w:numPr>
        <w:suppressAutoHyphens w:val="true"/>
        <w:jc w:val="both"/>
        <w:rPr/>
      </w:pPr>
      <w:bookmarkStart w:id="8" w:name="_Ref40218862210"/>
      <w:bookmarkEnd w:id="8"/>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9" w:name="__RefHeading__6670_1337920592"/>
      <w:bookmarkEnd w:id="9"/>
      <w:r>
        <w:rPr>
          <w:b/>
          <w:bCs/>
          <w:sz w:val="20"/>
          <w:szCs w:val="20"/>
        </w:rPr>
        <w:t>Google</w:t>
      </w:r>
      <w:r>
        <w:rPr>
          <w:sz w:val="20"/>
          <w:szCs w:val="20"/>
        </w:rPr>
        <w:t>. El uso del software y los servicios de Google Inc. en el aparato está sujeto a los términos de servicio de Google</w:t>
      </w:r>
      <w:bookmarkStart w:id="10"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1" w:name="__RefHeading__6672_1337920592"/>
      <w:bookmarkEnd w:id="10"/>
      <w:bookmarkEnd w:id="11"/>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2"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sz w:val="20"/>
          <w:szCs w:val="20"/>
        </w:rPr>
        <w:fldChar w:fldCharType="begin"/>
      </w:r>
      <w:r>
        <w:instrText> REF __RefHeading__7795_1337920592 \r \h </w:instrText>
      </w:r>
      <w:r>
        <w:fldChar w:fldCharType="separate"/>
      </w:r>
      <w:r>
        <w:t>10.5</w:t>
      </w:r>
      <w:r>
        <w:fldChar w:fldCharType="end"/>
      </w:r>
      <w:r>
        <w:rPr>
          <w:sz w:val="20"/>
          <w:szCs w:val="20"/>
        </w:rPr>
        <w:t xml:space="preserve"> abajo. </w:t>
      </w:r>
    </w:p>
    <w:p>
      <w:pPr>
        <w:pStyle w:val="Outlinenumbered"/>
        <w:numPr>
          <w:ilvl w:val="1"/>
          <w:numId w:val="1"/>
        </w:numPr>
        <w:suppressAutoHyphens w:val="true"/>
        <w:jc w:val="both"/>
        <w:rPr/>
      </w:pPr>
      <w:bookmarkStart w:id="13" w:name="__RefHeading__7795_1337920592"/>
      <w:bookmarkEnd w:id="13"/>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4" w:name="_Ref402192987"/>
      <w:bookmarkEnd w:id="12"/>
      <w:bookmarkEnd w:id="14"/>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0" w:hanging="0"/>
        <w:jc w:val="both"/>
        <w:rPr/>
      </w:pPr>
      <w:r>
        <w:rPr>
          <w:sz w:val="20"/>
          <w:szCs w:val="20"/>
        </w:rPr>
        <w:tab/>
        <w:tab/>
        <w:t>San Francisco, CA 94107</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5" w:name="__RefHeading__8176_1337920592"/>
      <w:bookmarkEnd w:id="15"/>
      <w:r>
        <w:rPr>
          <w:b/>
          <w:sz w:val="20"/>
          <w:szCs w:val="20"/>
        </w:rPr>
        <w:t>Limitación de Responsabilidad</w:t>
      </w:r>
      <w:bookmarkStart w:id="16" w:name="_Ref341221031"/>
      <w:bookmarkEnd w:id="16"/>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rFonts w:cs="Arial" w:ascii="Arial" w:hAnsi="Arial"/>
          <w:sz w:val="20"/>
          <w:szCs w:val="20"/>
        </w:rPr>
        <w:fldChar w:fldCharType="begin"/>
      </w:r>
      <w:r>
        <w:instrText> REF __RefHeading__8176_1337920592 \r \h </w:instrText>
      </w:r>
      <w:r>
        <w:fldChar w:fldCharType="separate"/>
      </w:r>
      <w:r>
        <w:t>13</w:t>
      </w:r>
      <w: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7" w:name="__RefHeading__8931_1337920592"/>
      <w:bookmarkEnd w:id="17"/>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sz w:val="20"/>
          <w:szCs w:val="20"/>
        </w:rPr>
        <w:fldChar w:fldCharType="begin"/>
      </w:r>
      <w:r>
        <w:instrText> REF __RefHeading__8548_1337920592 \r \h </w:instrText>
      </w:r>
      <w:r>
        <w:fldChar w:fldCharType="separate"/>
      </w:r>
      <w:r>
        <w:t>2</w:t>
      </w:r>
      <w:r>
        <w:fldChar w:fldCharType="end"/>
      </w:r>
      <w:r>
        <w:rPr>
          <w:sz w:val="20"/>
          <w:szCs w:val="20"/>
        </w:rPr>
        <w:t xml:space="preserve">, y </w:t>
      </w:r>
      <w:r>
        <w:rPr>
          <w:sz w:val="20"/>
          <w:szCs w:val="20"/>
        </w:rPr>
        <w:fldChar w:fldCharType="begin"/>
      </w:r>
      <w:r>
        <w:instrText> REF __RefNumPara__1376_2066426327 \r \h </w:instrText>
      </w:r>
      <w:r>
        <w:fldChar w:fldCharType="separate"/>
      </w:r>
      <w:r>
        <w:t>5</w:t>
      </w:r>
      <w:r>
        <w:fldChar w:fldCharType="end"/>
      </w:r>
      <w:r>
        <w:rPr>
          <w:sz w:val="20"/>
          <w:szCs w:val="20"/>
        </w:rPr>
        <w:t xml:space="preserve"> a la </w:t>
      </w:r>
      <w:r>
        <w:rPr>
          <w:sz w:val="20"/>
          <w:szCs w:val="20"/>
        </w:rPr>
        <w:fldChar w:fldCharType="begin"/>
      </w:r>
      <w:r>
        <w:instrText> REF __RefHeading__8550_1337920592 \r \h </w:instrText>
      </w:r>
      <w:r>
        <w:fldChar w:fldCharType="separate"/>
      </w:r>
      <w:r>
        <w:t>19</w:t>
      </w:r>
      <w:r>
        <w:fldChar w:fldCharType="end"/>
      </w:r>
      <w:r>
        <w:rPr>
          <w:sz w:val="20"/>
          <w:szCs w:val="20"/>
        </w:rPr>
        <w:t>.</w:t>
      </w:r>
    </w:p>
    <w:p>
      <w:pPr>
        <w:pStyle w:val="Outlinenumbered"/>
        <w:numPr>
          <w:ilvl w:val="0"/>
          <w:numId w:val="1"/>
        </w:numPr>
        <w:suppressAutoHyphens w:val="true"/>
        <w:jc w:val="both"/>
        <w:rPr/>
      </w:pPr>
      <w:bookmarkStart w:id="18" w:name="_Ref337639440"/>
      <w:bookmarkStart w:id="19" w:name="_Ref337663206"/>
      <w:bookmarkStart w:id="20" w:name="__RefHeading__8929_1337920592"/>
      <w:bookmarkEnd w:id="18"/>
      <w:bookmarkEnd w:id="19"/>
      <w:bookmarkEnd w:id="20"/>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1" w:name="__RefHeading__8917_1337920592"/>
      <w:bookmarkEnd w:id="21"/>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sz w:val="20"/>
          <w:szCs w:val="20"/>
        </w:rPr>
        <w:fldChar w:fldCharType="begin"/>
      </w:r>
      <w:r>
        <w:instrText> REF __RefHeading__8917_1337920592 \r \h </w:instrText>
      </w:r>
      <w:r>
        <w:fldChar w:fldCharType="separate"/>
      </w:r>
      <w:r>
        <w:t>17.1</w:t>
      </w:r>
      <w: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La dirección de Endless para notificaciones es: Endless Mobile, Inc. 512 2nd Street, 3rd Floor, San Francisco, CA 94107,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2" w:name="__RefHeading__8927_1337920592"/>
      <w:bookmarkEnd w:id="22"/>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sz w:val="20"/>
          <w:szCs w:val="20"/>
        </w:rPr>
        <w:fldChar w:fldCharType="begin"/>
      </w:r>
      <w:r>
        <w:instrText> REF __RefHeading__8927_1337920592 \r \h </w:instrText>
      </w:r>
      <w:r>
        <w:fldChar w:fldCharType="separate"/>
      </w:r>
      <w:r>
        <w:t>17.5</w:t>
      </w:r>
      <w:r>
        <w:fldChar w:fldCharType="end"/>
      </w:r>
      <w:r>
        <w:rPr>
          <w:sz w:val="20"/>
          <w:szCs w:val="20"/>
        </w:rPr>
        <w:t xml:space="preserve"> es inejecutable o si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es inejecutable entonces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será nula y sin efecto y, en tal caso, las partes acuerdan que la jurisdicción y competencia exclusiva descrita en la Sección </w:t>
      </w:r>
      <w:r>
        <w:rPr>
          <w:sz w:val="20"/>
          <w:szCs w:val="20"/>
        </w:rPr>
        <w:fldChar w:fldCharType="begin"/>
      </w:r>
      <w:r>
        <w:instrText> REF __RefHeading__8931_1337920592 \r \h </w:instrText>
      </w:r>
      <w:r>
        <w:fldChar w:fldCharType="separate"/>
      </w:r>
      <w:r>
        <w:t>14</w:t>
      </w:r>
      <w: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3"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3"/>
      <w:r>
        <w:rPr>
          <w:b w:val="false"/>
          <w:bCs w:val="false"/>
          <w:sz w:val="20"/>
          <w:szCs w:val="20"/>
        </w:rPr>
        <w:t xml:space="preserve"> </w:t>
      </w:r>
    </w:p>
    <w:p>
      <w:pPr>
        <w:pStyle w:val="Outlinenumbered"/>
        <w:numPr>
          <w:ilvl w:val="0"/>
          <w:numId w:val="1"/>
        </w:numPr>
        <w:suppressAutoHyphens w:val="true"/>
        <w:jc w:val="both"/>
        <w:rPr/>
      </w:pPr>
      <w:bookmarkStart w:id="24" w:name="__RefHeading__9298_1337920592"/>
      <w:bookmarkStart w:id="25" w:name="__RefHeading__8550_1337920592"/>
      <w:bookmarkEnd w:id="24"/>
      <w:bookmarkEnd w:id="25"/>
      <w:r>
        <w:rPr>
          <w:rStyle w:val="Strong"/>
          <w:sz w:val="20"/>
          <w:szCs w:val="20"/>
        </w:rPr>
        <w:t>Avisos</w:t>
      </w:r>
      <w:r>
        <w:rPr>
          <w:rStyle w:val="Strong"/>
          <w:b w:val="false"/>
          <w:bCs w:val="false"/>
          <w:sz w:val="20"/>
          <w:szCs w:val="20"/>
        </w:rPr>
        <w:t xml:space="preserve">. A excepción de las notificaciones establecidas en las Secciones </w:t>
      </w:r>
      <w:r>
        <w:rPr>
          <w:rStyle w:val="Strong"/>
          <w:b w:val="false"/>
          <w:bCs w:val="false"/>
          <w:sz w:val="20"/>
          <w:szCs w:val="20"/>
        </w:rPr>
        <w:fldChar w:fldCharType="begin"/>
      </w:r>
      <w:r>
        <w:instrText> REF __RefHeading__8942_1337920592 \r \h </w:instrText>
      </w:r>
      <w:r>
        <w:fldChar w:fldCharType="separate"/>
      </w:r>
      <w:r>
        <w:t>10</w:t>
      </w:r>
      <w:r>
        <w:fldChar w:fldCharType="end"/>
      </w:r>
      <w:r>
        <w:rPr>
          <w:rStyle w:val="Strong"/>
          <w:b w:val="false"/>
          <w:bCs w:val="false"/>
          <w:sz w:val="20"/>
          <w:szCs w:val="20"/>
        </w:rPr>
        <w:t xml:space="preserve"> y </w:t>
      </w:r>
      <w:r>
        <w:rPr>
          <w:rStyle w:val="Strong"/>
          <w:b w:val="false"/>
          <w:bCs w:val="false"/>
          <w:sz w:val="20"/>
          <w:szCs w:val="20"/>
        </w:rPr>
        <w:fldChar w:fldCharType="begin"/>
      </w:r>
      <w:r>
        <w:instrText> REF __RefHeading__8929_1337920592 \r \h </w:instrText>
      </w:r>
      <w:r>
        <w:fldChar w:fldCharType="separate"/>
      </w:r>
      <w:r>
        <w:t>17</w:t>
      </w:r>
      <w:r>
        <w:fldChar w:fldCharType="end"/>
      </w:r>
      <w:r>
        <w:rPr>
          <w:rStyle w:val="Strong"/>
          <w:b w:val="false"/>
          <w:bCs w:val="false"/>
          <w:sz w:val="20"/>
          <w:szCs w:val="20"/>
        </w:rPr>
        <w:t xml:space="preserve">, todas las notificaciones a Endless deben enviarse a Endless Mobile, Inc., </w:t>
      </w:r>
      <w:r>
        <w:rPr>
          <w:rStyle w:val="Strong"/>
          <w:b/>
          <w:bCs/>
          <w:sz w:val="20"/>
          <w:szCs w:val="20"/>
        </w:rPr>
        <w:t>512 2nd Street, 3rd Floor, San Francisco, CA 94107,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Mobile, Inc., ubicada en 512 2nd Street, 3rd Floor, San Francisco, CA 94107,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10 de Agosto,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b/>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0"/>
    </w:rPr>
  </w:style>
  <w:style w:type="character" w:styleId="ListLabel81">
    <w:name w:val="ListLabel 81"/>
    <w:qFormat/>
    <w:rPr>
      <w:rFonts w:cs="Symbo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sz w:val="20"/>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b/>
      <w:sz w:val="20"/>
    </w:rPr>
  </w:style>
  <w:style w:type="character" w:styleId="ListLabel89">
    <w:name w:val="ListLabel 89"/>
    <w:qFormat/>
    <w:rPr>
      <w:rFonts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sz w:val="20"/>
    </w:rPr>
  </w:style>
  <w:style w:type="character" w:styleId="ListLabel93">
    <w:name w:val="ListLabel 93"/>
    <w:qFormat/>
    <w:rPr>
      <w:rFonts w:cs="Symbol"/>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sz w:val="20"/>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sz w:val="20"/>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sz w:val="20"/>
    </w:rPr>
  </w:style>
  <w:style w:type="character" w:styleId="ListLabel105">
    <w:name w:val="ListLabel 105"/>
    <w:qFormat/>
    <w:rPr>
      <w:rFonts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b/>
      <w:sz w:val="20"/>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sz w:val="20"/>
    </w:rPr>
  </w:style>
  <w:style w:type="character" w:styleId="ListLabel117">
    <w:name w:val="ListLabel 117"/>
    <w:qFormat/>
    <w:rPr>
      <w:rFonts w:cs="Symbol"/>
      <w:sz w:val="20"/>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sz w:val="20"/>
    </w:rPr>
  </w:style>
  <w:style w:type="character" w:styleId="ListLabel121">
    <w:name w:val="ListLabel 121"/>
    <w:qFormat/>
    <w:rPr>
      <w:rFonts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b/>
      <w:sz w:val="20"/>
    </w:rPr>
  </w:style>
  <w:style w:type="character" w:styleId="ListLabel125">
    <w:name w:val="ListLabel 125"/>
    <w:qFormat/>
    <w:rPr>
      <w:rFonts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sz w:val="20"/>
    </w:rPr>
  </w:style>
  <w:style w:type="character" w:styleId="ListLabel129">
    <w:name w:val="ListLabel 129"/>
    <w:qFormat/>
    <w:rPr>
      <w:rFonts w:cs="Symbol"/>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b/>
      <w:sz w:val="20"/>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Bullets">
    <w:name w:val="Bullets"/>
    <w:qFormat/>
    <w:rPr>
      <w:rFonts w:ascii="OpenSymbol" w:hAnsi="OpenSymbol" w:eastAsia="OpenSymbol" w:cs="OpenSymbol"/>
    </w:rPr>
  </w:style>
  <w:style w:type="character" w:styleId="ListLabel136">
    <w:name w:val="ListLabel 136"/>
    <w:qFormat/>
    <w:rPr>
      <w:b/>
      <w:sz w:val="20"/>
    </w:rPr>
  </w:style>
  <w:style w:type="character" w:styleId="ListLabel137">
    <w:name w:val="ListLabel 137"/>
    <w:qFormat/>
    <w:rPr>
      <w:rFonts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0"/>
    </w:rPr>
  </w:style>
  <w:style w:type="character" w:styleId="ListLabel141">
    <w:name w:val="ListLabel 141"/>
    <w:qFormat/>
    <w:rPr>
      <w:rFonts w:cs="Symbol"/>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0"/>
    </w:rPr>
  </w:style>
  <w:style w:type="character" w:styleId="ListLabel145">
    <w:name w:val="ListLabel 145"/>
    <w:qFormat/>
    <w:rPr>
      <w:rFonts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sz w:val="20"/>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LibreOffice/4.4.4.3$Linux_X86_64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cp:keywords>
 </cp:keywords>
  <dc:language>en-US</dc:language>
  <cp:lastPrinted>2013-12-16T23:20:00Z</cp:lastPrinted>
  <dcterms:modified xsi:type="dcterms:W3CDTF">2016-08-10T02:08:22Z</dcterms:modified>
  <cp:revision>33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