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>$bunit</w:t>
            </w:r>
            <w:r>
              <w:rPr>
                <w:rFonts w:cs="Arial"/>
                <w:b/>
                <w:sz w:val="32"/>
                <w:szCs w:val="32"/>
              </w:rPr>
              <w:t xml:space="preserve">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r>
              <w:rPr/>
              <w:t>$owner-group</w:t>
            </w:r>
            <w:bookmarkEnd w:id="0"/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cs="Arial"/>
              </w:rPr>
              <w:instrText> DATE \@"yyyy\-MM\-dd" </w:instrText>
            </w:r>
            <w:r>
              <w:rPr>
                <w:sz w:val="22"/>
                <w:szCs w:val="22"/>
                <w:rFonts w:cs="Arial"/>
              </w:rPr>
              <w:fldChar w:fldCharType="separate"/>
            </w:r>
            <w:r>
              <w:rPr>
                <w:sz w:val="22"/>
                <w:szCs w:val="22"/>
                <w:rFonts w:cs="Arial"/>
              </w:rPr>
              <w:t>2019-04-08</w:t>
            </w:r>
            <w:r>
              <w:rPr>
                <w:sz w:val="22"/>
                <w:szCs w:val="22"/>
                <w:rFonts w:cs="Arial"/>
              </w:rPr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 xml:space="preserve">(*) in case of </w:t>
            </w:r>
            <w:r>
              <w:rPr>
                <w:rFonts w:cs="Arial"/>
                <w:sz w:val="16"/>
                <w:szCs w:val="16"/>
              </w:rPr>
              <w:t>internal</w:t>
            </w:r>
            <w:r>
              <w:rPr>
                <w:rFonts w:cs="Arial"/>
                <w:sz w:val="16"/>
                <w:szCs w:val="16"/>
              </w:rPr>
              <w:t xml:space="preserve"> components </w:t>
            </w:r>
            <w:r>
              <w:rPr>
                <w:rFonts w:cs="Arial"/>
                <w:sz w:val="16"/>
                <w:szCs w:val="16"/>
              </w:rPr>
              <w:t>or sub projects</w:t>
            </w:r>
            <w:r>
              <w:rPr>
                <w:rFonts w:cs="Arial"/>
                <w:sz w:val="16"/>
                <w:szCs w:val="16"/>
              </w:rPr>
              <w:t>, delivery of Readme_OSS and source code delivery must be done by superordinated product</w:t>
            </w:r>
          </w:p>
        </w:tc>
        <w:tc>
          <w:tcPr>
            <w:tcW w:w="3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43_4144078424"/>
            <w:bookmarkStart w:id="2" w:name="__Fieldmark__1432_2863671213"/>
            <w:bookmarkStart w:id="3" w:name="__Fieldmark__430_2376387130"/>
            <w:bookmarkStart w:id="4" w:name="__Fieldmark__202_693472701"/>
            <w:bookmarkStart w:id="5" w:name="__Fieldmark__34_467579353"/>
            <w:bookmarkStart w:id="6" w:name="__Fieldmark__37_2936216607"/>
            <w:bookmarkStart w:id="7" w:name="__Fieldmark__43_4144078424"/>
            <w:bookmarkStart w:id="8" w:name="__Fieldmark__43_4144078424"/>
            <w:bookmarkEnd w:id="2"/>
            <w:bookmarkEnd w:id="3"/>
            <w:bookmarkEnd w:id="4"/>
            <w:bookmarkEnd w:id="5"/>
            <w:bookmarkEnd w:id="6"/>
            <w:bookmarkEnd w:id="8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9" w:name="__Fieldmark__56_4120416817"/>
            <w:bookmarkStart w:id="10" w:name="__Fieldmark__70_1861443027"/>
            <w:bookmarkStart w:id="11" w:name="__Fieldmark__451_2806362936"/>
            <w:bookmarkStart w:id="12" w:name="__Fieldmark__38_2683092876"/>
            <w:bookmarkStart w:id="13" w:name="__Fieldmark__96_4144078424"/>
            <w:bookmarkStart w:id="14" w:name="__Fieldmark__1482_2863671213"/>
            <w:bookmarkStart w:id="15" w:name="__Fieldmark__122_4282271555"/>
            <w:bookmarkStart w:id="16" w:name="__Fieldmark__78_467579353"/>
            <w:bookmarkStart w:id="17" w:name="__Fieldmark__84_2119690868"/>
            <w:bookmarkStart w:id="18" w:name="__Fieldmark__240_693472701"/>
            <w:bookmarkStart w:id="19" w:name="__Fieldmark__121_11373989334"/>
            <w:bookmarkStart w:id="20" w:name="__Fieldmark__84_2936216607"/>
            <w:bookmarkStart w:id="21" w:name="__Fieldmark__64_459903821"/>
            <w:bookmarkStart w:id="22" w:name="__Fieldmark__569_2806362936"/>
            <w:bookmarkStart w:id="23" w:name="__Fieldmark__78_111612999"/>
            <w:bookmarkStart w:id="24" w:name="__Fieldmark__471_2376387130"/>
            <w:bookmarkStart w:id="25" w:name="__Fieldmark__90_3681762000"/>
            <w:bookmarkStart w:id="26" w:name="__Fieldmark__96_4144078424"/>
            <w:bookmarkStart w:id="27" w:name="__Fieldmark__96_4144078424"/>
            <w:bookmarkEnd w:id="9"/>
            <w:bookmarkEnd w:id="10"/>
            <w:bookmarkEnd w:id="11"/>
            <w:bookmarkEnd w:id="12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7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cs="Arial"/>
              </w:rPr>
              <w:instrText> REF __RefHeading___Toc113_693472701 \n \h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r>
              <w:rPr>
                <w:sz w:val="20"/>
                <w:szCs w:val="20"/>
                <w:rFonts w:cs="Arial"/>
              </w:rPr>
              <w:t>1.4</w:t>
            </w:r>
            <w:r>
              <w:rPr>
                <w:sz w:val="20"/>
                <w:szCs w:val="20"/>
                <w:rFonts w:cs="Arial"/>
              </w:rPr>
              <w:fldChar w:fldCharType="end"/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5_693472701">
        <w:r>
          <w:rPr>
            <w:rStyle w:val="IndexLink"/>
          </w:rPr>
          <w:t>1 Conclusions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7_693472701">
        <w:r>
          <w:rPr>
            <w:rStyle w:val="IndexLink"/>
          </w:rPr>
          <w:t>1.1 Summary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9_693472701">
        <w:r>
          <w:rPr>
            <w:rStyle w:val="IndexLink"/>
          </w:rPr>
          <w:t>1.2 Issues not Considered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1_693472701">
        <w:r>
          <w:rPr>
            <w:rStyle w:val="IndexLink"/>
          </w:rPr>
          <w:t>1.3 Obligations to be Fulfilled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3_693472701">
        <w:r>
          <w:rPr>
            <w:rStyle w:val="IndexLink"/>
          </w:rPr>
          <w:t>1.4 Remaining Risks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5_693472701">
        <w:r>
          <w:rPr>
            <w:rStyle w:val="IndexLink"/>
          </w:rPr>
          <w:t>1.4.1 General Risks relating to OSS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7_693472701">
        <w:r>
          <w:rPr>
            <w:rStyle w:val="IndexLink"/>
          </w:rPr>
          <w:t>1.4.2 Specific Risks relating to OSS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9_693472701">
        <w:r>
          <w:rPr>
            <w:rStyle w:val="IndexLink"/>
          </w:rPr>
          <w:t>1.4.3 General risks relating to commercial 3rd party software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21_693472701">
        <w:r>
          <w:rPr>
            <w:rStyle w:val="IndexLink"/>
          </w:rPr>
          <w:t>1.4.4 Specific risks relating to commercial 3rd party software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IndexLink"/>
          </w:rPr>
          <w:t>2 Product Overview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7_693472701">
        <w:r>
          <w:rPr>
            <w:rStyle w:val="IndexLink"/>
          </w:rPr>
          <w:t>2.1 Product description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9_693472701">
        <w:r>
          <w:rPr>
            <w:rStyle w:val="IndexLink"/>
          </w:rPr>
          <w:t>2.2 Delivery Channels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1_693472701">
        <w:r>
          <w:rPr>
            <w:rStyle w:val="IndexLink"/>
          </w:rPr>
          <w:t>2.3 Development Details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3_693472701">
        <w:r>
          <w:rPr>
            <w:rStyle w:val="IndexLink"/>
          </w:rPr>
          <w:t>2.4 Overview 3rd party components/services/artifacts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IndexLink"/>
          </w:rPr>
          <w:t>3 Obligations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5_693472701">
        <w:r>
          <w:rPr>
            <w:rStyle w:val="IndexLink"/>
          </w:rPr>
          <w:t>3.1 Common Rules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7_693472701">
        <w:r>
          <w:rPr>
            <w:rStyle w:val="IndexLink"/>
          </w:rPr>
          <w:t>3.2 Additional Requirements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9_693472701">
        <w:r>
          <w:rPr>
            <w:rStyle w:val="IndexLink"/>
          </w:rPr>
          <w:t>3.3 Disclosure Document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1_693472701">
        <w:r>
          <w:rPr>
            <w:rStyle w:val="IndexLink"/>
          </w:rPr>
          <w:t>3.4 Build Instructions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3_693472701">
        <w:r>
          <w:rPr>
            <w:rStyle w:val="IndexLink"/>
          </w:rPr>
          <w:t>3.5 Source Code Bundle</w:t>
          <w:tab/>
          <w:t>5</w:t>
        </w:r>
      </w:hyperlink>
    </w:p>
    <w:p>
      <w:pPr>
        <w:pStyle w:val="TextBody"/>
        <w:numPr>
          <w:ilvl w:val="0"/>
          <w:numId w:val="0"/>
        </w:numPr>
        <w:outlineLvl w:val="0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28" w:name="__RefHeading___Toc105_693472701"/>
      <w:bookmarkEnd w:id="28"/>
      <w:r>
        <w:rPr/>
        <w:t>Conclusions</w:t>
      </w:r>
    </w:p>
    <w:p>
      <w:pPr>
        <w:pStyle w:val="Heading2"/>
        <w:numPr>
          <w:ilvl w:val="1"/>
          <w:numId w:val="2"/>
        </w:numPr>
        <w:rPr/>
      </w:pPr>
      <w:bookmarkStart w:id="29" w:name="__RefHeading___Toc107_693472701"/>
      <w:bookmarkEnd w:id="29"/>
      <w:r>
        <w:rPr/>
        <w:t>Summary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$clearing-summary-text</w:t>
      </w:r>
    </w:p>
    <w:p>
      <w:pPr>
        <w:pStyle w:val="Heading2"/>
        <w:numPr>
          <w:ilvl w:val="1"/>
          <w:numId w:val="2"/>
        </w:numPr>
        <w:rPr/>
      </w:pPr>
      <w:bookmarkStart w:id="30" w:name="__RefHeading___Toc109_693472701"/>
      <w:bookmarkEnd w:id="30"/>
      <w:r>
        <w:rPr/>
        <w:t>Issues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3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3"/>
        </w:numPr>
        <w:rPr/>
      </w:pPr>
      <w:r>
        <w:rPr/>
        <w:t>Security issues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3"/>
        </w:numPr>
        <w:rPr/>
      </w:pPr>
      <w:r>
        <w:rPr/>
        <w:t>Product safety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numPr>
          <w:ilvl w:val="1"/>
          <w:numId w:val="2"/>
        </w:numPr>
        <w:rPr/>
      </w:pPr>
      <w:bookmarkStart w:id="31" w:name="__RefHeading___Toc111_693472701"/>
      <w:bookmarkEnd w:id="31"/>
      <w:r>
        <w:rPr/>
        <w:t>Obligations to be Fulfilled</w:t>
      </w:r>
    </w:p>
    <w:p>
      <w:pPr>
        <w:pStyle w:val="TextBody"/>
        <w:rPr/>
      </w:pPr>
      <w:r>
        <w:rPr/>
        <w:t>$obligations-text</w:t>
      </w:r>
    </w:p>
    <w:p>
      <w:pPr>
        <w:pStyle w:val="Heading2"/>
        <w:numPr>
          <w:ilvl w:val="1"/>
          <w:numId w:val="2"/>
        </w:numPr>
        <w:rPr/>
      </w:pPr>
      <w:bookmarkStart w:id="32" w:name="__RefHeading___Toc113_693472701"/>
      <w:bookmarkEnd w:id="32"/>
      <w:r>
        <w:rPr/>
        <w:t>Remaining Risks</w:t>
      </w:r>
    </w:p>
    <w:p>
      <w:pPr>
        <w:pStyle w:val="Heading3"/>
        <w:numPr>
          <w:ilvl w:val="2"/>
          <w:numId w:val="2"/>
        </w:numPr>
        <w:rPr/>
      </w:pPr>
      <w:bookmarkStart w:id="33" w:name="__RefHeading___Toc115_693472701"/>
      <w:bookmarkEnd w:id="33"/>
      <w:r>
        <w:rPr/>
        <w:t>General Risks relating to OSS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There is general absence of warranty/liability, e.g. – error corrections must be made by or ordered by </w:t>
      </w:r>
      <w:r>
        <w:rPr/>
        <w:t>the</w:t>
      </w:r>
      <w:r>
        <w:rPr/>
        <w:t xml:space="preserve"> </w:t>
      </w:r>
      <w:r>
        <w:rPr/>
        <w:t>organization</w:t>
      </w:r>
      <w:r>
        <w:rPr/>
        <w:t xml:space="preserve">, and </w:t>
      </w:r>
      <w:r>
        <w:rPr/>
        <w:t>the organization</w:t>
      </w:r>
      <w:r>
        <w:rPr/>
        <w:t xml:space="preserve"> must cover all damages.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numPr>
          <w:ilvl w:val="2"/>
          <w:numId w:val="2"/>
        </w:numPr>
        <w:rPr/>
      </w:pPr>
      <w:bookmarkStart w:id="34" w:name="__RefHeading___Toc117_693472701"/>
      <w:bookmarkEnd w:id="34"/>
      <w:r>
        <w:rPr/>
        <w:t>Special Risks relating to OSS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601"/>
        <w:gridCol w:w="2432"/>
        <w:gridCol w:w="4939"/>
      </w:tblGrid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  <w:t>$special-risks-oss-addition-text</w:t>
      </w:r>
    </w:p>
    <w:p>
      <w:pPr>
        <w:pStyle w:val="Heading3"/>
        <w:numPr>
          <w:ilvl w:val="2"/>
          <w:numId w:val="2"/>
        </w:numPr>
        <w:rPr/>
      </w:pPr>
      <w:bookmarkStart w:id="35" w:name="__RefHeading___Toc119_693472701"/>
      <w:bookmarkEnd w:id="35"/>
      <w:r>
        <w:rPr/>
        <w:t>General risks relating to commercial 3rd party software</w:t>
      </w:r>
    </w:p>
    <w:p>
      <w:pPr>
        <w:pStyle w:val="TextBody"/>
        <w:rPr/>
      </w:pPr>
      <w:r>
        <w:rPr/>
        <w:t>$general-risks-3rd-party-text</w:t>
      </w:r>
    </w:p>
    <w:p>
      <w:pPr>
        <w:pStyle w:val="Heading3"/>
        <w:numPr>
          <w:ilvl w:val="2"/>
          <w:numId w:val="2"/>
        </w:numPr>
        <w:rPr/>
      </w:pPr>
      <w:bookmarkStart w:id="36" w:name="__RefHeading___Toc121_693472701"/>
      <w:bookmarkEnd w:id="36"/>
      <w:r>
        <w:rPr/>
        <w:t>Specific risks relating to commercial 3rd party software</w:t>
      </w:r>
    </w:p>
    <w:p>
      <w:pPr>
        <w:pStyle w:val="TextBody"/>
        <w:rPr/>
      </w:pPr>
      <w:r>
        <w:rPr/>
        <w:t>$special-risks-3rd-party-text</w:t>
      </w:r>
    </w:p>
    <w:p>
      <w:pPr>
        <w:pStyle w:val="Heading1"/>
        <w:numPr>
          <w:ilvl w:val="0"/>
          <w:numId w:val="2"/>
        </w:numPr>
        <w:rPr/>
      </w:pPr>
      <w:bookmarkStart w:id="37" w:name="__RefHeading___Toc123_693472701"/>
      <w:bookmarkEnd w:id="37"/>
      <w:r>
        <w:rPr/>
        <w:t>Product Overview</w:t>
      </w:r>
    </w:p>
    <w:p>
      <w:pPr>
        <w:pStyle w:val="Heading2"/>
        <w:numPr>
          <w:ilvl w:val="1"/>
          <w:numId w:val="2"/>
        </w:numPr>
        <w:rPr/>
      </w:pPr>
      <w:bookmarkStart w:id="38" w:name="__RefHeading___Toc127_693472701"/>
      <w:bookmarkEnd w:id="38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numPr>
          <w:ilvl w:val="1"/>
          <w:numId w:val="2"/>
        </w:numPr>
        <w:rPr/>
      </w:pPr>
      <w:bookmarkStart w:id="39" w:name="__RefHeading___Toc129_693472701"/>
      <w:bookmarkEnd w:id="39"/>
      <w:r>
        <w:rPr/>
        <w:t>Delivery Channels</w:t>
      </w:r>
    </w:p>
    <w:p>
      <w:pPr>
        <w:pStyle w:val="TextBody"/>
        <w:rPr/>
      </w:pPr>
      <w:r>
        <w:rPr/>
        <w:t>$delivery-channels-text</w:t>
      </w:r>
    </w:p>
    <w:p>
      <w:pPr>
        <w:pStyle w:val="Heading2"/>
        <w:numPr>
          <w:ilvl w:val="1"/>
          <w:numId w:val="2"/>
        </w:numPr>
        <w:rPr/>
      </w:pPr>
      <w:bookmarkStart w:id="40" w:name="__RefHeading___Toc131_693472701"/>
      <w:bookmarkEnd w:id="40"/>
      <w:r>
        <w:rPr/>
        <w:t>Development Details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Platforms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Overview 3rd party components/services/artifacts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7"/>
        <w:gridCol w:w="1662"/>
        <w:gridCol w:w="1656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Sha1 Hash sw360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Main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1" w:name="__RefHeading___Toc125_693472701"/>
      <w:bookmarkEnd w:id="41"/>
      <w:r>
        <w:rPr/>
        <w:t xml:space="preserve">Obligations </w:t>
      </w:r>
      <w:r>
        <w:rPr/>
        <w:t>resulting from the use of 3</w:t>
      </w:r>
      <w:r>
        <w:rPr>
          <w:vertAlign w:val="superscript"/>
        </w:rPr>
        <w:t>rd</w:t>
      </w:r>
      <w:r>
        <w:rPr/>
        <w:t xml:space="preserve"> party components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These Obligations belong to all OSS components.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 following artifacts are available in the software catalogue sw360: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Readme_OSS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Source Code Package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br/>
      </w:r>
    </w:p>
    <w:p>
      <w:pPr>
        <w:pStyle w:val="Normal"/>
        <w:rPr>
          <w:b w:val="false"/>
          <w:i w:val="false"/>
          <w:caps w:val="false"/>
          <w:smallCaps w:val="false"/>
          <w:color w:val="24292E"/>
          <w:spacing w:val="0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2" w:name="__RefHeading___Toc135_693472701"/>
      <w:bookmarkEnd w:id="42"/>
      <w:r>
        <w:rPr/>
        <w:t>Common Rules</w:t>
      </w:r>
    </w:p>
    <w:p>
      <w:pPr>
        <w:pStyle w:val="Heading2"/>
        <w:numPr>
          <w:ilvl w:val="1"/>
          <w:numId w:val="2"/>
        </w:numPr>
        <w:rPr/>
      </w:pPr>
      <w:bookmarkStart w:id="43" w:name="__RefHeading___Toc137_693472701"/>
      <w:bookmarkEnd w:id="43"/>
      <w:r>
        <w:rPr/>
        <w:t>Additional Requirements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Most of the integrated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components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are licensed under </w:t>
      </w:r>
      <w:bookmarkStart w:id="44" w:name="__DdeLink__424_414407842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$list_comma_sep_licenses_above_threshold</w:t>
      </w:r>
      <w:bookmarkEnd w:id="4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To keep the clearing report clearly arranged these additional obligations are listed here.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$remarks-additional-requirements-text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Readme_OSS</w:t>
      </w:r>
    </w:p>
    <w:p>
      <w:pPr>
        <w:pStyle w:val="Heading2"/>
        <w:numPr>
          <w:ilvl w:val="1"/>
          <w:numId w:val="2"/>
        </w:numPr>
        <w:rPr/>
      </w:pPr>
      <w:r>
        <w:rPr/>
        <w:t>Build Instructions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Not available</w:t>
      </w:r>
    </w:p>
    <w:p>
      <w:pPr>
        <w:pStyle w:val="Heading2"/>
        <w:numPr>
          <w:ilvl w:val="1"/>
          <w:numId w:val="2"/>
        </w:numPr>
        <w:rPr/>
      </w:pPr>
      <w:r>
        <w:rPr/>
        <w:t>Source Code Bundle</w:t>
      </w:r>
    </w:p>
    <w:p>
      <w:pPr>
        <w:pStyle w:val="Normal"/>
        <w:numPr>
          <w:ilvl w:val="0"/>
          <w:numId w:val="0"/>
        </w:numPr>
        <w:ind w:left="0" w:hanging="0"/>
        <w:rPr/>
      </w:pPr>
      <w:bookmarkStart w:id="45" w:name="docs-internal-guid-b3678226-7fff-98d6-cb"/>
      <w:bookmarkEnd w:id="45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At least the source code bundle of the packages which are licensed under a license that require making the source code available has to be generated.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Please be aware that some source packages have to be manipulated before they are distributed, these are mainly those packages which contain “do not use” licensed files.</w:t>
      </w:r>
    </w:p>
    <w:p>
      <w:pPr>
        <w:pStyle w:val="TextBody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 Source Bundle can be generated via sw360 at any time.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Project Clearing Report</w:t>
    </w:r>
    <w:r>
      <w:rPr/>
      <w:t xml:space="preserve">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358</TotalTime>
  <Application>LibreOffice/6.0.7.3$Linux_X86_64 LibreOffice_project/00m0$Build-3</Application>
  <Pages>4</Pages>
  <Words>579</Words>
  <Characters>3425</Characters>
  <CharactersWithSpaces>3878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2019-04-08T09:49:46Z</dcterms:modified>
  <cp:revision>28</cp:revision>
  <dc:subject/>
  <dc:title/>
</cp:coreProperties>
</file>