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181" w:type="dxa"/>
        <w:jc w:val="righ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0" w:val="01e0" w:noHBand="0" w:lastColumn="1" w:firstColumn="1" w:lastRow="1" w:firstRow="1"/>
      </w:tblPr>
      <w:tblGrid>
        <w:gridCol w:w="1703"/>
        <w:gridCol w:w="1357"/>
        <w:gridCol w:w="3059"/>
        <w:gridCol w:w="1"/>
        <w:gridCol w:w="1345"/>
        <w:gridCol w:w="1716"/>
      </w:tblGrid>
      <w:tr>
        <w:trPr>
          <w:trHeight w:val="328" w:hRule="atLeast"/>
        </w:trPr>
        <w:tc>
          <w:tcPr>
            <w:tcW w:w="746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</w:tcPr>
          <w:p>
            <w:pPr>
              <w:pStyle w:val="Normal"/>
              <w:spacing w:before="0" w:after="158"/>
              <w:ind w:left="0" w:right="0" w:hanging="0"/>
              <w:jc w:val="left"/>
              <w:rPr/>
            </w:pPr>
            <w:r>
              <w:rPr>
                <w:rFonts w:cs="Arial"/>
                <w:b/>
              </w:rPr>
              <w:t>Product Clearing report for 3</w:t>
            </w:r>
            <w:r>
              <w:rPr>
                <w:rFonts w:cs="Arial"/>
                <w:b/>
                <w:vertAlign w:val="superscript"/>
              </w:rPr>
              <w:t>rd</w:t>
            </w:r>
            <w:r>
              <w:rPr>
                <w:rFonts w:cs="Arial"/>
                <w:b/>
              </w:rPr>
              <w:t xml:space="preserve"> party SW components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</w:tcPr>
          <w:p>
            <w:pPr>
              <w:pStyle w:val="Normal"/>
              <w:spacing w:before="0" w:after="158"/>
              <w:ind w:left="0" w:right="0" w:hanging="0"/>
              <w:jc w:val="left"/>
              <w:rPr/>
            </w:pPr>
            <w:r>
              <w:rPr>
                <w:rFonts w:cs="Arial"/>
                <w:b/>
                <w:sz w:val="32"/>
                <w:szCs w:val="32"/>
              </w:rPr>
              <w:t>$bunit</w:t>
            </w:r>
            <w:r>
              <w:rPr>
                <w:rFonts w:cs="Arial"/>
                <w:b/>
                <w:sz w:val="32"/>
                <w:szCs w:val="32"/>
              </w:rPr>
              <w:t xml:space="preserve"> </w:t>
            </w:r>
          </w:p>
        </w:tc>
      </w:tr>
      <w:tr>
        <w:trPr>
          <w:trHeight w:val="277" w:hRule="atLeast"/>
        </w:trPr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</w:tcPr>
          <w:p>
            <w:pPr>
              <w:pStyle w:val="Normal"/>
              <w:spacing w:before="0" w:after="158"/>
              <w:ind w:left="0" w:right="0" w:hanging="0"/>
              <w:jc w:val="left"/>
              <w:rPr/>
            </w:pPr>
            <w:r>
              <w:rPr>
                <w:b/>
                <w:bCs/>
              </w:rPr>
              <w:t>Group</w:t>
            </w:r>
          </w:p>
        </w:tc>
        <w:tc>
          <w:tcPr>
            <w:tcW w:w="747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</w:tcPr>
          <w:p>
            <w:pPr>
              <w:pStyle w:val="Normal"/>
              <w:spacing w:before="0" w:after="158"/>
              <w:ind w:left="0" w:right="0" w:hanging="0"/>
              <w:jc w:val="left"/>
              <w:rPr/>
            </w:pPr>
            <w:bookmarkStart w:id="0" w:name="__DdeLink__150_111612999"/>
            <w:r>
              <w:rPr/>
              <w:t>$owner-group</w:t>
            </w:r>
            <w:bookmarkEnd w:id="0"/>
          </w:p>
        </w:tc>
      </w:tr>
      <w:tr>
        <w:trPr>
          <w:trHeight w:val="277" w:hRule="atLeast"/>
        </w:trPr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</w:tcPr>
          <w:p>
            <w:pPr>
              <w:pStyle w:val="Normal"/>
              <w:spacing w:before="0" w:after="158"/>
              <w:ind w:left="0" w:right="0" w:hanging="0"/>
              <w:jc w:val="left"/>
              <w:rPr/>
            </w:pPr>
            <w:r>
              <w:rPr>
                <w:rFonts w:cs="Arial"/>
                <w:b/>
              </w:rPr>
              <w:t>Product</w:t>
            </w:r>
          </w:p>
        </w:tc>
        <w:tc>
          <w:tcPr>
            <w:tcW w:w="747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</w:tcPr>
          <w:p>
            <w:pPr>
              <w:pStyle w:val="Normal"/>
              <w:spacing w:before="0" w:after="158"/>
              <w:ind w:left="0" w:right="0" w:hanging="0"/>
              <w:jc w:val="left"/>
              <w:rPr/>
            </w:pPr>
            <w:r>
              <w:rPr>
                <w:sz w:val="22"/>
                <w:szCs w:val="22"/>
              </w:rPr>
              <w:t>$project-name</w:t>
            </w:r>
          </w:p>
        </w:tc>
      </w:tr>
      <w:tr>
        <w:trPr>
          <w:trHeight w:val="277" w:hRule="atLeast"/>
        </w:trPr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</w:tcPr>
          <w:p>
            <w:pPr>
              <w:pStyle w:val="Normal"/>
              <w:spacing w:before="0" w:after="158"/>
              <w:ind w:left="0" w:right="0" w:hanging="0"/>
              <w:jc w:val="left"/>
              <w:rPr/>
            </w:pPr>
            <w:r>
              <w:rPr>
                <w:rFonts w:cs="Arial"/>
                <w:b/>
              </w:rPr>
              <w:t>Version</w:t>
            </w:r>
          </w:p>
        </w:tc>
        <w:tc>
          <w:tcPr>
            <w:tcW w:w="747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</w:tcPr>
          <w:p>
            <w:pPr>
              <w:pStyle w:val="Normal"/>
              <w:spacing w:before="0" w:after="158"/>
              <w:ind w:left="0" w:right="0" w:hanging="0"/>
              <w:jc w:val="left"/>
              <w:rPr/>
            </w:pPr>
            <w:r>
              <w:rPr>
                <w:rFonts w:cs="Arial"/>
                <w:color w:val="000000"/>
                <w:sz w:val="22"/>
                <w:szCs w:val="22"/>
              </w:rPr>
              <w:t>$project-version</w:t>
            </w:r>
          </w:p>
        </w:tc>
      </w:tr>
      <w:tr>
        <w:trPr>
          <w:trHeight w:val="277" w:hRule="atLeast"/>
        </w:trPr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</w:tcPr>
          <w:p>
            <w:pPr>
              <w:pStyle w:val="Normal"/>
              <w:spacing w:before="0" w:after="158"/>
              <w:ind w:left="0" w:right="0" w:hanging="0"/>
              <w:jc w:val="left"/>
              <w:rPr/>
            </w:pPr>
            <w:r>
              <w:rPr>
                <w:rFonts w:cs="Arial"/>
                <w:b/>
              </w:rPr>
              <w:t>Clearing date</w:t>
            </w:r>
          </w:p>
        </w:tc>
        <w:tc>
          <w:tcPr>
            <w:tcW w:w="747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</w:tcPr>
          <w:p>
            <w:pPr>
              <w:pStyle w:val="Normal"/>
              <w:spacing w:lineRule="auto" w:line="360" w:before="0" w:after="158"/>
              <w:ind w:left="0" w:right="0" w:hanging="0"/>
              <w:jc w:val="left"/>
              <w:rPr/>
            </w:pPr>
            <w:r>
              <w:rPr>
                <w:rFonts w:cs="Arial"/>
                <w:sz w:val="22"/>
                <w:szCs w:val="22"/>
              </w:rPr>
              <w:fldChar w:fldCharType="begin"/>
            </w:r>
            <w:r>
              <w:rPr>
                <w:sz w:val="22"/>
                <w:szCs w:val="22"/>
                <w:rFonts w:cs="Arial"/>
              </w:rPr>
              <w:instrText> DATE \@"yyyy\-MM\-dd" </w:instrText>
            </w:r>
            <w:r>
              <w:rPr>
                <w:sz w:val="22"/>
                <w:szCs w:val="22"/>
                <w:rFonts w:cs="Arial"/>
              </w:rPr>
              <w:fldChar w:fldCharType="separate"/>
            </w:r>
            <w:r>
              <w:rPr>
                <w:sz w:val="22"/>
                <w:szCs w:val="22"/>
                <w:rFonts w:cs="Arial"/>
              </w:rPr>
              <w:t>2019-04-08</w:t>
            </w:r>
            <w:r>
              <w:rPr>
                <w:sz w:val="22"/>
                <w:szCs w:val="22"/>
                <w:rFonts w:cs="Arial"/>
              </w:rPr>
              <w:fldChar w:fldCharType="end"/>
            </w:r>
          </w:p>
        </w:tc>
      </w:tr>
      <w:tr>
        <w:trPr>
          <w:trHeight w:val="277" w:hRule="atLeast"/>
        </w:trPr>
        <w:tc>
          <w:tcPr>
            <w:tcW w:w="918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</w:tcPr>
          <w:p>
            <w:pPr>
              <w:pStyle w:val="Normal"/>
              <w:spacing w:before="0" w:after="158"/>
              <w:ind w:left="0" w:right="0" w:hanging="0"/>
              <w:jc w:val="left"/>
              <w:rPr/>
            </w:pPr>
            <w:r>
              <w:rPr/>
              <w:t>Attendees:</w:t>
            </w:r>
          </w:p>
        </w:tc>
      </w:tr>
      <w:tr>
        <w:trPr>
          <w:trHeight w:val="277" w:hRule="atLeast"/>
        </w:trPr>
        <w:tc>
          <w:tcPr>
            <w:tcW w:w="30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</w:tcPr>
          <w:p>
            <w:pPr>
              <w:pStyle w:val="Normal"/>
              <w:spacing w:before="0" w:after="158"/>
              <w:ind w:left="0" w:right="0" w:hanging="0"/>
              <w:jc w:val="left"/>
              <w:rPr/>
            </w:pPr>
            <w:r>
              <w:rPr/>
              <w:t>Name</w:t>
            </w:r>
          </w:p>
        </w:tc>
        <w:tc>
          <w:tcPr>
            <w:tcW w:w="30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</w:tcPr>
          <w:p>
            <w:pPr>
              <w:pStyle w:val="Normal"/>
              <w:spacing w:before="0" w:after="158"/>
              <w:ind w:left="0" w:right="0" w:hanging="0"/>
              <w:jc w:val="left"/>
              <w:rPr/>
            </w:pPr>
            <w:r>
              <w:rPr/>
              <w:t>Department</w:t>
            </w:r>
          </w:p>
        </w:tc>
        <w:tc>
          <w:tcPr>
            <w:tcW w:w="30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</w:tcPr>
          <w:p>
            <w:pPr>
              <w:pStyle w:val="Normal"/>
              <w:spacing w:before="0" w:after="158"/>
              <w:ind w:left="0" w:right="0" w:hanging="0"/>
              <w:jc w:val="left"/>
              <w:rPr/>
            </w:pPr>
            <w:r>
              <w:rPr/>
              <w:t>Role</w:t>
            </w:r>
          </w:p>
        </w:tc>
      </w:tr>
      <w:tr>
        <w:trPr>
          <w:trHeight w:val="277" w:hRule="atLeast"/>
        </w:trPr>
        <w:tc>
          <w:tcPr>
            <w:tcW w:w="61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</w:tcPr>
          <w:p>
            <w:pPr>
              <w:pStyle w:val="Normal"/>
              <w:spacing w:before="0" w:after="158"/>
              <w:ind w:left="0" w:right="0" w:hanging="0"/>
              <w:jc w:val="left"/>
              <w:rPr/>
            </w:pPr>
            <w:r>
              <w:rPr>
                <w:rFonts w:cs="Arial"/>
                <w:sz w:val="20"/>
                <w:szCs w:val="20"/>
              </w:rPr>
              <w:t>The requirements of all 3</w:t>
            </w:r>
            <w:r>
              <w:rPr>
                <w:rFonts w:cs="Arial"/>
                <w:sz w:val="20"/>
                <w:szCs w:val="20"/>
                <w:vertAlign w:val="superscript"/>
              </w:rPr>
              <w:t>rd</w:t>
            </w:r>
            <w:r>
              <w:rPr>
                <w:rFonts w:cs="Arial"/>
                <w:sz w:val="20"/>
                <w:szCs w:val="20"/>
              </w:rPr>
              <w:t xml:space="preserve"> party components have been fulfilled.</w:t>
            </w:r>
          </w:p>
          <w:p>
            <w:pPr>
              <w:pStyle w:val="Normal"/>
              <w:spacing w:before="0" w:after="158"/>
              <w:ind w:left="0" w:right="0" w:hanging="0"/>
              <w:jc w:val="left"/>
              <w:rPr/>
            </w:pPr>
            <w:r>
              <w:rPr>
                <w:rFonts w:cs="Arial"/>
                <w:sz w:val="16"/>
                <w:szCs w:val="16"/>
              </w:rPr>
              <w:t xml:space="preserve">(*) in case of </w:t>
            </w:r>
            <w:r>
              <w:rPr>
                <w:rFonts w:cs="Arial"/>
                <w:sz w:val="16"/>
                <w:szCs w:val="16"/>
              </w:rPr>
              <w:t>internal</w:t>
            </w:r>
            <w:r>
              <w:rPr>
                <w:rFonts w:cs="Arial"/>
                <w:sz w:val="16"/>
                <w:szCs w:val="16"/>
              </w:rPr>
              <w:t xml:space="preserve"> components </w:t>
            </w:r>
            <w:r>
              <w:rPr>
                <w:rFonts w:cs="Arial"/>
                <w:sz w:val="16"/>
                <w:szCs w:val="16"/>
              </w:rPr>
              <w:t>or sub projects</w:t>
            </w:r>
            <w:r>
              <w:rPr>
                <w:rFonts w:cs="Arial"/>
                <w:sz w:val="16"/>
                <w:szCs w:val="16"/>
              </w:rPr>
              <w:t>, delivery of Readme_OSS and source code delivery must be done by superordinated product</w:t>
            </w:r>
          </w:p>
        </w:tc>
        <w:tc>
          <w:tcPr>
            <w:tcW w:w="30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</w:tcPr>
          <w:p>
            <w:pPr>
              <w:pStyle w:val="Normal"/>
              <w:spacing w:before="0" w:after="158"/>
              <w:ind w:left="0" w:right="0" w:hanging="0"/>
              <w:jc w:val="left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checked/>
                  </w:checkBox>
                </w:ffData>
              </w:fldChar>
            </w:r>
            <w:r>
              <w:rPr/>
              <w:instrText> FORMCHECKBOX </w:instrText>
            </w:r>
            <w:r>
              <w:rPr/>
              <w:fldChar w:fldCharType="separate"/>
            </w:r>
            <w:bookmarkStart w:id="1" w:name="__Fieldmark__43_4144078424"/>
            <w:bookmarkStart w:id="2" w:name="__Fieldmark__1432_2863671213"/>
            <w:bookmarkStart w:id="3" w:name="__Fieldmark__430_2376387130"/>
            <w:bookmarkStart w:id="4" w:name="__Fieldmark__202_693472701"/>
            <w:bookmarkStart w:id="5" w:name="__Fieldmark__34_467579353"/>
            <w:bookmarkStart w:id="6" w:name="__Fieldmark__37_2936216607"/>
            <w:bookmarkStart w:id="7" w:name="__Fieldmark__43_4144078424"/>
            <w:bookmarkStart w:id="8" w:name="__Fieldmark__43_4144078424"/>
            <w:bookmarkEnd w:id="2"/>
            <w:bookmarkEnd w:id="3"/>
            <w:bookmarkEnd w:id="4"/>
            <w:bookmarkEnd w:id="5"/>
            <w:bookmarkEnd w:id="6"/>
            <w:bookmarkEnd w:id="8"/>
            <w:r>
              <w:rPr/>
            </w:r>
            <w:r>
              <w:rPr/>
              <w:fldChar w:fldCharType="end"/>
            </w:r>
            <w:r>
              <w:rPr>
                <w:rFonts w:cs="Arial"/>
                <w:sz w:val="20"/>
                <w:szCs w:val="20"/>
              </w:rPr>
              <w:t xml:space="preserve"> yes*    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/>
              <w:instrText> FORMCHECKBOX </w:instrText>
            </w:r>
            <w:r>
              <w:rPr/>
              <w:fldChar w:fldCharType="separate"/>
            </w:r>
            <w:bookmarkStart w:id="9" w:name="__Fieldmark__96_4144078424"/>
            <w:bookmarkStart w:id="10" w:name="__Fieldmark__1482_2863671213"/>
            <w:bookmarkStart w:id="11" w:name="__Fieldmark__38_2683092876"/>
            <w:bookmarkStart w:id="12" w:name="__Fieldmark__122_4282271555"/>
            <w:bookmarkStart w:id="13" w:name="__Fieldmark__78_467579353"/>
            <w:bookmarkStart w:id="14" w:name="__Fieldmark__90_3681762000"/>
            <w:bookmarkStart w:id="15" w:name="__Fieldmark__78_111612999"/>
            <w:bookmarkStart w:id="16" w:name="__Fieldmark__64_459903821"/>
            <w:bookmarkStart w:id="17" w:name="__Fieldmark__451_2806362936"/>
            <w:bookmarkStart w:id="18" w:name="__Fieldmark__56_4120416817"/>
            <w:bookmarkStart w:id="19" w:name="__Fieldmark__70_1861443027"/>
            <w:bookmarkStart w:id="20" w:name="__Fieldmark__84_2119690868"/>
            <w:bookmarkStart w:id="21" w:name="__Fieldmark__240_693472701"/>
            <w:bookmarkStart w:id="22" w:name="__Fieldmark__471_2376387130"/>
            <w:bookmarkStart w:id="23" w:name="__Fieldmark__121_11373989334"/>
            <w:bookmarkStart w:id="24" w:name="__Fieldmark__569_2806362936"/>
            <w:bookmarkStart w:id="25" w:name="__Fieldmark__84_2936216607"/>
            <w:bookmarkStart w:id="26" w:name="__Fieldmark__96_4144078424"/>
            <w:bookmarkStart w:id="27" w:name="__Fieldmark__96_4144078424"/>
            <w:bookmarkEnd w:id="10"/>
            <w:bookmarkEnd w:id="11"/>
            <w:bookmarkEnd w:id="12"/>
            <w:bookmarkEnd w:id="13"/>
            <w:bookmarkEnd w:id="14"/>
            <w:bookmarkEnd w:id="15"/>
            <w:bookmarkEnd w:id="16"/>
            <w:bookmarkEnd w:id="17"/>
            <w:bookmarkEnd w:id="18"/>
            <w:bookmarkEnd w:id="19"/>
            <w:bookmarkEnd w:id="20"/>
            <w:bookmarkEnd w:id="21"/>
            <w:bookmarkEnd w:id="22"/>
            <w:bookmarkEnd w:id="23"/>
            <w:bookmarkEnd w:id="24"/>
            <w:bookmarkEnd w:id="25"/>
            <w:bookmarkEnd w:id="27"/>
            <w:r>
              <w:rPr/>
            </w:r>
            <w:r>
              <w:rPr/>
              <w:fldChar w:fldCharType="end"/>
            </w:r>
            <w:r>
              <w:rPr>
                <w:rFonts w:cs="Arial"/>
                <w:sz w:val="20"/>
                <w:szCs w:val="20"/>
              </w:rPr>
              <w:t xml:space="preserve"> no*</w:t>
            </w:r>
          </w:p>
          <w:p>
            <w:pPr>
              <w:pStyle w:val="Normal"/>
              <w:spacing w:before="0" w:after="158"/>
              <w:ind w:left="0" w:right="0" w:hanging="0"/>
              <w:jc w:val="left"/>
              <w:rPr/>
            </w:pPr>
            <w:r>
              <w:rPr>
                <w:rFonts w:cs="Arial"/>
                <w:sz w:val="20"/>
                <w:szCs w:val="20"/>
              </w:rPr>
              <w:t>There are remaining risks. For further detail see [</w:t>
            </w:r>
            <w:r>
              <w:rPr>
                <w:rFonts w:cs="Arial"/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  <w:rFonts w:cs="Arial"/>
              </w:rPr>
              <w:instrText> REF __RefHeading___Toc113_693472701 \n \h </w:instrText>
            </w:r>
            <w:r>
              <w:rPr>
                <w:sz w:val="20"/>
                <w:szCs w:val="20"/>
                <w:rFonts w:cs="Arial"/>
              </w:rPr>
              <w:fldChar w:fldCharType="separate"/>
            </w:r>
            <w:r>
              <w:rPr>
                <w:sz w:val="20"/>
                <w:szCs w:val="20"/>
                <w:rFonts w:cs="Arial"/>
              </w:rPr>
              <w:t>1.4</w:t>
            </w:r>
            <w:r>
              <w:rPr>
                <w:sz w:val="20"/>
                <w:szCs w:val="20"/>
                <w:rFonts w:cs="Arial"/>
              </w:rPr>
              <w:fldChar w:fldCharType="end"/>
            </w:r>
            <w:r>
              <w:rPr>
                <w:rFonts w:cs="Arial"/>
                <w:sz w:val="20"/>
                <w:szCs w:val="20"/>
              </w:rPr>
              <w:t>]</w:t>
            </w:r>
          </w:p>
        </w:tc>
      </w:tr>
    </w:tbl>
    <w:p>
      <w:pPr>
        <w:pStyle w:val="Normal"/>
        <w:rPr/>
      </w:pPr>
      <w:r>
        <w:rPr/>
      </w:r>
    </w:p>
    <w:p>
      <w:pPr>
        <w:pStyle w:val="TOAHeading"/>
        <w:rPr/>
      </w:pPr>
      <w:r>
        <w:rPr/>
        <w:t>Table of Contents</w:t>
      </w:r>
    </w:p>
    <w:p>
      <w:pPr>
        <w:pStyle w:val="Contents1"/>
        <w:tabs>
          <w:tab w:val="right" w:pos="9972" w:leader="dot"/>
        </w:tabs>
        <w:rPr/>
      </w:pPr>
      <w:r>
        <w:fldChar w:fldCharType="begin"/>
      </w:r>
      <w:r>
        <w:rPr>
          <w:rStyle w:val="IndexLink"/>
        </w:rPr>
        <w:instrText> TOC \f \o "1-9" \h</w:instrText>
      </w:r>
      <w:r>
        <w:rPr>
          <w:rStyle w:val="IndexLink"/>
        </w:rPr>
        <w:fldChar w:fldCharType="separate"/>
      </w:r>
      <w:hyperlink w:anchor="__RefHeading___Toc105_693472701">
        <w:r>
          <w:rPr>
            <w:rStyle w:val="IndexLink"/>
          </w:rPr>
          <w:t>1 Conclusions</w:t>
          <w:tab/>
          <w:t>3</w:t>
        </w:r>
      </w:hyperlink>
    </w:p>
    <w:p>
      <w:pPr>
        <w:pStyle w:val="Contents2"/>
        <w:tabs>
          <w:tab w:val="right" w:pos="9689" w:leader="dot"/>
        </w:tabs>
        <w:rPr/>
      </w:pPr>
      <w:hyperlink w:anchor="__RefHeading___Toc107_693472701">
        <w:r>
          <w:rPr>
            <w:rStyle w:val="IndexLink"/>
          </w:rPr>
          <w:t>1.1 Summary</w:t>
          <w:tab/>
          <w:t>3</w:t>
        </w:r>
      </w:hyperlink>
    </w:p>
    <w:p>
      <w:pPr>
        <w:pStyle w:val="Contents2"/>
        <w:tabs>
          <w:tab w:val="right" w:pos="9689" w:leader="dot"/>
        </w:tabs>
        <w:rPr/>
      </w:pPr>
      <w:hyperlink w:anchor="__RefHeading___Toc109_693472701">
        <w:r>
          <w:rPr>
            <w:rStyle w:val="IndexLink"/>
          </w:rPr>
          <w:t>1.2 Issues not Considered</w:t>
          <w:tab/>
          <w:t>3</w:t>
        </w:r>
      </w:hyperlink>
    </w:p>
    <w:p>
      <w:pPr>
        <w:pStyle w:val="Contents2"/>
        <w:tabs>
          <w:tab w:val="right" w:pos="9689" w:leader="dot"/>
        </w:tabs>
        <w:rPr/>
      </w:pPr>
      <w:hyperlink w:anchor="__RefHeading___Toc111_693472701">
        <w:r>
          <w:rPr>
            <w:rStyle w:val="IndexLink"/>
          </w:rPr>
          <w:t>1.3 Obligations to be Fulfilled</w:t>
          <w:tab/>
          <w:t>3</w:t>
        </w:r>
      </w:hyperlink>
    </w:p>
    <w:p>
      <w:pPr>
        <w:pStyle w:val="Contents2"/>
        <w:tabs>
          <w:tab w:val="right" w:pos="9689" w:leader="dot"/>
        </w:tabs>
        <w:rPr/>
      </w:pPr>
      <w:hyperlink w:anchor="__RefHeading___Toc113_693472701">
        <w:r>
          <w:rPr>
            <w:rStyle w:val="IndexLink"/>
          </w:rPr>
          <w:t>1.4 Remaining Risks</w:t>
          <w:tab/>
          <w:t>3</w:t>
        </w:r>
      </w:hyperlink>
    </w:p>
    <w:p>
      <w:pPr>
        <w:pStyle w:val="Contents3"/>
        <w:tabs>
          <w:tab w:val="right" w:pos="9406" w:leader="dot"/>
        </w:tabs>
        <w:rPr/>
      </w:pPr>
      <w:hyperlink w:anchor="__RefHeading___Toc115_693472701">
        <w:r>
          <w:rPr>
            <w:rStyle w:val="IndexLink"/>
          </w:rPr>
          <w:t>1.4.1 General Risks relating to OSS</w:t>
          <w:tab/>
          <w:t>3</w:t>
        </w:r>
      </w:hyperlink>
    </w:p>
    <w:p>
      <w:pPr>
        <w:pStyle w:val="Contents3"/>
        <w:tabs>
          <w:tab w:val="right" w:pos="9406" w:leader="dot"/>
        </w:tabs>
        <w:rPr/>
      </w:pPr>
      <w:hyperlink w:anchor="__RefHeading___Toc117_693472701">
        <w:r>
          <w:rPr>
            <w:rStyle w:val="IndexLink"/>
          </w:rPr>
          <w:t>1.4.2 Specific Risks relating to OSS</w:t>
          <w:tab/>
          <w:t>4</w:t>
        </w:r>
      </w:hyperlink>
    </w:p>
    <w:p>
      <w:pPr>
        <w:pStyle w:val="Contents3"/>
        <w:tabs>
          <w:tab w:val="right" w:pos="9406" w:leader="dot"/>
        </w:tabs>
        <w:rPr/>
      </w:pPr>
      <w:hyperlink w:anchor="__RefHeading___Toc119_693472701">
        <w:r>
          <w:rPr>
            <w:rStyle w:val="IndexLink"/>
          </w:rPr>
          <w:t>1.4.3 General risks relating to commercial 3rd party software</w:t>
          <w:tab/>
          <w:t>4</w:t>
        </w:r>
      </w:hyperlink>
    </w:p>
    <w:p>
      <w:pPr>
        <w:pStyle w:val="Contents3"/>
        <w:tabs>
          <w:tab w:val="right" w:pos="9406" w:leader="dot"/>
        </w:tabs>
        <w:rPr/>
      </w:pPr>
      <w:hyperlink w:anchor="__RefHeading___Toc121_693472701">
        <w:r>
          <w:rPr>
            <w:rStyle w:val="IndexLink"/>
          </w:rPr>
          <w:t>1.4.4 Specific risks relating to commercial 3rd party software</w:t>
          <w:tab/>
          <w:t>4</w:t>
        </w:r>
      </w:hyperlink>
    </w:p>
    <w:p>
      <w:pPr>
        <w:pStyle w:val="Contents1"/>
        <w:tabs>
          <w:tab w:val="right" w:pos="9972" w:leader="dot"/>
        </w:tabs>
        <w:rPr/>
      </w:pPr>
      <w:hyperlink w:anchor="__RefHeading___Toc123_693472701">
        <w:r>
          <w:rPr>
            <w:rStyle w:val="IndexLink"/>
          </w:rPr>
          <w:t>2 Product Overview</w:t>
          <w:tab/>
          <w:t>4</w:t>
        </w:r>
      </w:hyperlink>
    </w:p>
    <w:p>
      <w:pPr>
        <w:pStyle w:val="Contents2"/>
        <w:tabs>
          <w:tab w:val="right" w:pos="9689" w:leader="dot"/>
        </w:tabs>
        <w:rPr/>
      </w:pPr>
      <w:hyperlink w:anchor="__RefHeading___Toc127_693472701">
        <w:r>
          <w:rPr>
            <w:rStyle w:val="IndexLink"/>
          </w:rPr>
          <w:t>2.1 Product description</w:t>
          <w:tab/>
          <w:t>4</w:t>
        </w:r>
      </w:hyperlink>
    </w:p>
    <w:p>
      <w:pPr>
        <w:pStyle w:val="Contents2"/>
        <w:tabs>
          <w:tab w:val="right" w:pos="9689" w:leader="dot"/>
        </w:tabs>
        <w:rPr/>
      </w:pPr>
      <w:hyperlink w:anchor="__RefHeading___Toc129_693472701">
        <w:r>
          <w:rPr>
            <w:rStyle w:val="IndexLink"/>
          </w:rPr>
          <w:t>2.2 Delivery Channels</w:t>
          <w:tab/>
          <w:t>4</w:t>
        </w:r>
      </w:hyperlink>
    </w:p>
    <w:p>
      <w:pPr>
        <w:pStyle w:val="Contents2"/>
        <w:tabs>
          <w:tab w:val="right" w:pos="9689" w:leader="dot"/>
        </w:tabs>
        <w:rPr/>
      </w:pPr>
      <w:hyperlink w:anchor="__RefHeading___Toc131_693472701">
        <w:r>
          <w:rPr>
            <w:rStyle w:val="IndexLink"/>
          </w:rPr>
          <w:t>2.3 Development Details</w:t>
          <w:tab/>
          <w:t>4</w:t>
        </w:r>
      </w:hyperlink>
    </w:p>
    <w:p>
      <w:pPr>
        <w:pStyle w:val="Contents2"/>
        <w:tabs>
          <w:tab w:val="right" w:pos="9689" w:leader="dot"/>
        </w:tabs>
        <w:rPr/>
      </w:pPr>
      <w:hyperlink w:anchor="__RefHeading___Toc133_693472701">
        <w:r>
          <w:rPr>
            <w:rStyle w:val="IndexLink"/>
          </w:rPr>
          <w:t>2.4 Overview 3rd party components/services/artifacts</w:t>
          <w:tab/>
          <w:t>4</w:t>
        </w:r>
      </w:hyperlink>
    </w:p>
    <w:p>
      <w:pPr>
        <w:pStyle w:val="Contents1"/>
        <w:tabs>
          <w:tab w:val="right" w:pos="9972" w:leader="dot"/>
        </w:tabs>
        <w:rPr/>
      </w:pPr>
      <w:hyperlink w:anchor="__RefHeading___Toc125_693472701">
        <w:r>
          <w:rPr>
            <w:rStyle w:val="IndexLink"/>
          </w:rPr>
          <w:t>3 Obligations</w:t>
          <w:tab/>
          <w:t>4</w:t>
        </w:r>
      </w:hyperlink>
    </w:p>
    <w:p>
      <w:pPr>
        <w:pStyle w:val="Contents2"/>
        <w:tabs>
          <w:tab w:val="right" w:pos="9689" w:leader="dot"/>
        </w:tabs>
        <w:rPr/>
      </w:pPr>
      <w:hyperlink w:anchor="__RefHeading___Toc135_693472701">
        <w:r>
          <w:rPr>
            <w:rStyle w:val="IndexLink"/>
          </w:rPr>
          <w:t>3.1 Common Rules</w:t>
          <w:tab/>
          <w:t>5</w:t>
        </w:r>
      </w:hyperlink>
    </w:p>
    <w:p>
      <w:pPr>
        <w:pStyle w:val="Contents2"/>
        <w:tabs>
          <w:tab w:val="right" w:pos="9689" w:leader="dot"/>
        </w:tabs>
        <w:rPr/>
      </w:pPr>
      <w:hyperlink w:anchor="__RefHeading___Toc137_693472701">
        <w:r>
          <w:rPr>
            <w:rStyle w:val="IndexLink"/>
          </w:rPr>
          <w:t>3.2 Additional Requirements</w:t>
          <w:tab/>
          <w:t>5</w:t>
        </w:r>
      </w:hyperlink>
    </w:p>
    <w:p>
      <w:pPr>
        <w:pStyle w:val="Contents2"/>
        <w:tabs>
          <w:tab w:val="right" w:pos="9689" w:leader="dot"/>
        </w:tabs>
        <w:rPr/>
      </w:pPr>
      <w:hyperlink w:anchor="__RefHeading___Toc139_693472701">
        <w:r>
          <w:rPr>
            <w:rStyle w:val="IndexLink"/>
          </w:rPr>
          <w:t>3.3 Disclosure Document</w:t>
          <w:tab/>
          <w:t>5</w:t>
        </w:r>
      </w:hyperlink>
    </w:p>
    <w:p>
      <w:pPr>
        <w:pStyle w:val="Contents2"/>
        <w:tabs>
          <w:tab w:val="right" w:pos="9689" w:leader="dot"/>
        </w:tabs>
        <w:rPr/>
      </w:pPr>
      <w:hyperlink w:anchor="__RefHeading___Toc141_693472701">
        <w:r>
          <w:rPr>
            <w:rStyle w:val="IndexLink"/>
          </w:rPr>
          <w:t>3.4 Build Instructions</w:t>
          <w:tab/>
          <w:t>5</w:t>
        </w:r>
      </w:hyperlink>
    </w:p>
    <w:p>
      <w:pPr>
        <w:pStyle w:val="Contents2"/>
        <w:tabs>
          <w:tab w:val="right" w:pos="9689" w:leader="dot"/>
        </w:tabs>
        <w:rPr/>
      </w:pPr>
      <w:hyperlink w:anchor="__RefHeading___Toc143_693472701">
        <w:r>
          <w:rPr>
            <w:rStyle w:val="IndexLink"/>
          </w:rPr>
          <w:t>3.5 Source Code Bundle</w:t>
          <w:tab/>
          <w:t>5</w:t>
        </w:r>
      </w:hyperlink>
    </w:p>
    <w:p>
      <w:pPr>
        <w:pStyle w:val="TextBody"/>
        <w:numPr>
          <w:ilvl w:val="0"/>
          <w:numId w:val="0"/>
        </w:numPr>
        <w:outlineLvl w:val="0"/>
        <w:rPr/>
      </w:pPr>
      <w:r>
        <w:rPr/>
      </w:r>
      <w:r>
        <w:rPr/>
        <w:fldChar w:fldCharType="end"/>
      </w:r>
    </w:p>
    <w:p>
      <w:pPr>
        <w:pStyle w:val="Heading1"/>
        <w:numPr>
          <w:ilvl w:val="0"/>
          <w:numId w:val="2"/>
        </w:numPr>
        <w:rPr/>
      </w:pPr>
      <w:bookmarkStart w:id="28" w:name="__RefHeading___Toc105_693472701"/>
      <w:bookmarkEnd w:id="28"/>
      <w:r>
        <w:rPr/>
        <w:t>Conclusions</w:t>
      </w:r>
    </w:p>
    <w:p>
      <w:pPr>
        <w:pStyle w:val="Heading2"/>
        <w:numPr>
          <w:ilvl w:val="1"/>
          <w:numId w:val="2"/>
        </w:numPr>
        <w:rPr/>
      </w:pPr>
      <w:bookmarkStart w:id="29" w:name="__RefHeading___Toc107_693472701"/>
      <w:bookmarkEnd w:id="29"/>
      <w:r>
        <w:rPr/>
        <w:t>Summary</w:t>
      </w:r>
    </w:p>
    <w:p>
      <w:pPr>
        <w:pStyle w:val="TextBody"/>
        <w:numPr>
          <w:ilvl w:val="0"/>
          <w:numId w:val="0"/>
        </w:numPr>
        <w:ind w:left="0" w:hanging="0"/>
        <w:rPr/>
      </w:pPr>
      <w:r>
        <w:rPr/>
        <w:t>$clearing-summary-text</w:t>
      </w:r>
    </w:p>
    <w:p>
      <w:pPr>
        <w:pStyle w:val="Heading2"/>
        <w:numPr>
          <w:ilvl w:val="1"/>
          <w:numId w:val="2"/>
        </w:numPr>
        <w:rPr/>
      </w:pPr>
      <w:bookmarkStart w:id="30" w:name="__RefHeading___Toc109_693472701"/>
      <w:bookmarkEnd w:id="30"/>
      <w:r>
        <w:rPr/>
        <w:t>Issues not Considered</w:t>
      </w:r>
    </w:p>
    <w:p>
      <w:pPr>
        <w:pStyle w:val="TextBody"/>
        <w:rPr/>
      </w:pPr>
      <w:r>
        <w:rPr/>
        <w:t>The following issues are the responsibility of project management and are not covered by this 3rd party software clearing report:</w:t>
      </w:r>
    </w:p>
    <w:p>
      <w:pPr>
        <w:pStyle w:val="TextBody"/>
        <w:numPr>
          <w:ilvl w:val="0"/>
          <w:numId w:val="3"/>
        </w:numPr>
        <w:rPr/>
      </w:pPr>
      <w:r>
        <w:rPr/>
        <w:t>Export restrictions</w:t>
      </w:r>
    </w:p>
    <w:p>
      <w:pPr>
        <w:pStyle w:val="TextBody"/>
        <w:numPr>
          <w:ilvl w:val="0"/>
          <w:numId w:val="3"/>
        </w:numPr>
        <w:rPr/>
      </w:pPr>
      <w:r>
        <w:rPr/>
        <w:t>Security issues</w:t>
      </w:r>
    </w:p>
    <w:p>
      <w:pPr>
        <w:pStyle w:val="TextBody"/>
        <w:numPr>
          <w:ilvl w:val="0"/>
          <w:numId w:val="3"/>
        </w:numPr>
        <w:rPr/>
      </w:pPr>
      <w:r>
        <w:rPr/>
        <w:t xml:space="preserve">Patent issues </w:t>
      </w:r>
    </w:p>
    <w:p>
      <w:pPr>
        <w:pStyle w:val="TextBody"/>
        <w:numPr>
          <w:ilvl w:val="0"/>
          <w:numId w:val="3"/>
        </w:numPr>
        <w:rPr/>
      </w:pPr>
      <w:r>
        <w:rPr/>
        <w:t>Product safety</w:t>
      </w:r>
    </w:p>
    <w:p>
      <w:pPr>
        <w:pStyle w:val="TextBody"/>
        <w:numPr>
          <w:ilvl w:val="0"/>
          <w:numId w:val="3"/>
        </w:numPr>
        <w:rPr/>
      </w:pPr>
      <w:r>
        <w:rPr/>
        <w:t xml:space="preserve">Product liability </w:t>
      </w:r>
    </w:p>
    <w:p>
      <w:pPr>
        <w:pStyle w:val="TextBody"/>
        <w:rPr/>
      </w:pPr>
      <w:r>
        <w:rPr/>
        <w:t>If during component/product clearing any notice on export or patent issues is found in the license agreements, it is included in this clearing report.</w:t>
      </w:r>
    </w:p>
    <w:p>
      <w:pPr>
        <w:pStyle w:val="Heading2"/>
        <w:numPr>
          <w:ilvl w:val="1"/>
          <w:numId w:val="2"/>
        </w:numPr>
        <w:rPr/>
      </w:pPr>
      <w:bookmarkStart w:id="31" w:name="__RefHeading___Toc111_693472701"/>
      <w:bookmarkEnd w:id="31"/>
      <w:r>
        <w:rPr/>
        <w:t>Obligations to be Fulfilled</w:t>
      </w:r>
    </w:p>
    <w:p>
      <w:pPr>
        <w:pStyle w:val="TextBody"/>
        <w:rPr/>
      </w:pPr>
      <w:r>
        <w:rPr/>
        <w:t>$obligations-text</w:t>
      </w:r>
    </w:p>
    <w:p>
      <w:pPr>
        <w:pStyle w:val="Heading2"/>
        <w:numPr>
          <w:ilvl w:val="1"/>
          <w:numId w:val="2"/>
        </w:numPr>
        <w:rPr/>
      </w:pPr>
      <w:bookmarkStart w:id="32" w:name="__RefHeading___Toc113_693472701"/>
      <w:bookmarkEnd w:id="32"/>
      <w:r>
        <w:rPr/>
        <w:t>Remaining Risks</w:t>
      </w:r>
    </w:p>
    <w:p>
      <w:pPr>
        <w:pStyle w:val="Heading3"/>
        <w:numPr>
          <w:ilvl w:val="2"/>
          <w:numId w:val="2"/>
        </w:numPr>
        <w:rPr/>
      </w:pPr>
      <w:bookmarkStart w:id="33" w:name="__RefHeading___Toc115_693472701"/>
      <w:bookmarkEnd w:id="33"/>
      <w:r>
        <w:rPr/>
        <w:t>General Risks relating to OSS</w:t>
      </w:r>
    </w:p>
    <w:p>
      <w:pPr>
        <w:pStyle w:val="TextBody"/>
        <w:numPr>
          <w:ilvl w:val="0"/>
          <w:numId w:val="4"/>
        </w:numPr>
        <w:rPr/>
      </w:pPr>
      <w:r>
        <w:rPr/>
        <w:t xml:space="preserve">Termination/Revocation: </w:t>
      </w:r>
    </w:p>
    <w:p>
      <w:pPr>
        <w:pStyle w:val="TextBody"/>
        <w:numPr>
          <w:ilvl w:val="0"/>
          <w:numId w:val="0"/>
        </w:numPr>
        <w:ind w:left="720" w:hanging="0"/>
        <w:rPr/>
      </w:pPr>
      <w:r>
        <w:rPr/>
        <w:t xml:space="preserve">OSS licenses may terminate or can be revoked immediately. </w:t>
      </w:r>
    </w:p>
    <w:p>
      <w:pPr>
        <w:pStyle w:val="TextBody"/>
        <w:numPr>
          <w:ilvl w:val="0"/>
          <w:numId w:val="4"/>
        </w:numPr>
        <w:rPr/>
      </w:pPr>
      <w:r>
        <w:rPr/>
        <w:t xml:space="preserve">Local and International Jurisdiction: </w:t>
      </w:r>
    </w:p>
    <w:p>
      <w:pPr>
        <w:pStyle w:val="TextBody"/>
        <w:numPr>
          <w:ilvl w:val="0"/>
          <w:numId w:val="0"/>
        </w:numPr>
        <w:ind w:left="720" w:hanging="0"/>
        <w:rPr/>
      </w:pPr>
      <w:r>
        <w:rPr/>
        <w:t>Due to place of venue clauses and arbitration clauses, disputes may be settled, relating to the seat of the licensor, before foreign courts.</w:t>
      </w:r>
    </w:p>
    <w:p>
      <w:pPr>
        <w:pStyle w:val="TextBody"/>
        <w:numPr>
          <w:ilvl w:val="0"/>
          <w:numId w:val="4"/>
        </w:numPr>
        <w:rPr/>
      </w:pPr>
      <w:r>
        <w:rPr/>
        <w:t xml:space="preserve">Warranty/Liability Disclaimer: </w:t>
      </w:r>
    </w:p>
    <w:p>
      <w:pPr>
        <w:pStyle w:val="TextBody"/>
        <w:numPr>
          <w:ilvl w:val="0"/>
          <w:numId w:val="0"/>
        </w:numPr>
        <w:ind w:left="720" w:hanging="0"/>
        <w:rPr/>
      </w:pPr>
      <w:r>
        <w:rPr/>
        <w:t>There is general absence of warranty/liability, e.g. – error corrections must be made by or ordered by SIEMENS, and SIEMENS must cover all damages.</w:t>
      </w:r>
    </w:p>
    <w:p>
      <w:pPr>
        <w:pStyle w:val="TextBody"/>
        <w:numPr>
          <w:ilvl w:val="0"/>
          <w:numId w:val="4"/>
        </w:numPr>
        <w:rPr/>
      </w:pPr>
      <w:r>
        <w:rPr/>
        <w:t xml:space="preserve">Proprietorship of a copyright: </w:t>
      </w:r>
    </w:p>
    <w:p>
      <w:pPr>
        <w:pStyle w:val="TextBody"/>
        <w:numPr>
          <w:ilvl w:val="0"/>
          <w:numId w:val="0"/>
        </w:numPr>
        <w:ind w:left="720" w:hanging="0"/>
        <w:rPr/>
      </w:pPr>
      <w:r>
        <w:rPr/>
        <w:t>It cannot be verified whether contributors to open source software are legally permitted to contribute (the code could e.g. belong to his employer and not the developer).</w:t>
      </w:r>
    </w:p>
    <w:p>
      <w:pPr>
        <w:pStyle w:val="Heading3"/>
        <w:numPr>
          <w:ilvl w:val="2"/>
          <w:numId w:val="2"/>
        </w:numPr>
        <w:rPr/>
      </w:pPr>
      <w:bookmarkStart w:id="34" w:name="__RefHeading___Toc117_693472701"/>
      <w:bookmarkEnd w:id="34"/>
      <w:r>
        <w:rPr/>
        <w:t>Special Risks relating to OSS</w:t>
      </w:r>
    </w:p>
    <w:tbl>
      <w:tblPr>
        <w:tblW w:w="997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50" w:type="dxa"/>
          <w:bottom w:w="55" w:type="dxa"/>
          <w:right w:w="55" w:type="dxa"/>
        </w:tblCellMar>
      </w:tblPr>
      <w:tblGrid>
        <w:gridCol w:w="2601"/>
        <w:gridCol w:w="2432"/>
        <w:gridCol w:w="4939"/>
      </w:tblGrid>
      <w:tr>
        <w:trPr/>
        <w:tc>
          <w:tcPr>
            <w:tcW w:w="2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Obligation</w:t>
            </w:r>
          </w:p>
        </w:tc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License</w:t>
            </w:r>
          </w:p>
        </w:tc>
        <w:tc>
          <w:tcPr>
            <w:tcW w:w="4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License section reference and short Description</w:t>
            </w:r>
          </w:p>
        </w:tc>
      </w:tr>
    </w:tbl>
    <w:p>
      <w:pPr>
        <w:pStyle w:val="TextBody"/>
        <w:rPr/>
      </w:pPr>
      <w:r>
        <w:rPr/>
        <w:t>$special-risks-oss-addition-text</w:t>
      </w:r>
    </w:p>
    <w:p>
      <w:pPr>
        <w:pStyle w:val="Heading3"/>
        <w:numPr>
          <w:ilvl w:val="2"/>
          <w:numId w:val="2"/>
        </w:numPr>
        <w:rPr/>
      </w:pPr>
      <w:bookmarkStart w:id="35" w:name="__RefHeading___Toc119_693472701"/>
      <w:bookmarkEnd w:id="35"/>
      <w:r>
        <w:rPr/>
        <w:t>General risks relating to commercial 3rd party software</w:t>
      </w:r>
    </w:p>
    <w:p>
      <w:pPr>
        <w:pStyle w:val="TextBody"/>
        <w:rPr/>
      </w:pPr>
      <w:r>
        <w:rPr/>
        <w:t>$general-risks-3rd-party-text</w:t>
      </w:r>
    </w:p>
    <w:p>
      <w:pPr>
        <w:pStyle w:val="Heading3"/>
        <w:numPr>
          <w:ilvl w:val="2"/>
          <w:numId w:val="2"/>
        </w:numPr>
        <w:rPr/>
      </w:pPr>
      <w:bookmarkStart w:id="36" w:name="__RefHeading___Toc121_693472701"/>
      <w:bookmarkEnd w:id="36"/>
      <w:r>
        <w:rPr/>
        <w:t>Specific risks relating to commercial 3rd party software</w:t>
      </w:r>
    </w:p>
    <w:p>
      <w:pPr>
        <w:pStyle w:val="TextBody"/>
        <w:rPr/>
      </w:pPr>
      <w:r>
        <w:rPr/>
        <w:t>$special-risks-3rd-party-text</w:t>
      </w:r>
    </w:p>
    <w:p>
      <w:pPr>
        <w:pStyle w:val="Heading1"/>
        <w:numPr>
          <w:ilvl w:val="0"/>
          <w:numId w:val="2"/>
        </w:numPr>
        <w:rPr/>
      </w:pPr>
      <w:bookmarkStart w:id="37" w:name="__RefHeading___Toc123_693472701"/>
      <w:bookmarkEnd w:id="37"/>
      <w:r>
        <w:rPr/>
        <w:t>Product Overview</w:t>
      </w:r>
    </w:p>
    <w:p>
      <w:pPr>
        <w:pStyle w:val="Heading2"/>
        <w:numPr>
          <w:ilvl w:val="1"/>
          <w:numId w:val="2"/>
        </w:numPr>
        <w:rPr/>
      </w:pPr>
      <w:bookmarkStart w:id="38" w:name="__RefHeading___Toc127_693472701"/>
      <w:bookmarkEnd w:id="38"/>
      <w:r>
        <w:rPr/>
        <w:t>Product description</w:t>
      </w:r>
    </w:p>
    <w:p>
      <w:pPr>
        <w:pStyle w:val="TextBody"/>
        <w:rPr/>
      </w:pPr>
      <w:r>
        <w:rPr/>
        <w:t>$product-description</w:t>
      </w:r>
    </w:p>
    <w:p>
      <w:pPr>
        <w:pStyle w:val="Heading2"/>
        <w:numPr>
          <w:ilvl w:val="1"/>
          <w:numId w:val="2"/>
        </w:numPr>
        <w:rPr/>
      </w:pPr>
      <w:bookmarkStart w:id="39" w:name="__RefHeading___Toc129_693472701"/>
      <w:bookmarkEnd w:id="39"/>
      <w:r>
        <w:rPr/>
        <w:t>Delivery Channels</w:t>
      </w:r>
    </w:p>
    <w:p>
      <w:pPr>
        <w:pStyle w:val="TextBody"/>
        <w:rPr/>
      </w:pPr>
      <w:r>
        <w:rPr/>
        <w:t>$delivery-channels-text</w:t>
      </w:r>
    </w:p>
    <w:p>
      <w:pPr>
        <w:pStyle w:val="Heading2"/>
        <w:numPr>
          <w:ilvl w:val="1"/>
          <w:numId w:val="2"/>
        </w:numPr>
        <w:rPr/>
      </w:pPr>
      <w:bookmarkStart w:id="40" w:name="__RefHeading___Toc131_693472701"/>
      <w:bookmarkEnd w:id="40"/>
      <w:r>
        <w:rPr/>
        <w:t>Development Details</w:t>
      </w:r>
    </w:p>
    <w:tbl>
      <w:tblPr>
        <w:tblW w:w="997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50" w:type="dxa"/>
          <w:bottom w:w="55" w:type="dxa"/>
          <w:right w:w="55" w:type="dxa"/>
        </w:tblCellMar>
      </w:tblPr>
      <w:tblGrid>
        <w:gridCol w:w="2493"/>
        <w:gridCol w:w="2493"/>
        <w:gridCol w:w="2493"/>
        <w:gridCol w:w="2492"/>
      </w:tblGrid>
      <w:tr>
        <w:trPr/>
        <w:tc>
          <w:tcPr>
            <w:tcW w:w="2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Component Name</w:t>
            </w:r>
          </w:p>
        </w:tc>
        <w:tc>
          <w:tcPr>
            <w:tcW w:w="2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OS</w:t>
            </w:r>
          </w:p>
        </w:tc>
        <w:tc>
          <w:tcPr>
            <w:tcW w:w="2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Language</w:t>
            </w:r>
          </w:p>
        </w:tc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Platforms</w:t>
            </w:r>
          </w:p>
        </w:tc>
      </w:tr>
    </w:tbl>
    <w:p>
      <w:pPr>
        <w:pStyle w:val="TextBody"/>
        <w:rPr/>
      </w:pPr>
      <w:r>
        <w:rPr/>
      </w:r>
    </w:p>
    <w:p>
      <w:pPr>
        <w:pStyle w:val="Heading2"/>
        <w:numPr>
          <w:ilvl w:val="1"/>
          <w:numId w:val="2"/>
        </w:numPr>
        <w:rPr/>
      </w:pPr>
      <w:r>
        <w:rPr/>
        <w:t>Overview 3rd party components/services/artifacts</w:t>
      </w:r>
    </w:p>
    <w:tbl>
      <w:tblPr>
        <w:tblW w:w="997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50" w:type="dxa"/>
          <w:bottom w:w="55" w:type="dxa"/>
          <w:right w:w="55" w:type="dxa"/>
        </w:tblCellMar>
      </w:tblPr>
      <w:tblGrid>
        <w:gridCol w:w="1662"/>
        <w:gridCol w:w="1662"/>
        <w:gridCol w:w="1662"/>
        <w:gridCol w:w="1667"/>
        <w:gridCol w:w="1662"/>
        <w:gridCol w:w="1656"/>
      </w:tblGrid>
      <w:tr>
        <w:trPr/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extBody"/>
              <w:spacing w:before="0" w:after="14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Component Name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Release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extBody"/>
              <w:spacing w:before="0" w:after="14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Sha1 Hash sw360</w:t>
            </w:r>
          </w:p>
        </w:tc>
        <w:tc>
          <w:tcPr>
            <w:tcW w:w="1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extBody"/>
              <w:spacing w:before="0" w:after="14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Source Code Artifact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extBody"/>
              <w:spacing w:before="0" w:after="14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Type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"/>
              <w:spacing w:before="0" w:after="14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License</w:t>
            </w:r>
          </w:p>
        </w:tc>
      </w:tr>
    </w:tbl>
    <w:p>
      <w:pPr>
        <w:pStyle w:val="TextBody"/>
        <w:rPr/>
      </w:pPr>
      <w:r>
        <w:rPr/>
      </w:r>
    </w:p>
    <w:p>
      <w:pPr>
        <w:pStyle w:val="Heading1"/>
        <w:numPr>
          <w:ilvl w:val="0"/>
          <w:numId w:val="2"/>
        </w:numPr>
        <w:rPr/>
      </w:pPr>
      <w:bookmarkStart w:id="41" w:name="__RefHeading___Toc125_693472701"/>
      <w:bookmarkEnd w:id="41"/>
      <w:r>
        <w:rPr/>
        <w:t>Obligations</w:t>
      </w:r>
    </w:p>
    <w:p>
      <w:pPr>
        <w:pStyle w:val="Normal"/>
        <w:numPr>
          <w:ilvl w:val="0"/>
          <w:numId w:val="0"/>
        </w:numPr>
        <w:ind w:left="0" w:hanging="0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These Obligations belong to all OSS components.</w:t>
        <w:br/>
      </w:r>
    </w:p>
    <w:p>
      <w:pPr>
        <w:pStyle w:val="TextBody"/>
        <w:rPr/>
      </w:pPr>
      <w:r>
        <w:rPr/>
        <w:t>$obligations</w:t>
      </w:r>
    </w:p>
    <w:p>
      <w:pPr>
        <w:pStyle w:val="Heading2"/>
        <w:numPr>
          <w:ilvl w:val="1"/>
          <w:numId w:val="2"/>
        </w:numPr>
        <w:rPr/>
      </w:pPr>
      <w:bookmarkStart w:id="42" w:name="__RefHeading___Toc135_693472701"/>
      <w:bookmarkEnd w:id="42"/>
      <w:r>
        <w:rPr/>
        <w:t>Common Rules</w:t>
      </w:r>
    </w:p>
    <w:p>
      <w:pPr>
        <w:pStyle w:val="Heading2"/>
        <w:numPr>
          <w:ilvl w:val="1"/>
          <w:numId w:val="2"/>
        </w:numPr>
        <w:rPr/>
      </w:pPr>
      <w:bookmarkStart w:id="43" w:name="__RefHeading___Toc137_693472701"/>
      <w:bookmarkEnd w:id="43"/>
      <w:r>
        <w:rPr/>
        <w:t>Additional Requirements</w:t>
      </w:r>
    </w:p>
    <w:p>
      <w:pPr>
        <w:pStyle w:val="TextBody"/>
        <w:numPr>
          <w:ilvl w:val="0"/>
          <w:numId w:val="0"/>
        </w:numPr>
        <w:ind w:left="0" w:hanging="0"/>
        <w:rPr/>
      </w:pPr>
      <w:r>
        <w:rPr/>
        <w:t>$remarks-additional-requirements-text</w:t>
      </w:r>
    </w:p>
    <w:tbl>
      <w:tblPr>
        <w:tblW w:w="997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50" w:type="dxa"/>
          <w:bottom w:w="55" w:type="dxa"/>
          <w:right w:w="55" w:type="dxa"/>
        </w:tblCellMar>
      </w:tblPr>
      <w:tblGrid>
        <w:gridCol w:w="3324"/>
        <w:gridCol w:w="3324"/>
        <w:gridCol w:w="3324"/>
      </w:tblGrid>
      <w:tr>
        <w:trPr/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Obligation</w:t>
            </w:r>
          </w:p>
        </w:tc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License</w:t>
            </w:r>
          </w:p>
        </w:tc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License section reference and short Description</w:t>
            </w:r>
          </w:p>
        </w:tc>
      </w:tr>
    </w:tbl>
    <w:p>
      <w:pPr>
        <w:pStyle w:val="TextBody"/>
        <w:numPr>
          <w:ilvl w:val="0"/>
          <w:numId w:val="0"/>
        </w:numPr>
        <w:spacing w:before="0" w:after="140"/>
        <w:ind w:left="0" w:hanging="0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134" w:right="1134" w:header="1134" w:top="1693" w:footer="1134" w:bottom="1693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/>
    </w:pPr>
    <w:r>
      <w:rPr/>
      <w:t xml:space="preserve">Page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4</w:t>
    </w:r>
    <w:r>
      <w:rPr/>
      <w:fldChar w:fldCharType="end"/>
    </w:r>
    <w:r>
      <w:rPr/>
      <w:t xml:space="preserve"> of </w:t>
    </w:r>
    <w:r>
      <w:rPr/>
      <w:fldChar w:fldCharType="begin"/>
    </w:r>
    <w:r>
      <w:rPr/>
      <w:instrText> NUMPAGES </w:instrText>
    </w:r>
    <w:r>
      <w:rPr/>
      <w:fldChar w:fldCharType="separate"/>
    </w:r>
    <w:r>
      <w:rPr/>
      <w:t>4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>Project Clearing Report</w:t>
    </w:r>
    <w:r>
      <w:rPr/>
      <w:t xml:space="preserve"> - $project-name $project-version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"/>
      <w:lvlJc w:val="left"/>
      <w:pPr>
        <w:ind w:left="0" w:hanging="0"/>
      </w:pPr>
    </w:lvl>
    <w:lvl w:ilvl="1">
      <w:start w:val="1"/>
      <w:pStyle w:val="Heading2"/>
      <w:numFmt w:val="decimal"/>
      <w:lvlText w:val="%1.%2"/>
      <w:lvlJc w:val="left"/>
      <w:pPr>
        <w:ind w:left="0" w:hanging="0"/>
      </w:pPr>
    </w:lvl>
    <w:lvl w:ilvl="2">
      <w:start w:val="1"/>
      <w:pStyle w:val="Heading3"/>
      <w:numFmt w:val="decimal"/>
      <w:lvlText w:val="%1.%2.%3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"/>
      <w:lvlJc w:val="left"/>
      <w:pPr>
        <w:ind w:left="0" w:hanging="0"/>
      </w:pPr>
    </w:lvl>
    <w:lvl w:ilvl="1">
      <w:start w:val="1"/>
      <w:numFmt w:val="decimal"/>
      <w:lvlText w:val="%1.%2"/>
      <w:lvlJc w:val="left"/>
      <w:pPr>
        <w:ind w:left="0" w:hanging="0"/>
      </w:pPr>
    </w:lvl>
    <w:lvl w:ilvl="2">
      <w:start w:val="1"/>
      <w:numFmt w:val="decimal"/>
      <w:lvlText w:val="%1.%2.%3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Noto Sans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Droid Sans Fallback" w:cs="Noto Sans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NumberingSymbols">
    <w:name w:val="Numbering Symbols"/>
    <w:qFormat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IndexLink">
    <w:name w:val="Index Link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  <w:jc w:val="both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OAHeading">
    <w:name w:val="TOA Heading"/>
    <w:basedOn w:val="Heading"/>
    <w:qFormat/>
    <w:pPr>
      <w:suppressLineNumbers/>
      <w:ind w:left="0" w:hanging="0"/>
    </w:pPr>
    <w:rPr>
      <w:b/>
      <w:bCs/>
      <w:sz w:val="32"/>
      <w:szCs w:val="32"/>
    </w:rPr>
  </w:style>
  <w:style w:type="paragraph" w:styleId="Contents1">
    <w:name w:val="TOC 1"/>
    <w:basedOn w:val="Index"/>
    <w:pPr>
      <w:tabs>
        <w:tab w:val="right" w:pos="9972" w:leader="dot"/>
      </w:tabs>
      <w:ind w:left="0" w:hanging="0"/>
    </w:pPr>
    <w:rPr/>
  </w:style>
  <w:style w:type="paragraph" w:styleId="Contents2">
    <w:name w:val="TOC 2"/>
    <w:basedOn w:val="Index"/>
    <w:pPr>
      <w:tabs>
        <w:tab w:val="right" w:pos="9689" w:leader="dot"/>
      </w:tabs>
      <w:ind w:left="283" w:hanging="0"/>
    </w:pPr>
    <w:rPr/>
  </w:style>
  <w:style w:type="paragraph" w:styleId="Contents3">
    <w:name w:val="TOC 3"/>
    <w:basedOn w:val="Index"/>
    <w:pPr>
      <w:tabs>
        <w:tab w:val="right" w:pos="9406" w:leader="dot"/>
      </w:tabs>
      <w:ind w:left="566" w:hanging="0"/>
    </w:pPr>
    <w:rPr/>
  </w:style>
  <w:style w:type="paragraph" w:styleId="Header">
    <w:name w:val="Header"/>
    <w:basedOn w:val="Normal"/>
    <w:pPr>
      <w:suppressLineNumbers/>
      <w:tabs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>
      <w:suppressLineNumbers/>
      <w:tabs>
        <w:tab w:val="center" w:pos="4986" w:leader="none"/>
        <w:tab w:val="right" w:pos="9972" w:leader="none"/>
      </w:tabs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331</TotalTime>
  <Application>LibreOffice/6.0.7.3$Linux_X86_64 LibreOffice_project/00m0$Build-3</Application>
  <Pages>4</Pages>
  <Words>456</Words>
  <Characters>2747</Characters>
  <CharactersWithSpaces>3092</CharactersWithSpaces>
  <Paragraphs>99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2018-10-31T18:56:38Z</dcterms:created>
  <dc:creator/>
  <dc:description/>
  <dc:language>en-US</dc:language>
  <cp:lastModifiedBy/>
  <dcterms:modified xsi:type="dcterms:W3CDTF">2019-04-08T09:12:02Z</dcterms:modified>
  <cp:revision>21</cp:revision>
  <dc:subject/>
  <dc:title/>
</cp:coreProperties>
</file>