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sz w:val="48"/>
        </w:rPr>
        <w:t>MODULE 1: CONSERVATIVE &amp; RESTORATIVE DENTISTRY</w:t>
      </w:r>
    </w:p>
    <w:p>
      <w:pPr>
        <w:jc w:val="center"/>
      </w:pPr>
      <w:r>
        <w:rPr>
          <w:b/>
          <w:sz w:val="40"/>
        </w:rPr>
        <w:t>SUB-MODULE 1.1: CARIES ETIOLOGY AND PATHOGENESIS</w:t>
      </w:r>
    </w:p>
    <w:p/>
    <w:p>
      <w:pPr>
        <w:jc w:val="center"/>
      </w:pPr>
      <w:r>
        <w:rPr>
          <w:i/>
          <w:sz w:val="26"/>
        </w:rPr>
        <w:t>Compiled Study Notes — Rebuilt Edition (Supersedes earlier unsourced draft)</w:t>
      </w:r>
    </w:p>
    <w:p>
      <w:pPr>
        <w:jc w:val="center"/>
      </w:pPr>
      <w:r>
        <w:rPr>
          <w:i/>
          <w:sz w:val="24"/>
        </w:rPr>
        <w:t>Sources blended by topic: standardised textbooks (primary) → authoritative-body context where relevant → DCNA supplementary data</w:t>
      </w:r>
    </w:p>
    <w:p/>
    <w:p>
      <w:pPr>
        <w:jc w:val="center"/>
      </w:pPr>
      <w:r>
        <w:rPr>
          <w:sz w:val="22"/>
        </w:rPr>
        <w:t>Citation style: Vancouver (numbered, in-text, with page references)</w:t>
      </w:r>
    </w:p>
    <w:p>
      <w:r>
        <w:br w:type="page"/>
      </w:r>
    </w:p>
    <w:p>
      <w:pPr>
        <w:pStyle w:val="Heading1"/>
      </w:pPr>
      <w:r>
        <w:t>A Note on Sources and Referencing</w:t>
      </w:r>
    </w:p>
    <w:p>
      <w:pPr>
        <w:spacing w:after="120"/>
        <w:jc w:val="both"/>
      </w:pPr>
      <w:r>
        <w:rPr>
          <w:b w:val="0"/>
          <w:i w:val="0"/>
        </w:rPr>
        <w:t xml:space="preserve">This is a </w:t>
      </w:r>
      <w:r>
        <w:rPr>
          <w:b/>
          <w:i w:val="0"/>
        </w:rPr>
        <w:t>rebuilt, page-verified edition</w:t>
      </w:r>
      <w:r>
        <w:rPr>
          <w:b w:val="0"/>
          <w:i w:val="0"/>
        </w:rPr>
        <w:t xml:space="preserve"> of Sub-Module 1.1, replacing an earlier draft that was written from general knowledge before this session's PDF-extraction workflow existed and whose citations were not individually verified against real pages. Every fact below has been checked against the actual PDF text of its cited source.</w:t>
      </w:r>
    </w:p>
    <w:p>
      <w:pPr>
        <w:spacing w:after="120"/>
      </w:pPr>
      <w:r>
        <w:rPr>
          <w:b/>
          <w:i w:val="0"/>
        </w:rPr>
        <w:t>Sources used in this document:</w:t>
      </w:r>
    </w:p>
    <w:p>
      <w:pPr>
        <w:pStyle w:val="ListBullet"/>
        <w:spacing w:after="60"/>
      </w:pPr>
      <w:r>
        <w:rPr>
          <w:b w:val="0"/>
          <w:i w:val="0"/>
        </w:rPr>
        <w:t xml:space="preserve">Kidd E, Fejerskov O. Essentials of Dental Caries. 4th ed. Oxford: Oxford University Press; 2016. </w:t>
      </w:r>
      <w:r>
        <w:rPr>
          <w:b w:val="0"/>
          <w:i/>
        </w:rPr>
        <w:t>(standardised textbook — primary source, Chapters 1, 2, and 8)</w:t>
      </w:r>
    </w:p>
    <w:p>
      <w:pPr>
        <w:pStyle w:val="ListBullet"/>
        <w:spacing w:after="60"/>
      </w:pPr>
      <w:r>
        <w:rPr>
          <w:b w:val="0"/>
          <w:i w:val="0"/>
        </w:rPr>
        <w:t xml:space="preserve">Garg N, Garg A. Textbook of Preclinical Conservative Dentistry. New Delhi: Jaypee Brothers Medical Publishers. </w:t>
      </w:r>
      <w:r>
        <w:rPr>
          <w:b w:val="0"/>
          <w:i/>
        </w:rPr>
        <w:t>(standardised textbook — Chapter 4, “Dental Caries”, used specifically for genetic/biotechnological caries-prevention approaches not covered by the primary source)</w:t>
      </w:r>
    </w:p>
    <w:p>
      <w:pPr>
        <w:pStyle w:val="ListBullet"/>
        <w:spacing w:after="60"/>
      </w:pPr>
      <w:r>
        <w:rPr>
          <w:b w:val="0"/>
          <w:i w:val="0"/>
        </w:rPr>
        <w:t xml:space="preserve">Nascimento MM. Approaches to modulate biofilm ecology. Dent Clin North Am. 2019;63(4):581–594. </w:t>
      </w:r>
      <w:r>
        <w:rPr>
          <w:b w:val="0"/>
          <w:i/>
        </w:rPr>
        <w:t>(DCNA — supplementary contemporary evidence)</w:t>
      </w:r>
    </w:p>
    <w:p>
      <w:pPr>
        <w:spacing w:after="120"/>
        <w:jc w:val="both"/>
      </w:pPr>
      <w:r>
        <w:rPr>
          <w:b w:val="0"/>
          <w:i w:val="0"/>
        </w:rPr>
        <w:t xml:space="preserve">Where the two standardised textbooks take </w:t>
      </w:r>
      <w:r>
        <w:rPr>
          <w:b w:val="0"/>
          <w:i/>
        </w:rPr>
        <w:t>materially different positions</w:t>
      </w:r>
      <w:r>
        <w:rPr>
          <w:b w:val="0"/>
          <w:i w:val="0"/>
        </w:rPr>
        <w:t xml:space="preserve"> on the same question (as happens below on genetics and caries risk), both positions are given in full, side by side, rather than one being silently dropped — consistent with the sourcing rule to flag debated points rather than smooth them into settled fact.</w:t>
      </w:r>
    </w:p>
    <w:p>
      <w:r>
        <w:br w:type="page"/>
      </w:r>
    </w:p>
    <w:p>
      <w:r>
        <w:rPr>
          <w:b/>
        </w:rPr>
        <w:t xml:space="preserve">Revision note: </w:t>
      </w:r>
      <w:r>
        <w:t>audited against the core operative textbooks (Sturdevant's, Summitt's, Marzouk's), which were not originally used for this caries-science sub-module. Sturdevant's has its own dedicated “Cariology” chapter (source [5]) with genuinely new epidemiological content, added as new Section 13: the post-1980s caries decline (attributed to water/toothpaste fluoridation), and the NHANES III “polarization” finding that 80% of caries occurs in just 20% of children.</w:t>
      </w:r>
    </w:p>
    <w:p>
      <w:pPr>
        <w:pStyle w:val="Heading1"/>
      </w:pPr>
      <w:r>
        <w:t>Sub-Module 1.1: Caries Etiology and Pathogenesis</w:t>
      </w:r>
    </w:p>
    <w:p>
      <w:pPr>
        <w:pStyle w:val="Heading2"/>
      </w:pPr>
      <w:r>
        <w:t>1. Definition and the Nature of Dental Caries</w:t>
      </w:r>
    </w:p>
    <w:p>
      <w:pPr>
        <w:spacing w:before="80" w:after="80"/>
      </w:pPr>
      <w:r>
        <w:rPr>
          <w:b/>
        </w:rPr>
        <w:t xml:space="preserve">DEFINITION — Dental caries (Essentials of Dental Caries): </w:t>
      </w:r>
      <w:r>
        <w:rPr>
          <w:b w:val="0"/>
          <w:i w:val="0"/>
        </w:rPr>
        <w:t>a localized, chemical dissolution of a tooth surface brought about by metabolic events taking place in the microbial biofilm (plaque) covering the affected area.</w:t>
      </w:r>
      <w:r>
        <w:t xml:space="preserve"> [1, p.6]</w:t>
      </w:r>
    </w:p>
    <w:p>
      <w:pPr>
        <w:spacing w:before="80" w:after="80"/>
      </w:pPr>
      <w:r>
        <w:rPr>
          <w:b/>
        </w:rPr>
        <w:t xml:space="preserve">DEFINITION — Dental caries (Textbook of Preclinical Conservative Dentistry): </w:t>
      </w:r>
      <w:r>
        <w:rPr>
          <w:b w:val="0"/>
          <w:i w:val="0"/>
        </w:rPr>
        <w:t>a microbiological disease of the hard structure of teeth, which results in localized demineralization of the inorganic portion and destruction of the organic substances of the tooth.</w:t>
      </w:r>
      <w:r>
        <w:t xml:space="preserve"> [2, p.4]</w:t>
      </w:r>
    </w:p>
    <w:p>
      <w:pPr>
        <w:spacing w:after="120"/>
      </w:pPr>
      <w:r>
        <w:rPr>
          <w:b w:val="0"/>
          <w:i w:val="0"/>
        </w:rPr>
        <w:t xml:space="preserve">Both definitions converge on the same core idea — caries is a </w:t>
      </w:r>
      <w:r>
        <w:rPr>
          <w:b w:val="0"/>
          <w:i/>
        </w:rPr>
        <w:t>biofilm-driven process</w:t>
      </w:r>
      <w:r>
        <w:rPr>
          <w:b w:val="0"/>
          <w:i w:val="0"/>
        </w:rPr>
        <w:t xml:space="preserve">, not damage from a single external agent — but frame it slightly differently: source [1] emphasizes the </w:t>
      </w:r>
      <w:r>
        <w:rPr>
          <w:b w:val="0"/>
          <w:i/>
        </w:rPr>
        <w:t>chemical</w:t>
      </w:r>
      <w:r>
        <w:rPr>
          <w:b w:val="0"/>
          <w:i w:val="0"/>
        </w:rPr>
        <w:t xml:space="preserve"> dissolution event itself, while source [2] emphasizes the disease as </w:t>
      </w:r>
      <w:r>
        <w:rPr>
          <w:b w:val="0"/>
          <w:i/>
        </w:rPr>
        <w:t>microbiological</w:t>
      </w:r>
      <w:r>
        <w:rPr>
          <w:b w:val="0"/>
          <w:i w:val="0"/>
        </w:rPr>
        <w:t xml:space="preserve"> in origin. </w:t>
      </w:r>
      <w:r>
        <w:rPr>
          <w:b w:val="0"/>
          <w:i/>
        </w:rPr>
        <w:t>Cariology</w:t>
      </w:r>
      <w:r>
        <w:rPr>
          <w:b w:val="0"/>
          <w:i w:val="0"/>
        </w:rPr>
        <w:t xml:space="preserve"> is defined as the science studying the etiology, histopathology, epidemiology, diagnosis, prevention, and treatment of dental caries</w:t>
      </w:r>
      <w:r>
        <w:rPr>
          <w:b w:val="0"/>
          <w:i w:val="0"/>
        </w:rPr>
        <w:t xml:space="preserve"> [2, p.4]</w:t>
      </w:r>
      <w:r>
        <w:rPr>
          <w:b w:val="0"/>
          <w:i w:val="0"/>
        </w:rPr>
        <w:t>.</w:t>
      </w:r>
    </w:p>
    <w:p>
      <w:pPr>
        <w:pStyle w:val="Heading2"/>
      </w:pPr>
      <w:r>
        <w:t>2. The Dental Biofilm: Formation and Structure</w:t>
      </w:r>
    </w:p>
    <w:p>
      <w:pPr>
        <w:spacing w:after="120"/>
      </w:pPr>
      <w:r>
        <w:rPr>
          <w:b w:val="0"/>
          <w:i w:val="0"/>
        </w:rPr>
        <w:t>The oral cavity is an open, constantly colonized system: mucosal and dental surfaces are permanently covered by a salivary protein film to which oral microorganisms — collectively the endogenous flora, or metagenome — adhere according to the surface properties of their cell walls</w:t>
      </w:r>
      <w:r>
        <w:rPr>
          <w:b w:val="0"/>
          <w:i w:val="0"/>
        </w:rPr>
        <w:t xml:space="preserve"> [1, p.14]</w:t>
      </w:r>
      <w:r>
        <w:rPr>
          <w:b w:val="0"/>
          <w:i w:val="0"/>
        </w:rPr>
        <w:t>. Squamous epithelial surfaces (cheek, lip, palate) desquamate continuously and so cannot support a stable biofilm; only the teeth (stable, non-shedding) allow biofilm build-up, concentrated at stagnation areas — approximal spaces, fissures, the gingival crevice, restoration margins</w:t>
      </w:r>
      <w:r>
        <w:rPr>
          <w:b w:val="0"/>
          <w:i w:val="0"/>
        </w:rPr>
        <w:t xml:space="preserve"> [1, p.15]</w:t>
      </w:r>
      <w:r>
        <w:rPr>
          <w:b w:val="0"/>
          <w:i w:val="0"/>
        </w:rP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Time since clean surface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What happens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0–12 hours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Single cocci attach to the salivary pellicle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12–24 hours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Cocci multiply into microcolonies; surface may feel matt/rough to the tongue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~1 week (undisturbed)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Microbial succession + rising species diversity → mature, “climax” biofilm (dental plaque)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48 hours (TEM)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Loose structure, mainly cocci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 weeks (TEM)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Dense mass of microcolonies of many species, separated by intermicrobial matrix channels</w:t>
            </w:r>
          </w:p>
        </w:tc>
      </w:tr>
    </w:tbl>
    <w:p>
      <w:r>
        <w:rPr>
          <w:i/>
          <w:sz w:val="18"/>
        </w:rPr>
        <w:t>Source: [1, p.15-17].</w:t>
      </w:r>
    </w:p>
    <w:p/>
    <w:p>
      <w:pPr>
        <w:spacing w:after="120"/>
      </w:pPr>
      <w:r>
        <w:rPr>
          <w:b w:val="0"/>
          <w:i w:val="0"/>
        </w:rPr>
        <w:t xml:space="preserve">Clinically important: a mature biofilm behaves very differently from planktonic (free-floating) laboratory bacteria. Chlorhexidine, for example, is highly effective against planktonic organisms in a test tube, but cannot diffuse effectively into the deeper layers of an established biofilm — which is why chlorhexidine mouthwash has only limited clinical effect on caries incidence despite strong </w:t>
      </w:r>
      <w:r>
        <w:rPr>
          <w:b w:val="0"/>
          <w:i/>
        </w:rPr>
        <w:t>in-vitro</w:t>
      </w:r>
      <w:r>
        <w:rPr>
          <w:b w:val="0"/>
          <w:i w:val="0"/>
        </w:rPr>
        <w:t xml:space="preserve"> antimicrobial activity</w:t>
      </w:r>
      <w:r>
        <w:rPr>
          <w:b w:val="0"/>
          <w:i w:val="0"/>
        </w:rPr>
        <w:t xml:space="preserve"> [1, p.18]</w:t>
      </w:r>
      <w:r>
        <w:rPr>
          <w:b w:val="0"/>
          <w:i w:val="0"/>
        </w:rPr>
        <w:t>. Biofilm close to the major salivary duct openings (buccal to upper 1st/2nd molars, lingual to lower incisors) can mineralize into dental calculus within weeks, because saliva there is supersaturated with calcium and phosphate</w:t>
      </w:r>
      <w:r>
        <w:rPr>
          <w:b w:val="0"/>
          <w:i w:val="0"/>
        </w:rPr>
        <w:t xml:space="preserve"> [1, p.18]</w:t>
      </w:r>
      <w:r>
        <w:rPr>
          <w:b w:val="0"/>
          <w:i w:val="0"/>
        </w:rPr>
        <w:t>.</w:t>
      </w:r>
    </w:p>
    <w:p>
      <w:pPr>
        <w:pStyle w:val="Heading2"/>
      </w:pPr>
      <w:r>
        <w:t>3. Biofilm Metabolism and the Stephan Curve</w:t>
      </w:r>
    </w:p>
    <w:p>
      <w:pPr>
        <w:spacing w:after="120"/>
      </w:pPr>
      <w:r>
        <w:rPr>
          <w:b w:val="0"/>
          <w:i w:val="0"/>
        </w:rPr>
        <w:t>Biofilm organisms continuously metabolize salivary proteins/glycoproteins, producing minute, continuous pH fluctuations even without dietary sugar</w:t>
      </w:r>
      <w:r>
        <w:rPr>
          <w:b w:val="0"/>
          <w:i w:val="0"/>
        </w:rPr>
        <w:t xml:space="preserve"> [1, p.18-19]</w:t>
      </w:r>
      <w:r>
        <w:rPr>
          <w:b w:val="0"/>
          <w:i w:val="0"/>
        </w:rPr>
        <w:t>; dietary fermentable carbohydrates (glucose, fructose, sucrose) dramatically amplify this.</w:t>
      </w:r>
    </w:p>
    <w:p>
      <w:pPr>
        <w:spacing w:before="80" w:after="80"/>
      </w:pPr>
      <w:r>
        <w:rPr>
          <w:b/>
        </w:rPr>
        <w:t xml:space="preserve">DEFINITION — Stephan curve: </w:t>
      </w:r>
      <w:r>
        <w:rPr>
          <w:b w:val="0"/>
          <w:i w:val="0"/>
        </w:rPr>
        <w:t>plaque pH measured at intervals for 30 minutes after a rinse with 2% sucrose for 1–2 minutes. Curves from sites independently classified as sound, inactively-lesioned, or actively-lesioned show markedly different metabolic responses, reflecting different underlying biofilm ecology at each site.</w:t>
      </w:r>
      <w:r>
        <w:t xml:space="preserve"> [1, p.19]</w:t>
      </w:r>
    </w:p>
    <w:p>
      <w:pPr>
        <w:spacing w:after="120"/>
      </w:pPr>
      <w:r>
        <w:rPr>
          <w:b w:val="0"/>
          <w:i w:val="0"/>
        </w:rPr>
        <w:t>The acid is a survival by-product, not a deliberate attack on the tooth: excess unmetabolized sugar can itself kill bacteria (“sugar kill”), so biofilm organisms must ferment available carbohydrate rapidly</w:t>
      </w:r>
      <w:r>
        <w:rPr>
          <w:b w:val="0"/>
          <w:i w:val="0"/>
        </w:rPr>
        <w:t xml:space="preserve"> [1, p.19]</w:t>
      </w:r>
      <w:r>
        <w:rPr>
          <w:b w:val="0"/>
          <w:i w:val="0"/>
        </w:rPr>
        <w:t xml:space="preserve">. A lesion becomes clinically visible (white spot) only after </w:t>
      </w:r>
      <w:r>
        <w:rPr>
          <w:b w:val="0"/>
          <w:i/>
        </w:rPr>
        <w:t>many</w:t>
      </w:r>
      <w:r>
        <w:rPr>
          <w:b w:val="0"/>
          <w:i w:val="0"/>
        </w:rPr>
        <w:t xml:space="preserve"> such pH fluctuations, sustained over months to years, produce a net calcium/phosphate loss sufficient to make enamel visibly porous</w:t>
      </w:r>
      <w:r>
        <w:rPr>
          <w:b w:val="0"/>
          <w:i w:val="0"/>
        </w:rPr>
        <w:t xml:space="preserve"> [1, p.20]</w:t>
      </w:r>
      <w:r>
        <w:rPr>
          <w:b w:val="0"/>
          <w:i w:val="0"/>
        </w:rPr>
        <w:t xml:space="preserve"> — most individual metabolic fluctuations physiologically cancel out; a lesion represents a persistent </w:t>
      </w:r>
      <w:r>
        <w:rPr>
          <w:b w:val="0"/>
          <w:i/>
        </w:rPr>
        <w:t>drift</w:t>
      </w:r>
      <w:r>
        <w:rPr>
          <w:b w:val="0"/>
          <w:i w:val="0"/>
        </w:rPr>
        <w:t>, so management should target the biofilm, not just the visible lesion</w:t>
      </w:r>
      <w:r>
        <w:rPr>
          <w:b w:val="0"/>
          <w:i w:val="0"/>
        </w:rPr>
        <w:t xml:space="preserve"> [1, p.20]</w:t>
      </w:r>
      <w:r>
        <w:rPr>
          <w:b w:val="0"/>
          <w:i w:val="0"/>
        </w:rPr>
        <w:t>.</w:t>
      </w:r>
    </w:p>
    <w:p>
      <w:pPr>
        <w:pStyle w:val="Heading2"/>
      </w:pPr>
      <w:r>
        <w:t>4. Chemistry of Demineralization — the Critical-pH Concept</w:t>
      </w:r>
    </w:p>
    <w:p>
      <w:pPr>
        <w:pStyle w:val="ListBullet"/>
        <w:spacing w:after="60"/>
      </w:pPr>
      <w:r>
        <w:rPr>
          <w:b w:val="0"/>
          <w:i w:val="0"/>
        </w:rPr>
        <w:t>At physiological pH (~7.4), saliva/plaque fluid is supersaturated with respect to hydroxyapatite and fluorapatite — the necessary precondition for tooth mineral to be maintained at all</w:t>
      </w:r>
      <w:r>
        <w:rPr>
          <w:b w:val="0"/>
          <w:i w:val="0"/>
        </w:rPr>
        <w:t xml:space="preserve"> [1, p.20]</w:t>
      </w:r>
    </w:p>
    <w:p>
      <w:pPr>
        <w:pStyle w:val="ListBullet"/>
        <w:spacing w:after="60"/>
      </w:pPr>
      <w:r>
        <w:rPr>
          <w:b w:val="0"/>
          <w:i w:val="0"/>
        </w:rPr>
        <w:t>As biofilm pH falls, apatite solubility rises sharply — roughly ten-fold for every 1-unit pH drop</w:t>
      </w:r>
      <w:r>
        <w:rPr>
          <w:b w:val="0"/>
          <w:i w:val="0"/>
        </w:rPr>
        <w:t xml:space="preserve"> [1, p.21]</w:t>
      </w:r>
    </w:p>
    <w:p>
      <w:pPr>
        <w:pStyle w:val="ListBullet"/>
        <w:spacing w:after="60"/>
      </w:pPr>
      <w:r>
        <w:rPr>
          <w:b w:val="0"/>
          <w:i w:val="0"/>
        </w:rPr>
        <w:t xml:space="preserve">At the </w:t>
      </w:r>
      <w:r>
        <w:rPr>
          <w:b w:val="0"/>
          <w:i/>
        </w:rPr>
        <w:t>critical pH</w:t>
      </w:r>
      <w:r>
        <w:rPr>
          <w:b w:val="0"/>
          <w:i w:val="0"/>
        </w:rPr>
        <w:t xml:space="preserve">, fluid becomes undersaturated w.r.t. hydroxyapatite while still supersaturated w.r.t. (less-soluble) fluorapatite → subsurface hydroxyapatite dissolves while fluorhydroxyapatite deposits in the surface enamel layer — the chemical basis of the </w:t>
      </w:r>
      <w:r>
        <w:rPr>
          <w:b/>
          <w:i w:val="0"/>
        </w:rPr>
        <w:t>subsurface lesion</w:t>
      </w:r>
      <w:r>
        <w:rPr>
          <w:b w:val="0"/>
          <w:i w:val="0"/>
        </w:rPr>
        <w:t xml:space="preserve"> [1, p.21-22]</w:t>
      </w:r>
    </w:p>
    <w:p>
      <w:pPr>
        <w:spacing w:after="120"/>
      </w:pPr>
      <w:r>
        <w:rPr>
          <w:b w:val="0"/>
          <w:i w:val="0"/>
        </w:rPr>
        <w:t>Because acid diffuses preferentially along enamel rod (prism) boundaries, a smooth-surface lesion is triangular in cross-section (base at the surface), while a fissure lesion is cone-shaped with its base toward the dentine — which is why occlusal cavities, once opened, are consistently larger at the base than the surface opening suggested, and why a bitewing shadow is wider under the surface than the visible entry point</w:t>
      </w:r>
      <w:r>
        <w:rPr>
          <w:b w:val="0"/>
          <w:i w:val="0"/>
        </w:rPr>
        <w:t xml:space="preserve"> [1, p.25-27]</w:t>
      </w:r>
      <w:r>
        <w:rPr>
          <w:b w:val="0"/>
          <w:i w:val="0"/>
        </w:rPr>
        <w:t>. Once ~30–40% of the enamel lesion's mineral is lost, the tissue is porous/fragile enough to fracture into a cavity — accelerated by mechanical stress such as aggressive probing</w:t>
      </w:r>
      <w:r>
        <w:rPr>
          <w:b w:val="0"/>
          <w:i w:val="0"/>
        </w:rPr>
        <w:t xml:space="preserve"> [1, p.29]</w:t>
      </w:r>
      <w:r>
        <w:rPr>
          <w:b w:val="0"/>
          <w:i w:val="0"/>
        </w:rPr>
        <w:t>.</w:t>
      </w:r>
    </w:p>
    <w:p>
      <w:pPr>
        <w:pStyle w:val="Heading2"/>
      </w:pPr>
      <w:r>
        <w:t>5. Remineralization: Mechanism and Real-World Limits</w:t>
      </w:r>
    </w:p>
    <w:p>
      <w:pPr>
        <w:spacing w:after="120"/>
      </w:pPr>
      <w:r>
        <w:rPr>
          <w:b w:val="0"/>
          <w:i w:val="0"/>
        </w:rPr>
        <w:t xml:space="preserve">Remineralization requires calcium/phosphate ions to diffuse into the porous subsurface lesion (usually through the relatively intact surface zone) and redeposit onto partially dissolved crystal surfaces; this is described as an </w:t>
      </w:r>
      <w:r>
        <w:rPr>
          <w:b w:val="0"/>
          <w:i/>
        </w:rPr>
        <w:t>extremely slow</w:t>
      </w:r>
      <w:r>
        <w:rPr>
          <w:b w:val="0"/>
          <w:i w:val="0"/>
        </w:rPr>
        <w:t xml:space="preserve"> process, and the source explicitly cautions that many marketed “remineralizing” agents are validated only under artificial laboratory conditions that do not reflect the oral cavity</w:t>
      </w:r>
      <w:r>
        <w:rPr>
          <w:b w:val="0"/>
          <w:i w:val="0"/>
        </w:rPr>
        <w:t xml:space="preserve"> [1, p.29-30]</w:t>
      </w:r>
      <w:r>
        <w:rPr>
          <w:b w:val="0"/>
          <w:i w:val="0"/>
        </w:rPr>
        <w:t xml:space="preserve">. What is observed clinically as “remineralization” is predominantly surface abrasion + slow mineral redeposition onto exposed crystal remnants — </w:t>
      </w:r>
      <w:r>
        <w:rPr>
          <w:b w:val="0"/>
          <w:i/>
        </w:rPr>
        <w:t>not</w:t>
      </w:r>
      <w:r>
        <w:rPr>
          <w:b w:val="0"/>
          <w:i w:val="0"/>
        </w:rPr>
        <w:t xml:space="preserve"> restoration of the lesion body — and a truly arrested lesion generally cannot be reversed further except by mechanical polishing/acid microabrasion</w:t>
      </w:r>
      <w:r>
        <w:rPr>
          <w:b w:val="0"/>
          <w:i w:val="0"/>
        </w:rPr>
        <w:t xml:space="preserve"> [1, p.31]</w:t>
      </w:r>
      <w:r>
        <w:rPr>
          <w:b w:val="0"/>
          <w:i w:val="0"/>
        </w:rPr>
        <w:t xml:space="preserve">. This is exactly why lesion </w:t>
      </w:r>
      <w:r>
        <w:rPr>
          <w:b w:val="0"/>
          <w:i/>
        </w:rPr>
        <w:t>activity</w:t>
      </w:r>
      <w:r>
        <w:rPr>
          <w:b w:val="0"/>
          <w:i w:val="0"/>
        </w:rPr>
        <w:t xml:space="preserve"> assessment (Sub-Module 1.2) is clinically central: only an </w:t>
      </w:r>
      <w:r>
        <w:rPr>
          <w:b w:val="0"/>
          <w:i/>
        </w:rPr>
        <w:t>active</w:t>
      </w:r>
      <w:r>
        <w:rPr>
          <w:b w:val="0"/>
          <w:i w:val="0"/>
        </w:rPr>
        <w:t xml:space="preserve"> lesion can still respond to caries-control measures</w:t>
      </w:r>
      <w:r>
        <w:rPr>
          <w:b w:val="0"/>
          <w:i w:val="0"/>
        </w:rPr>
        <w:t xml:space="preserve"> [1, p.29]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Erosion is mechanistically distinct: it results from direct dissolution by extrinsic/intrinsic acids unrelated to biofilm stagnation, etches away successive whole crystal layers, and — unlike an active caries lesion, which retains partially demineralized crystals able to accept redeposited mineral — cannot remineralize even under prolonged exposure to supersaturated saliva</w:t>
      </w:r>
      <w:r>
        <w:rPr>
          <w:b w:val="0"/>
          <w:i w:val="0"/>
        </w:rPr>
        <w:t xml:space="preserve"> [1, p.30-31]</w:t>
      </w:r>
      <w:r>
        <w:rPr>
          <w:b w:val="0"/>
          <w:i w:val="0"/>
        </w:rPr>
        <w:t>.</w:t>
      </w:r>
    </w:p>
    <w:p>
      <w:r>
        <w:br w:type="page"/>
      </w:r>
    </w:p>
    <w:p>
      <w:pPr/>
      <w:r>
        <w:rPr>
          <w:b/>
        </w:rPr>
        <w:t xml:space="preserve">DEFINITION — White Spot Lesion: </w:t>
      </w:r>
      <w:r>
        <w:t>the first sign of a carious lesion visible to the naked eye — a white, opaque change in enamel appearance caused by subsurface demineralization. The source explicitly warns against a common terminology confusion: white spot lesions are also called “early,” “initial,” or “incipient” lesions, but a white spot lesion can persist for years in an arrested (non-progressing) state, so labelling it “early” is not necessarily accurate — “any white spot lesion is not [necessarily] incipient.” Multiple active white spot/carious lesions occurring simultaneously in one patient, often on surfaces not usually affected by caries, is termed rampant caries.</w:t>
      </w:r>
      <w:r>
        <w:t xml:space="preserve"> [1, p.12]</w:t>
      </w:r>
    </w:p>
    <w:p>
      <w:pPr>
        <w:pStyle w:val="Heading2"/>
      </w:pPr>
      <w:r>
        <w:t>6. Progression into Dentine and the Pulp Response</w:t>
      </w:r>
    </w:p>
    <w:p>
      <w:pPr>
        <w:spacing w:after="120"/>
      </w:pPr>
      <w:r>
        <w:rPr>
          <w:b w:val="0"/>
          <w:i w:val="0"/>
        </w:rPr>
        <w:t>Dentine demineralization is detectable histologically well before enamel cavitation, spreading in the direction dictated by dentinal tubule orientation</w:t>
      </w:r>
      <w:r>
        <w:rPr>
          <w:b w:val="0"/>
          <w:i w:val="0"/>
        </w:rPr>
        <w:t xml:space="preserve"> [1, p.32]</w:t>
      </w:r>
      <w:r>
        <w:rPr>
          <w:b w:val="0"/>
          <w:i w:val="0"/>
        </w:rPr>
        <w:t xml:space="preserve">. It is typically preceded by </w:t>
      </w:r>
      <w:r>
        <w:rPr>
          <w:b w:val="0"/>
          <w:i/>
        </w:rPr>
        <w:t>translucent dentine</w:t>
      </w:r>
      <w:r>
        <w:rPr>
          <w:b w:val="0"/>
          <w:i w:val="0"/>
        </w:rPr>
        <w:t xml:space="preserve"> (tubular sclerosis) — the vital odontoblast/pulp complex attempting to occlude tubules with mineral and reduce permeability — with deeper </w:t>
      </w:r>
      <w:r>
        <w:rPr>
          <w:b w:val="0"/>
          <w:i/>
        </w:rPr>
        <w:t>tertiary dentine</w:t>
      </w:r>
      <w:r>
        <w:rPr>
          <w:b w:val="0"/>
          <w:i w:val="0"/>
        </w:rPr>
        <w:t xml:space="preserve"> laid down by corresponding odontoblasts as a further protective response, attempting to wall off the pulp</w:t>
      </w:r>
      <w:r>
        <w:rPr>
          <w:b w:val="0"/>
          <w:i w:val="0"/>
        </w:rPr>
        <w:t xml:space="preserve"> [1, p.32]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Once cavitated, the cavity fills with retained microbial mass that, beyond continued acid production, exerts proteolytic activity degrading partially demineralized dentine collagen — the soft, sticky, yellow-brown carious dentine removed during excavation</w:t>
      </w:r>
      <w:r>
        <w:rPr>
          <w:b w:val="0"/>
          <w:i w:val="0"/>
        </w:rPr>
        <w:t xml:space="preserve"> [1, p.32-33]</w:t>
      </w:r>
      <w:r>
        <w:rPr>
          <w:b w:val="0"/>
          <w:i w:val="0"/>
        </w:rPr>
        <w:t xml:space="preserve">. Although microorganisms do penetrate individual tubules, it is the </w:t>
      </w:r>
      <w:r>
        <w:rPr>
          <w:b w:val="0"/>
          <w:i/>
        </w:rPr>
        <w:t>bulk</w:t>
      </w:r>
      <w:r>
        <w:rPr>
          <w:b w:val="0"/>
          <w:i w:val="0"/>
        </w:rPr>
        <w:t xml:space="preserve"> microbial mass in the cavity (the “biomass”), not the advancing tubular bacteria, that is the principal acid-producing fabric — clinically relevant to how much carious dentine truly needs removing at the advancing front</w:t>
      </w:r>
      <w:r>
        <w:rPr>
          <w:b w:val="0"/>
          <w:i w:val="0"/>
        </w:rPr>
        <w:t xml:space="preserve"> [1, p.33]</w:t>
      </w:r>
      <w:r>
        <w:rPr>
          <w:b w:val="0"/>
          <w:i w:val="0"/>
        </w:rP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Pain 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Clinical pattern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Significance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Reversible pulpitis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Provoked by stimulus (hot/cold/sweet), resolves promptly on removal of stimulus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Pulp inflammation still reversible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Irreversible pulpitis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Spontaneous, persistent, characteristically worse at night (supine → increased cranial blood flow)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“Crucial” differential — without endodontic treatment, may progress to necrosis + periapical infection/abscess</w:t>
            </w:r>
          </w:p>
        </w:tc>
      </w:tr>
    </w:tbl>
    <w:p>
      <w:r>
        <w:rPr>
          <w:i/>
          <w:sz w:val="18"/>
        </w:rPr>
        <w:t>Source: [1, p.34-35]. Mechanism: ordinary connective-tissue inflammation, made distinctively painful in the pulp because the tissue is encased in rigid dentine and cannot swell to accommodate the vascular response.</w:t>
      </w:r>
    </w:p>
    <w:p/>
    <w:p>
      <w:pPr>
        <w:pStyle w:val="Heading2"/>
      </w:pPr>
      <w:r>
        <w:t>7. The Role of Mutans Streptococci — the Ecological Plaque Hypothesis</w:t>
      </w:r>
    </w:p>
    <w:p>
      <w:pPr>
        <w:spacing w:after="120"/>
      </w:pPr>
      <w:r>
        <w:rPr>
          <w:b/>
          <w:i w:val="0"/>
        </w:rPr>
        <w:t>Historical view:</w:t>
      </w:r>
      <w:r>
        <w:rPr>
          <w:b w:val="0"/>
          <w:i w:val="0"/>
        </w:rPr>
        <w:t xml:space="preserve"> 1960s hamster/rat studies (animals infected with certain streptococci + fed a frequent-sucrose diet developed extensive fissure caries, apparently transmissible to litter-mates) drove decades of “caries is an infectious, transmissible disease” thinking — later shown to be confounded by rodent coprophagy rather than true infection</w:t>
      </w:r>
      <w:r>
        <w:rPr>
          <w:b w:val="0"/>
          <w:i w:val="0"/>
        </w:rPr>
        <w:t xml:space="preserve"> [1, p.35]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/>
          <w:i w:val="0"/>
        </w:rPr>
        <w:t>Evidence against a single-organism model</w:t>
      </w:r>
      <w:r>
        <w:rPr>
          <w:b w:val="0"/>
          <w:i w:val="0"/>
        </w:rPr>
        <w:t xml:space="preserve"> [1, p.35-36]</w:t>
      </w:r>
      <w:r>
        <w:rPr>
          <w:b w:val="0"/>
          <w:i w:val="0"/>
        </w:rPr>
        <w:t>:</w:t>
      </w:r>
    </w:p>
    <w:p>
      <w:pPr>
        <w:pStyle w:val="ListBullet"/>
        <w:spacing w:after="60"/>
      </w:pPr>
      <w:r>
        <w:rPr>
          <w:b w:val="0"/>
          <w:i w:val="0"/>
        </w:rPr>
        <w:t>Mutans streptococci are part of the normal resident flora, present in LOW numbers even in most caries-free individuals</w:t>
      </w:r>
    </w:p>
    <w:p>
      <w:pPr>
        <w:pStyle w:val="ListBullet"/>
        <w:spacing w:after="60"/>
      </w:pPr>
      <w:r>
        <w:rPr>
          <w:b w:val="0"/>
          <w:i w:val="0"/>
        </w:rPr>
        <w:t xml:space="preserve">No consistent association between </w:t>
      </w:r>
      <w:r>
        <w:rPr>
          <w:b w:val="0"/>
          <w:i/>
        </w:rPr>
        <w:t>S. mutans</w:t>
      </w:r>
      <w:r>
        <w:rPr>
          <w:b w:val="0"/>
          <w:i w:val="0"/>
        </w:rPr>
        <w:t xml:space="preserve"> presence/counts and either approximal caries experience or plaque pH response in individual children</w:t>
      </w:r>
    </w:p>
    <w:p>
      <w:pPr>
        <w:pStyle w:val="ListBullet"/>
        <w:spacing w:after="60"/>
      </w:pPr>
      <w:r>
        <w:rPr>
          <w:b w:val="0"/>
          <w:i w:val="0"/>
        </w:rPr>
        <w:t>Subgrouping by salivary mutans counts does not reliably distinguish high- vs. low-caries-experience groups; high counts are often found at sites with NO demineralization</w:t>
      </w:r>
    </w:p>
    <w:p>
      <w:pPr>
        <w:pStyle w:val="ListBullet"/>
        <w:spacing w:after="60"/>
      </w:pPr>
      <w:r>
        <w:rPr>
          <w:b w:val="0"/>
          <w:i w:val="0"/>
        </w:rPr>
        <w:t>Populations have shown dramatic caries declines over short periods with NO corresponding change in population salivary mutans levels</w:t>
      </w:r>
    </w:p>
    <w:p>
      <w:pPr>
        <w:pStyle w:val="ListBullet"/>
        <w:spacing w:after="60"/>
      </w:pPr>
      <w:r>
        <w:rPr>
          <w:b w:val="0"/>
          <w:i w:val="0"/>
        </w:rPr>
        <w:t>A thorough literature review concludes no single microbial species can be identified as the primary cause of enamel OR root caries</w:t>
      </w:r>
    </w:p>
    <w:p>
      <w:pPr>
        <w:spacing w:before="80" w:after="80"/>
      </w:pPr>
      <w:r>
        <w:rPr>
          <w:b/>
        </w:rPr>
        <w:t xml:space="preserve">DEFINITION — Ecological plaque hypothesis: </w:t>
      </w:r>
      <w:r>
        <w:rPr>
          <w:b w:val="0"/>
          <w:i w:val="0"/>
        </w:rPr>
        <w:t>biofilm conditions at a given site select for a locally-adapted mix of organisms, rather than a single pathogen “causing” disease. In a neutral, balanced ecosystem, acidogenic/aciduric organisms (mutans streptococci, lactobacilli) form only a small, weakly competitive fraction of the biomass; introducing them experimentally into a balanced ecosystem does not, by itself, produce caries. Rising sugar-intake frequency shifts biofilm ecology toward these organisms at protected sites, producing a self-reinforcing cycle of falling pH → further selection for acid-tolerant flora → net mineral loss.</w:t>
      </w:r>
      <w:r>
        <w:t xml:space="preserve"> [1, p.36-37]</w:t>
      </w:r>
    </w:p>
    <w:p>
      <w:pPr>
        <w:spacing w:after="120"/>
      </w:pPr>
      <w:r>
        <w:rPr>
          <w:b w:val="0"/>
          <w:i w:val="0"/>
        </w:rPr>
        <w:t xml:space="preserve">Conclusion of the source: caries should be understood as </w:t>
      </w:r>
      <w:r>
        <w:rPr>
          <w:b w:val="0"/>
          <w:i/>
        </w:rPr>
        <w:t>“a biofilm-induced disease—the biofilm being composed of the resident microflora which is in a dynamic equilibrium with the oral environment”</w:t>
      </w:r>
      <w:r>
        <w:rPr>
          <w:b w:val="0"/>
          <w:i w:val="0"/>
        </w:rPr>
        <w:t>, not an infectious/transmissible disease of one organism — so control should target the biofilm as a whole plus sugar-frequency reduction, not elimination of a single species</w:t>
      </w:r>
      <w:r>
        <w:rPr>
          <w:b w:val="0"/>
          <w:i w:val="0"/>
        </w:rPr>
        <w:t xml:space="preserve"> [1, p.37]</w:t>
      </w:r>
      <w:r>
        <w:rPr>
          <w:b w:val="0"/>
          <w:i w:val="0"/>
        </w:rPr>
        <w:t>.</w:t>
      </w:r>
    </w:p>
    <w:p>
      <w:pPr>
        <w:pStyle w:val="Heading2"/>
      </w:pPr>
      <w:r>
        <w:t>8. Genetic Predisposition and Caries Risk — Two Textbook Perspectives</w:t>
      </w:r>
    </w:p>
    <w:p>
      <w:pPr>
        <w:spacing w:after="120"/>
        <w:jc w:val="both"/>
      </w:pPr>
      <w:r>
        <w:rPr>
          <w:b/>
          <w:i w:val="0"/>
        </w:rPr>
        <w:t>This is a genuinely contested area across the two standardised sources used, and both positions are given in full below rather than resolved artificially.</w:t>
      </w:r>
    </w:p>
    <w:p>
      <w:pPr>
        <w:pStyle w:val="Heading3"/>
      </w:pPr>
      <w:r>
        <w:t>8.1 Host Genetic Susceptibility: “No Evidence” (Essentials of Dental Caries)</w:t>
      </w:r>
    </w:p>
    <w:p>
      <w:pPr>
        <w:spacing w:after="120"/>
      </w:pPr>
      <w:r>
        <w:rPr>
          <w:b w:val="0"/>
          <w:i w:val="0"/>
        </w:rPr>
        <w:t xml:space="preserve">Discussing race, ethnicity, and heredity directly, the source states there is </w:t>
      </w:r>
      <w:r>
        <w:rPr>
          <w:b/>
          <w:i w:val="0"/>
        </w:rPr>
        <w:t>“no evidence to support inheritance as a factor explaining the disparity in caries prevalence or incidence between different racial or ethnic groups”</w:t>
      </w:r>
      <w:r>
        <w:rPr>
          <w:b w:val="0"/>
          <w:i w:val="0"/>
        </w:rPr>
        <w:t xml:space="preserve"> [1, p.177]</w:t>
      </w:r>
      <w:r>
        <w:rPr>
          <w:b w:val="0"/>
          <w:i w:val="0"/>
        </w:rPr>
        <w:t xml:space="preserve">. Familial clustering of caries (“my mother/father also had bad teeth”) is instead attributed to </w:t>
      </w:r>
      <w:r>
        <w:rPr>
          <w:b w:val="0"/>
          <w:i/>
        </w:rPr>
        <w:t>shared environment</w:t>
      </w:r>
      <w:r>
        <w:rPr>
          <w:b w:val="0"/>
          <w:i w:val="0"/>
        </w:rPr>
        <w:t>: families share dietary practices and oral hygiene behaviours, and these two factors alone are considered sufficient to explain the pattern</w:t>
      </w:r>
      <w:r>
        <w:rPr>
          <w:b w:val="0"/>
          <w:i w:val="0"/>
        </w:rPr>
        <w:t xml:space="preserve"> [1, p.177-178]</w:t>
      </w:r>
      <w:r>
        <w:rPr>
          <w:b w:val="0"/>
          <w:i w:val="0"/>
        </w:rPr>
        <w:t>. The clearer, better-supported relationship in this source is socioeconomic: poverty status and educational attainment correlate strongly with caries experience, consistent with the general pattern that poorer, less-educated populations experience worse health outcomes broadly</w:t>
      </w:r>
      <w:r>
        <w:rPr>
          <w:b w:val="0"/>
          <w:i w:val="0"/>
        </w:rPr>
        <w:t xml:space="preserve"> [1, p.177]</w:t>
      </w:r>
      <w:r>
        <w:rPr>
          <w:b w:val="0"/>
          <w:i w:val="0"/>
        </w:rPr>
        <w:t>. Within-population variation can be very large — an 8-fold difference in mean DMFS was recorded across 267 Danish municipalities in 15-year-olds in 2003 — illustrating that local socioeconomic/behavioural variation dwarfs any population-level genetic signal</w:t>
      </w:r>
      <w:r>
        <w:rPr>
          <w:b w:val="0"/>
          <w:i w:val="0"/>
        </w:rPr>
        <w:t xml:space="preserve"> [1, p.178]</w:t>
      </w:r>
      <w:r>
        <w:rPr>
          <w:b w:val="0"/>
          <w:i w:val="0"/>
        </w:rPr>
        <w:t>.</w:t>
      </w:r>
    </w:p>
    <w:p>
      <w:pPr>
        <w:pStyle w:val="Heading3"/>
      </w:pPr>
      <w:r>
        <w:t>8.2 Genetic/Biotechnological Approaches to Caries Prevention (Textbook of Preclinical Conservative Dentistry)</w:t>
      </w:r>
    </w:p>
    <w:p>
      <w:pPr>
        <w:spacing w:after="120"/>
      </w:pPr>
      <w:r>
        <w:rPr>
          <w:b w:val="0"/>
          <w:i w:val="0"/>
        </w:rPr>
        <w:t xml:space="preserve">A different textbook, covering caries prevention research rather than epidemiology, presents genetics as a live </w:t>
      </w:r>
      <w:r>
        <w:rPr>
          <w:b w:val="0"/>
          <w:i/>
        </w:rPr>
        <w:t>intervention</w:t>
      </w:r>
      <w:r>
        <w:rPr>
          <w:b w:val="0"/>
          <w:i w:val="0"/>
        </w:rPr>
        <w:t xml:space="preserve"> strategy rather than a settled non-factor:</w:t>
      </w:r>
    </w:p>
    <w:p>
      <w:pPr>
        <w:pStyle w:val="ListBullet"/>
        <w:spacing w:after="60"/>
      </w:pPr>
      <w:r>
        <w:rPr>
          <w:b w:val="0"/>
          <w:i w:val="0"/>
        </w:rPr>
        <w:t xml:space="preserve">Genetically modified </w:t>
      </w:r>
      <w:r>
        <w:rPr>
          <w:b w:val="0"/>
          <w:i/>
        </w:rPr>
        <w:t>S. mutans</w:t>
      </w:r>
      <w:r>
        <w:rPr>
          <w:b w:val="0"/>
          <w:i w:val="0"/>
        </w:rPr>
        <w:t xml:space="preserve"> strains have been created lacking the </w:t>
      </w:r>
      <w:r>
        <w:rPr>
          <w:b w:val="0"/>
          <w:i/>
        </w:rPr>
        <w:t>lactodehydrogenase</w:t>
      </w:r>
      <w:r>
        <w:rPr>
          <w:b w:val="0"/>
          <w:i w:val="0"/>
        </w:rPr>
        <w:t xml:space="preserve"> gene, rendering them unable to produce lactic acid</w:t>
      </w:r>
      <w:r>
        <w:rPr>
          <w:b w:val="0"/>
          <w:i w:val="0"/>
        </w:rPr>
        <w:t xml:space="preserve"> [2, p.71]</w:t>
      </w:r>
    </w:p>
    <w:p>
      <w:pPr>
        <w:pStyle w:val="ListBullet"/>
        <w:spacing w:after="60"/>
      </w:pPr>
      <w:r>
        <w:rPr>
          <w:b w:val="0"/>
          <w:i w:val="0"/>
        </w:rPr>
        <w:t xml:space="preserve">Genetically modified </w:t>
      </w:r>
      <w:r>
        <w:rPr>
          <w:b w:val="0"/>
          <w:i/>
        </w:rPr>
        <w:t>Lactobacillus zeae</w:t>
      </w:r>
      <w:r>
        <w:rPr>
          <w:b w:val="0"/>
          <w:i w:val="0"/>
        </w:rPr>
        <w:t xml:space="preserve"> has been engineered to produce antibodies that attach to the </w:t>
      </w:r>
      <w:r>
        <w:rPr>
          <w:b w:val="0"/>
          <w:i/>
        </w:rPr>
        <w:t>S. mutans</w:t>
      </w:r>
      <w:r>
        <w:rPr>
          <w:b w:val="0"/>
          <w:i w:val="0"/>
        </w:rPr>
        <w:t xml:space="preserve"> surface, causing its death</w:t>
      </w:r>
      <w:r>
        <w:rPr>
          <w:b w:val="0"/>
          <w:i w:val="0"/>
        </w:rPr>
        <w:t xml:space="preserve"> [2, p.71]</w:t>
      </w:r>
    </w:p>
    <w:p>
      <w:pPr>
        <w:pStyle w:val="ListBullet"/>
        <w:spacing w:after="60"/>
      </w:pPr>
      <w:r>
        <w:rPr>
          <w:b w:val="0"/>
          <w:i w:val="0"/>
        </w:rPr>
        <w:t>Genetically modified foods are being researched for use as “probiotics” in high-caries-risk patients</w:t>
      </w:r>
      <w:r>
        <w:rPr>
          <w:b w:val="0"/>
          <w:i w:val="0"/>
        </w:rPr>
        <w:t xml:space="preserve"> [2, p.71]</w:t>
      </w:r>
    </w:p>
    <w:p>
      <w:pPr>
        <w:pStyle w:val="ListBullet"/>
        <w:spacing w:after="60"/>
      </w:pPr>
      <w:r>
        <w:rPr>
          <w:b w:val="0"/>
          <w:i w:val="0"/>
        </w:rPr>
        <w:t xml:space="preserve">A caries vaccine strategy is proposed: immunization with </w:t>
      </w:r>
      <w:r>
        <w:rPr>
          <w:b w:val="0"/>
          <w:i/>
        </w:rPr>
        <w:t>S. mutans</w:t>
      </w:r>
      <w:r>
        <w:rPr>
          <w:b w:val="0"/>
          <w:i w:val="0"/>
        </w:rPr>
        <w:t xml:space="preserve"> antigens to induce an immune response preventing colonization, ideally administered before eruption of the deciduous dentition for maximum benefit</w:t>
      </w:r>
      <w:r>
        <w:rPr>
          <w:b w:val="0"/>
          <w:i w:val="0"/>
        </w:rPr>
        <w:t xml:space="preserve"> [2, p.71]</w:t>
      </w:r>
    </w:p>
    <w:p>
      <w:pPr>
        <w:pStyle w:val="Heading3"/>
      </w:pPr>
      <w:r>
        <w:t>8.3 Reconciling the Two: What AAPD Adds</w:t>
      </w:r>
    </w:p>
    <w:p>
      <w:pPr>
        <w:spacing w:after="120"/>
      </w:pPr>
      <w:r>
        <w:rPr>
          <w:b w:val="0"/>
          <w:i w:val="0"/>
        </w:rPr>
        <w:t>A 2025 AAPD best-practice document (used more fully in Sub-Module 1.3) lists “genome-level risk factors” explicitly among the limitations of current caries-risk-factor models, stating they “may account for substantial variations in caries risk” that existing risk-assessment tools do not capture</w:t>
      </w:r>
      <w:r>
        <w:rPr>
          <w:b w:val="0"/>
          <w:i w:val="0"/>
        </w:rPr>
        <w:t xml:space="preserve"> [3, p.327]</w:t>
      </w:r>
      <w:r>
        <w:rPr>
          <w:b w:val="0"/>
          <w:i w:val="0"/>
        </w:rPr>
        <w:t xml:space="preserve"> — i.e., the most recent authoritative position sits </w:t>
      </w:r>
      <w:r>
        <w:rPr>
          <w:b w:val="0"/>
          <w:i/>
        </w:rPr>
        <w:t>between</w:t>
      </w:r>
      <w:r>
        <w:rPr>
          <w:b w:val="0"/>
          <w:i w:val="0"/>
        </w:rPr>
        <w:t xml:space="preserve"> the two textbook views: host genetics is acknowledged as a plausible, currently under-measured contributor to individual variation, while population-level racial/ethnic disparities remain best explained by socioeconomic and behavioural factors rather than heredity. </w:t>
      </w:r>
      <w:r>
        <w:rPr>
          <w:b/>
          <w:i w:val="0"/>
        </w:rPr>
        <w:t>Practical takeaway:</w:t>
      </w:r>
      <w:r>
        <w:rPr>
          <w:b w:val="0"/>
          <w:i w:val="0"/>
        </w:rPr>
        <w:t xml:space="preserve"> don't present genetics as either a non-factor or a primary cause — it is an area of genuine, acknowledged scientific uncertainty, while shared-environment and socioeconomic explanations for </w:t>
      </w:r>
      <w:r>
        <w:rPr>
          <w:b w:val="0"/>
          <w:i/>
        </w:rPr>
        <w:t>population-level</w:t>
      </w:r>
      <w:r>
        <w:rPr>
          <w:b w:val="0"/>
          <w:i w:val="0"/>
        </w:rPr>
        <w:t xml:space="preserve"> disparities are comparatively well-supported.</w:t>
      </w:r>
    </w:p>
    <w:p>
      <w:r>
        <w:br w:type="page"/>
      </w:r>
    </w:p>
    <w:p>
      <w:pPr>
        <w:pStyle w:val="Heading2"/>
      </w:pPr>
      <w:r>
        <w:t>9. Root Surface Caries</w:t>
      </w:r>
    </w:p>
    <w:p>
      <w:pPr>
        <w:spacing w:after="120"/>
      </w:pPr>
      <w:r>
        <w:rPr>
          <w:b w:val="0"/>
          <w:i w:val="0"/>
        </w:rPr>
        <w:t>Can only develop once cementum/root dentine is exposed to the oral environment via gingival recession; follows the same demineralization sequence as enamel caries</w:t>
      </w:r>
      <w:r>
        <w:rPr>
          <w:b w:val="0"/>
          <w:i w:val="0"/>
        </w:rPr>
        <w:t xml:space="preserve"> [1, p.37-38]</w:t>
      </w:r>
      <w:r>
        <w:rPr>
          <w:b w:val="0"/>
          <w:i w:val="0"/>
        </w:rPr>
        <w:t>. Provided the covering biofilm is mechanically removed (toothbrushing + fluoride toothpaste), even an accessible cavitated root lesion can be arrested — the softened yellow-brown surface gradually hardens, darkens, and over months becomes hard, shiny, almost black — explicit evidence against restoring such lesions operatively while they remain hygiene-controllable</w:t>
      </w:r>
      <w:r>
        <w:rPr>
          <w:b w:val="0"/>
          <w:i w:val="0"/>
        </w:rPr>
        <w:t xml:space="preserve"> [1, p.38]</w:t>
      </w:r>
      <w:r>
        <w:rPr>
          <w:b w:val="0"/>
          <w:i w:val="0"/>
        </w:rPr>
        <w:t>.</w:t>
      </w:r>
    </w:p>
    <w:p>
      <w:pPr>
        <w:pStyle w:val="Heading2"/>
      </w:pPr>
      <w:r>
        <w:t>10. The Role of Saliva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Salivary function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Mechanism / data point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Buffering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Bicarbonate rises with stimulated flow; salivary pH varies 6.0–7.5, most alkaline when stimulated [1, p.39]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Clearance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Salivary film only ~100 µm thick; slowest movement in the upper labial sulcus; limited mixing between left/right streams either side of the tongue — relevant when applying fluoride unilaterally [1, p.40]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Mineral supersaturation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Precondition for enamel stability at physiological pH [1, p.20, p.39-40]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Flow near-zero overnight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Explains dry-mouth-on-waking and why night-time is peak caries vulnerability [1, p.39]</w:t>
            </w:r>
          </w:p>
        </w:tc>
      </w:tr>
    </w:tbl>
    <w:p/>
    <w:p>
      <w:pPr>
        <w:spacing w:after="120"/>
      </w:pPr>
      <w:r>
        <w:rPr>
          <w:b w:val="0"/>
          <w:i w:val="0"/>
        </w:rPr>
        <w:t xml:space="preserve">A simple water rinse after a sugary meal does </w:t>
      </w:r>
      <w:r>
        <w:rPr>
          <w:b w:val="0"/>
          <w:i/>
        </w:rPr>
        <w:t>not</w:t>
      </w:r>
      <w:r>
        <w:rPr>
          <w:b w:val="0"/>
          <w:i w:val="0"/>
        </w:rPr>
        <w:t xml:space="preserve"> clear fermentable sugar from within the biofilm (sucrose diffuses rapidly from the thin salivary film into the much thicker adjacent biofilm along a steep concentration gradient) — explicitly called “a useless way to attempt to control caries”; mechanical toothbrushing is required to disturb the biofilm itself</w:t>
      </w:r>
      <w:r>
        <w:rPr>
          <w:b w:val="0"/>
          <w:i w:val="0"/>
        </w:rPr>
        <w:t xml:space="preserve"> [1, p.40]</w:t>
      </w:r>
      <w:r>
        <w:rPr>
          <w:b w:val="0"/>
          <w:i w:val="0"/>
        </w:rPr>
        <w:t>. Chewing (e.g., sugar-cane chewing studied in Kenyan children) substantially increases both flow and buffering, blunting the expected Stephan-curve pH drop despite high sugar exposure</w:t>
      </w:r>
      <w:r>
        <w:rPr>
          <w:b w:val="0"/>
          <w:i w:val="0"/>
        </w:rPr>
        <w:t xml:space="preserve"> [1, p.40]</w:t>
      </w:r>
      <w:r>
        <w:rPr>
          <w:b w:val="0"/>
          <w:i w:val="0"/>
        </w:rPr>
        <w:t>. Hyposalivation removes clearance, buffering, and mineral-supply functions simultaneously, allowing cariogenic organisms to overgrow — patients with reduced salivary flow are described as among the most challenging to manage for caries control</w:t>
      </w:r>
      <w:r>
        <w:rPr>
          <w:b w:val="0"/>
          <w:i w:val="0"/>
        </w:rPr>
        <w:t xml:space="preserve"> [1, p.41]</w:t>
      </w:r>
      <w:r>
        <w:rPr>
          <w:b w:val="0"/>
          <w:i w:val="0"/>
        </w:rPr>
        <w:t>.</w:t>
      </w:r>
    </w:p>
    <w:p>
      <w:pPr>
        <w:pStyle w:val="Heading2"/>
      </w:pPr>
      <w:r>
        <w:t>11. The Role of Sugars</w:t>
      </w:r>
    </w:p>
    <w:p>
      <w:pPr>
        <w:spacing w:before="80" w:after="80"/>
      </w:pPr>
      <w:r>
        <w:rPr>
          <w:b/>
        </w:rPr>
        <w:t xml:space="preserve">DEFINITION — Free sugars: </w:t>
      </w:r>
      <w:r>
        <w:rPr>
          <w:b w:val="0"/>
          <w:i w:val="0"/>
        </w:rPr>
        <w:t>mono- and disaccharides added to food/drink by the consumer, cook, or manufacturer, plus sugars naturally released from fruit during juicing/blending — as distinct from intrinsic sugars (naturally within the cellular structure of whole foods), which are not considered harmful.</w:t>
      </w:r>
      <w:r>
        <w:t xml:space="preserve"> [1, p.41-42]</w:t>
      </w:r>
    </w:p>
    <w:p>
      <w:pPr>
        <w:spacing w:after="120"/>
      </w:pPr>
      <w:r>
        <w:rPr>
          <w:b w:val="0"/>
          <w:i w:val="0"/>
        </w:rPr>
        <w:t xml:space="preserve">A controlled experiment (dental students refraining from oral hygiene, rinsing 9x daily for 2 min with 2% sucrose) produced early active white-spot lesions within weeks, regressing once hygiene/fluoride resumed — but the </w:t>
      </w:r>
      <w:r>
        <w:rPr>
          <w:b w:val="0"/>
          <w:i/>
        </w:rPr>
        <w:t>rate</w:t>
      </w:r>
      <w:r>
        <w:rPr>
          <w:b w:val="0"/>
          <w:i w:val="0"/>
        </w:rPr>
        <w:t xml:space="preserve"> of lesion development varied considerably between individual students on an identical sugar challenge, attributed to inter-individual variation in saliva composition and biofilm formation rate, explicitly rejecting the old idea of intrinsically “stronger” enamel</w:t>
      </w:r>
      <w:r>
        <w:rPr>
          <w:b w:val="0"/>
          <w:i w:val="0"/>
        </w:rPr>
        <w:t xml:space="preserve"> [1, p.43-44]</w:t>
      </w:r>
      <w:r>
        <w:rPr>
          <w:b w:val="0"/>
          <w:i w:val="0"/>
        </w:rPr>
        <w:t>. Archaeological evidence (a 2000-year-old Roman tooth with caries; a stone-drilled tooth from a 5000 BC skull) shows caries has accompanied human diets throughout history; what changed is that modern, soft, industrially processed diets outpace the natural occlusal/approximal attrition that once kept lesion progression in check</w:t>
      </w:r>
      <w:r>
        <w:rPr>
          <w:b w:val="0"/>
          <w:i w:val="0"/>
        </w:rPr>
        <w:t xml:space="preserve"> [1, p.44-45]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WHO guideline: restrict free-sugar intake to 5% of total daily energy — roughly 6 teaspoons (25 g)/day for an average adult, an amount exceeded by a single 330 mL can of regular soft drink (~26 g)</w:t>
      </w:r>
      <w:r>
        <w:rPr>
          <w:b w:val="0"/>
          <w:i w:val="0"/>
        </w:rPr>
        <w:t xml:space="preserve"> [1, p.101]</w:t>
      </w:r>
      <w:r>
        <w:rPr>
          <w:b w:val="0"/>
          <w:i w:val="0"/>
        </w:rPr>
        <w:t>.</w:t>
      </w:r>
    </w:p>
    <w:p>
      <w:pPr>
        <w:pStyle w:val="Heading2"/>
      </w:pPr>
      <w:r>
        <w:t>12. Contemporary Microbiome Perspective: Biofilm Ecology and Dysbiosis (DCNA Supplementary)</w:t>
      </w:r>
    </w:p>
    <w:p>
      <w:pPr>
        <w:spacing w:after="120"/>
      </w:pPr>
      <w:r>
        <w:rPr>
          <w:b w:val="0"/>
          <w:i w:val="0"/>
        </w:rPr>
        <w:t>A 2019 DCNA review extends the ecological framework with modern genomic evidence: the human mouth hosts over 800 bacterial species across multiple niches, roughly one-third never isolated in pure culture</w:t>
      </w:r>
      <w:r>
        <w:rPr>
          <w:b w:val="0"/>
          <w:i w:val="0"/>
        </w:rPr>
        <w:t xml:space="preserve"> [4, p.583]</w:t>
      </w:r>
      <w:r>
        <w:rPr>
          <w:b w:val="0"/>
          <w:i w:val="0"/>
        </w:rPr>
        <w:t xml:space="preserve">. Oral commensals thrive at a resting biofilm pH of ~6.0–7.0; caries arises from </w:t>
      </w:r>
      <w:r>
        <w:rPr>
          <w:b/>
          <w:i w:val="0"/>
        </w:rPr>
        <w:t>dysbiosis</w:t>
      </w:r>
      <w:r>
        <w:rPr>
          <w:b w:val="0"/>
          <w:i w:val="0"/>
        </w:rPr>
        <w:t xml:space="preserve"> of this normally symbiotic community, driven by sugar-frequent, acidic-pH environmental change, favouring an acidogenic/aciduric microflora enriched for </w:t>
      </w:r>
      <w:r>
        <w:rPr>
          <w:b w:val="0"/>
          <w:i/>
        </w:rPr>
        <w:t>S. mutans</w:t>
      </w:r>
      <w:r>
        <w:rPr>
          <w:b w:val="0"/>
          <w:i w:val="0"/>
        </w:rPr>
        <w:t xml:space="preserve">, other acid-tolerant streptococci, and </w:t>
      </w:r>
      <w:r>
        <w:rPr>
          <w:b w:val="0"/>
          <w:i/>
        </w:rPr>
        <w:t>Lactobacillus</w:t>
      </w:r>
      <w:r>
        <w:rPr>
          <w:b w:val="0"/>
          <w:i w:val="0"/>
        </w:rPr>
        <w:t xml:space="preserve"> — directly consistent with the ecological plaque hypothesis in Section 7</w:t>
      </w:r>
      <w:r>
        <w:rPr>
          <w:b w:val="0"/>
          <w:i w:val="0"/>
        </w:rPr>
        <w:t xml:space="preserve"> [4, p.584]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Spatial imaging (CLASI-FISH) + metagenomic sequencing shows defined biofilm micro-architecture: </w:t>
      </w:r>
      <w:r>
        <w:rPr>
          <w:b w:val="0"/>
          <w:i/>
        </w:rPr>
        <w:t>Corynebacterium</w:t>
      </w:r>
      <w:r>
        <w:rPr>
          <w:b w:val="0"/>
          <w:i w:val="0"/>
        </w:rPr>
        <w:t xml:space="preserve"> filaments act as structural anchor points, anaerobic taxa localize toward the interior while aerobes stay near the periphery, and producers/consumers of key metabolites (e.g., lactate) are positioned adjacent to each other</w:t>
      </w:r>
      <w:r>
        <w:rPr>
          <w:b w:val="0"/>
          <w:i w:val="0"/>
        </w:rPr>
        <w:t xml:space="preserve"> [4, p.584]</w:t>
      </w:r>
      <w:r>
        <w:rPr>
          <w:b w:val="0"/>
          <w:i w:val="0"/>
        </w:rPr>
        <w:t xml:space="preserve">. Interspecies interaction is mediated in part through mechanisms such as </w:t>
      </w:r>
      <w:r>
        <w:rPr>
          <w:b/>
          <w:i w:val="0"/>
        </w:rPr>
        <w:t>coaggregation</w:t>
      </w:r>
      <w:r>
        <w:rPr>
          <w:b w:val="0"/>
          <w:i w:val="0"/>
        </w:rPr>
        <w:t xml:space="preserve"> (direct adhesion between different bacterial species/strains), which underlies probiotic strategies aiming to physically displace cariogenic organisms</w:t>
      </w:r>
      <w:r>
        <w:rPr>
          <w:b w:val="0"/>
          <w:i w:val="0"/>
        </w:rPr>
        <w:t xml:space="preserve"> [4, p.587]</w:t>
      </w:r>
      <w:r>
        <w:rPr>
          <w:b w:val="0"/>
          <w:i w:val="0"/>
        </w:rPr>
        <w:t xml:space="preserve">. </w:t>
      </w:r>
      <w:r>
        <w:rPr>
          <w:b w:val="0"/>
          <w:i/>
        </w:rPr>
        <w:t>Note:</w:t>
      </w:r>
      <w:r>
        <w:rPr>
          <w:b w:val="0"/>
          <w:i w:val="0"/>
        </w:rPr>
        <w:t xml:space="preserve"> the specific term “quorum sensing” (chemical signalling molecules coordinating bacterial gene expression at a population level) does not appear in the standardised textbook or DCNA sources used for this document; coaggregation and biofilm micro-architecture, as documented above, are the closest sourced equivalents for interspecies communication in this material.</w:t>
      </w:r>
    </w:p>
    <w:p>
      <w:r>
        <w:br w:type="page"/>
      </w:r>
    </w:p>
    <w:p>
      <w:pPr>
        <w:pStyle w:val="Heading2"/>
      </w:pPr>
      <w:r>
        <w:t>13. Caries Epidemiology and the “Polarization” Phenomenon (Sturdevant's)</w:t>
      </w:r>
    </w:p>
    <w:p>
      <w:r>
        <w:t>Global caries prevalence rose sharply through the modern era, strongly associated with dietary change, but began declining in many developed countries from the late 1970s/early 1980s — a decline attributed mainly to fluoridation of public water supplies (from the 1950s-60s) and fluoride toothpaste, which by 1984 had reached 94% of toothpaste products in the US market.</w:t>
      </w:r>
      <w:r>
        <w:t xml:space="preserve"> [5, p.67]</w:t>
      </w:r>
    </w:p>
    <w:p>
      <w:r>
        <w:t xml:space="preserve">This decline was NOT evenly distributed: it was most prominent among upper/middle socioeconomic classes, while lower-socioeconomic and rural populations retained higher disease prevalence — a phenomenon termed </w:t>
      </w:r>
      <w:r>
        <w:t>“polarization” of caries</w:t>
      </w:r>
      <w:r>
        <w:t xml:space="preserve">, where a shrinking segment of the population bears a growing share of total disease burden. The US NHANES III survey quantified this precisely: </w:t>
      </w:r>
      <w:r>
        <w:t>80% of caries occurred in just 20% of children</w:t>
      </w:r>
      <w:r>
        <w:t>, disproportionately from lower socioeconomic groups or minorities. A parallel global pattern is occurring: caries prevalence is declining in developed countries, increasing in less-developed countries, and reaching epidemic proportions in countries with emerging economies undergoing rapid dietary transition.</w:t>
      </w:r>
      <w:r>
        <w:t xml:space="preserve"> [5, p.67]</w:t>
      </w:r>
    </w:p>
    <w:p>
      <w:r>
        <w:t>This polarization finding directly reinforces why population-level prevention alone is insufficient and why individual caries-risk stratification (already covered in Sub-Module 1.3) matters clinically — a small, identifiable high-risk subgroup, not the general population, is where most disease and most preventable harm is concentrated.</w:t>
      </w:r>
    </w:p>
    <w:p>
      <w:pPr>
        <w:pStyle w:val="Heading1"/>
      </w:pPr>
      <w:r>
        <w:t>Quick-Revision Summary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Topic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Key take-away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Definition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Localized chemical dissolution driven by biofilm metabolism (not a single external agent)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[1, p.6]; [2, p.4]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Biofilm formation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12h attachment → 24h microcolonies → 1 week mature biofilm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[1, p.15-17]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Stephan curve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pH drops with sucrose exposure; differs by site activity 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[1, p.19]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Critical pH concept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Subsurface hydroxyapatite dissolves while surface fluorhydroxyapatite forms → subsurface lesion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[1, p.21-22]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Remineralization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Mostly surface phenomenon; lesion BODY rarely truly remineralizes in vivo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[1, p.29-31]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S. mutans role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a single causative organism — ecological plaque hypothesis is the accepted model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[1, p.35-37]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Contested: [1] finds no evidence for heredity in population disparities; [2] pursues genetic engineering as prevention; AAPD flags genome-level risk as under-measured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[1, p.177]; [2, p.71]; [3, p.327]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Saliva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Buffering + clearance + supersaturation; hyposalivation = major risk state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[1, p.39-41]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Sugars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Frequency &gt; quantity; WHO 5% free-sugar guideline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[1, p.41-45, 101]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Biofilm ecology (2019)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Dysbiosis model; coaggregation underlies newer probiotic strategies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[4, p.583-587]</w:t>
            </w:r>
          </w:p>
        </w:tc>
      </w:tr>
    </w:tbl>
    <w:p/>
    <w:p>
      <w:r>
        <w:br w:type="page"/>
      </w:r>
    </w:p>
    <w:p>
      <w:pPr>
        <w:pStyle w:val="Heading1"/>
      </w:pPr>
      <w:r>
        <w:t>References (Vancouver Style)</w:t>
      </w:r>
    </w:p>
    <w:p>
      <w:pPr>
        <w:spacing w:after="120"/>
      </w:pPr>
      <w:r>
        <w:rPr>
          <w:b w:val="0"/>
          <w:i w:val="0"/>
        </w:rPr>
        <w:t>Page numbers refer to the page of the cited source, as printed in that source, on which the statement appears.</w:t>
      </w:r>
    </w:p>
    <w:p>
      <w:pPr>
        <w:spacing w:after="120"/>
        <w:ind w:left="432" w:hanging="432"/>
      </w:pPr>
      <w:r>
        <w:rPr>
          <w:sz w:val="20"/>
        </w:rPr>
        <w:t xml:space="preserve">1. </w:t>
      </w:r>
      <w:r>
        <w:rPr>
          <w:sz w:val="20"/>
        </w:rPr>
        <w:t>Kidd E, Fejerskov O. Essentials of Dental Caries. 4th ed. Oxford: Oxford University Press; 2016.</w:t>
      </w:r>
    </w:p>
    <w:p>
      <w:pPr>
        <w:spacing w:after="120"/>
        <w:ind w:left="432" w:hanging="432"/>
      </w:pPr>
      <w:r>
        <w:rPr>
          <w:sz w:val="20"/>
        </w:rPr>
        <w:t xml:space="preserve">2. </w:t>
      </w:r>
      <w:r>
        <w:rPr>
          <w:sz w:val="20"/>
        </w:rPr>
        <w:t>Garg N, Garg A. Textbook of Preclinical Conservative Dentistry. New Delhi: Jaypee Brothers Medical Publishers.</w:t>
      </w:r>
    </w:p>
    <w:p>
      <w:pPr>
        <w:spacing w:after="120"/>
        <w:ind w:left="432" w:hanging="432"/>
      </w:pPr>
      <w:r>
        <w:rPr>
          <w:sz w:val="20"/>
        </w:rPr>
        <w:t xml:space="preserve">3. </w:t>
      </w:r>
      <w:r>
        <w:rPr>
          <w:sz w:val="20"/>
        </w:rPr>
        <w:t>American Academy of Pediatric Dentistry. Caries-risk assessment and management for infants, children, and adolescents. The Reference Manual of Pediatric Dentistry. Chicago, IL: American Academy of Pediatric Dentistry; 2025:325–331.</w:t>
      </w:r>
    </w:p>
    <w:p>
      <w:pPr>
        <w:spacing w:after="120"/>
        <w:ind w:left="432" w:hanging="432"/>
      </w:pPr>
      <w:r>
        <w:rPr>
          <w:sz w:val="20"/>
        </w:rPr>
        <w:t xml:space="preserve">4. </w:t>
      </w:r>
      <w:r>
        <w:rPr>
          <w:sz w:val="20"/>
        </w:rPr>
        <w:t>Nascimento MM. Approaches to modulate biofilm ecology. Dent Clin North Am. 2019;63(4):581–594.</w:t>
      </w:r>
    </w:p>
    <w:p>
      <w:pPr>
        <w:spacing w:after="120"/>
        <w:ind w:left="432" w:hanging="432"/>
      </w:pPr>
      <w:r>
        <w:rPr>
          <w:sz w:val="20"/>
        </w:rPr>
        <w:t xml:space="preserve">5. </w:t>
      </w:r>
      <w:r>
        <w:rPr>
          <w:sz w:val="20"/>
        </w:rPr>
        <w:t>Roberson TM, Heymann HO, Swift EJ Jr, editors. Sturdevant's Art and Science of Operative Dentistry. 5th ed. St. Louis: Mosby (Elsevier); 2006. Chapter 3, “Cariology: The Lesion, Etiology, Prevention, and Control,” p.67.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