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1.2: CARIES DIAGNOSIS AND DETECTION</w:t>
      </w:r>
    </w:p>
    <w:p/>
    <w:p>
      <w:pPr>
        <w:jc w:val="center"/>
      </w:pPr>
      <w:r>
        <w:rPr>
          <w:i/>
          <w:sz w:val="26"/>
        </w:rPr>
        <w:t>Comprehensive Study Material — Standalone Sub-Module Document</w:t>
      </w:r>
    </w:p>
    <w:p>
      <w:pPr>
        <w:jc w:val="center"/>
      </w:pPr>
      <w:r>
        <w:rPr>
          <w:i/>
          <w:sz w:val="24"/>
        </w:rPr>
        <w:t>Source hierarchy: Standardised textbooks → Authoritative-body definitions (ADA) → Supplementary journal data (DCNA)</w:t>
      </w:r>
    </w:p>
    <w:p/>
    <w:p>
      <w:pPr>
        <w:jc w:val="center"/>
      </w:pPr>
      <w:r>
        <w:rPr>
          <w:sz w:val="22"/>
        </w:rPr>
        <w:t>Citation style: Vancouver (numbered, in-text, with page references)</w:t>
      </w:r>
    </w:p>
    <w:p>
      <w:r>
        <w:br w:type="page"/>
      </w:r>
    </w:p>
    <w:p>
      <w:pPr>
        <w:pStyle w:val="Heading1"/>
      </w:pPr>
      <w:r>
        <w:t>A Note on Sources and Referencing</w:t>
      </w:r>
    </w:p>
    <w:p>
      <w:pPr>
        <w:spacing w:after="160"/>
        <w:jc w:val="both"/>
      </w:pPr>
      <w:r>
        <w:rPr>
          <w:b w:val="0"/>
          <w:i w:val="0"/>
        </w:rPr>
        <w:t xml:space="preserve">This document follows the standing source-priority rule for this module: (1) standardised textbook coverage forms the core explanation of every topic; (2) formal definitions/classification systems are given from the relevant authoritative body — for this sub-module, the </w:t>
      </w:r>
      <w:r>
        <w:rPr>
          <w:b/>
          <w:i w:val="0"/>
        </w:rPr>
        <w:t>American Dental Association (ADA)</w:t>
      </w:r>
      <w:r>
        <w:rPr>
          <w:b w:val="0"/>
          <w:i w:val="0"/>
        </w:rPr>
        <w:t>, via its official Caries Classification System — clearly marked as such; (3) DCNA (Dental Clinics of North America) journal content is used only to add supplementary, contemporary evidence on top of the above, and is likewise clearly marked.</w:t>
      </w:r>
    </w:p>
    <w:p>
      <w:pPr>
        <w:spacing w:after="160"/>
        <w:jc w:val="both"/>
      </w:pPr>
      <w:r>
        <w:rPr>
          <w:b/>
          <w:i w:val="0"/>
        </w:rPr>
        <w:t>Sources used in this document:</w:t>
      </w:r>
      <w:r>
        <w:t xml:space="preserve"> [8] Ricketts D, ed. Advanced Operative Dentistry: A Practical Approach — used for the quantified refractive-index explanation of wet/dry caries examination and detection-device limitations near existing restorations.</w:t>
      </w:r>
    </w:p>
    <w:p>
      <w:pPr>
        <w:pStyle w:val="ListBullet"/>
      </w:pPr>
      <w:r>
        <w:rPr>
          <w:b w:val="0"/>
          <w:i w:val="0"/>
        </w:rPr>
        <w:t xml:space="preserve">Kidd E, Fejerskov O. Essentials of Dental Caries. 4th ed. Oxford: Oxford University Press; 2016. </w:t>
      </w:r>
      <w:r>
        <w:rPr>
          <w:b w:val="0"/>
          <w:i/>
        </w:rPr>
        <w:t>(standardised textbook — core explanation, Sections 1.2.1–1.2.4 and 1.2.6–1.2.10)</w:t>
      </w:r>
    </w:p>
    <w:p>
      <w:pPr>
        <w:pStyle w:val="ListBullet"/>
      </w:pPr>
      <w:r>
        <w:rPr>
          <w:b w:val="0"/>
          <w:i w:val="0"/>
        </w:rPr>
        <w:t xml:space="preserve">Zandona AF, Longbottom C, editors. Detection and Assessment of Dental Caries: A Clinical Guide. Cham: Springer Nature Switzerland AG; 2019. </w:t>
      </w:r>
      <w:r>
        <w:rPr>
          <w:b w:val="0"/>
          <w:i/>
        </w:rPr>
        <w:t>(standardised clinical textbook — core explanation for ICDAS depth-criteria detail and instrument-based detection, Sections 1.2.4 and 1.2.8; also the publication venue of the ADA CCS chapter used for Section 1.2.5)</w:t>
      </w:r>
    </w:p>
    <w:p>
      <w:pPr>
        <w:pStyle w:val="ListBullet"/>
      </w:pPr>
      <w:r>
        <w:rPr>
          <w:b w:val="0"/>
          <w:i w:val="0"/>
        </w:rPr>
        <w:t xml:space="preserve">Zeller G, Young DA, Novy B. The American Dental Association Caries Classification System (ADA CCS). </w:t>
      </w:r>
      <w:r>
        <w:rPr>
          <w:b w:val="0"/>
          <w:i/>
        </w:rPr>
        <w:t>(authoritative-body definition/classification — Section 1.2.5, reproduced with permission from JADA within the Springer volume above)</w:t>
      </w:r>
    </w:p>
    <w:p>
      <w:pPr>
        <w:pStyle w:val="ListBullet"/>
      </w:pPr>
      <w:r>
        <w:rPr>
          <w:b w:val="0"/>
          <w:i w:val="0"/>
        </w:rPr>
        <w:t xml:space="preserve">Guzmán-Armstrong S, Johnsen DC. Caries management decision-making: diagnosis and synthesis. Dent Clin North Am. 2019;63(4):679–693. </w:t>
      </w:r>
      <w:r>
        <w:rPr>
          <w:b w:val="0"/>
          <w:i/>
        </w:rPr>
        <w:t>(DCNA journal — supplementary evidence, Section 1.2.11)</w:t>
      </w:r>
    </w:p>
    <w:p>
      <w:pPr>
        <w:spacing w:after="160"/>
        <w:jc w:val="both"/>
      </w:pPr>
      <w:r>
        <w:rPr>
          <w:b w:val="0"/>
          <w:i w:val="0"/>
        </w:rPr>
        <w:t xml:space="preserve">Every factual claim carries an in-text Vancouver citation </w:t>
      </w:r>
      <w:r>
        <w:rPr>
          <w:b w:val="0"/>
          <w:i/>
        </w:rPr>
        <w:t>[n, p.X]</w:t>
      </w:r>
      <w:r>
        <w:rPr>
          <w:b w:val="0"/>
          <w:i w:val="0"/>
        </w:rPr>
        <w:t xml:space="preserve">, where </w:t>
      </w:r>
      <w:r>
        <w:rPr>
          <w:b w:val="0"/>
          <w:i/>
        </w:rPr>
        <w:t>n</w:t>
      </w:r>
      <w:r>
        <w:rPr>
          <w:b w:val="0"/>
          <w:i w:val="0"/>
        </w:rPr>
        <w:t xml:space="preserve"> indexes the numbered reference list at the end and </w:t>
      </w:r>
      <w:r>
        <w:rPr>
          <w:b w:val="0"/>
          <w:i/>
        </w:rPr>
        <w:t>p.X</w:t>
      </w:r>
      <w:r>
        <w:rPr>
          <w:b w:val="0"/>
          <w:i w:val="0"/>
        </w:rPr>
        <w:t xml:space="preserve"> is the exact page of that source. Where the source itself flags a point as debated or context-dependent, this is stated explicitly rather than smoothed into settled fact.</w:t>
      </w:r>
    </w:p>
    <w:p>
      <w:r>
        <w:rPr>
          <w:b/>
        </w:rPr>
        <w:t xml:space="preserve">Third revision note: </w:t>
      </w:r>
      <w:r>
        <w:t>the user asked whether Advanced Operative Dentistry (Ricketts) — already on the standing Module 1 secondary source list — was checked for this and other already-delivered sub-modules; it had not been. Its Chapter 1 ("Management of Dental Caries") has genuinely new content not present in the existing sources: a quantified refractive-index explanation for why drying reveals a white spot lesion, and specific limitations of fluorescence/electrical-conductance detection devices when used near existing restorations. Both are added below.</w:t>
      </w:r>
    </w:p>
    <w:p>
      <w:r>
        <w:rPr>
          <w:b/>
        </w:rPr>
        <w:t xml:space="preserve">Second revision note: </w:t>
      </w:r>
      <w:r>
        <w:t>audited against the core operative textbooks. Sturdevant's (source [7]) adds real quantified radiographic sensitivity/specificity data (bitewing 40-65% sensitivity but 98-99% specificity; panoramic 18% alone/41% combined with bitewing; full-mouth series 70%) and a specific radiographic over-diagnosis pitfall (superficial enamel lesions wrapping proximally can appear to penetrate deep via overlapped imaging).</w:t>
      </w:r>
    </w:p>
    <w:p>
      <w:r>
        <w:rPr>
          <w:b/>
        </w:rPr>
        <w:t xml:space="preserve">Revision note: </w:t>
      </w:r>
      <w:r>
        <w:t>periapical radiographs, CBCT, digital-vs-conventional radiography, and Micro-CT content (new subsections under 1.2.7-1.2.8) were added after initial delivery, when cross-checking this sub-module against the Module 1 master outline surfaced that the original version covered bitewings and laser-fluorescence/QLF methods thoroughly but omitted the outline's Radiographic Methods (1.2.2) and Micro-CT &amp; Advanced Imaging (1.2.4) topics. All new content is drawn from Detection and Assessment of Dental Caries (already source [2]), Chapters 12-14.</w:t>
      </w:r>
    </w:p>
    <w:p>
      <w:r>
        <w:br w:type="page"/>
      </w:r>
    </w:p>
    <w:p>
      <w:pPr>
        <w:pStyle w:val="Heading1"/>
      </w:pPr>
      <w:r>
        <w:t>Sub-Module 1.2: Caries Diagnosis and Detection</w:t>
      </w:r>
    </w:p>
    <w:p>
      <w:pPr>
        <w:spacing w:after="160"/>
        <w:jc w:val="both"/>
      </w:pPr>
      <w:r>
        <w:rPr>
          <w:b/>
          <w:i w:val="0"/>
        </w:rPr>
        <w:t>Tier 1 — Standardised Textbook Coverage</w:t>
      </w:r>
    </w:p>
    <w:p>
      <w:pPr>
        <w:pStyle w:val="Heading2"/>
      </w:pPr>
      <w:r>
        <w:t>1.2.1 Detection Versus Diagnosis: A Conceptual Distinction</w:t>
      </w:r>
    </w:p>
    <w:p>
      <w:pPr>
        <w:spacing w:after="160"/>
        <w:jc w:val="both"/>
      </w:pPr>
      <w:r>
        <w:rPr>
          <w:b w:val="0"/>
          <w:i w:val="0"/>
        </w:rPr>
        <w:t xml:space="preserve">The source draws a precise distinction between three related clinical judgements: </w:t>
      </w:r>
      <w:r>
        <w:rPr>
          <w:b/>
          <w:i w:val="0"/>
        </w:rPr>
        <w:t>detection</w:t>
      </w:r>
      <w:r>
        <w:rPr>
          <w:b w:val="0"/>
          <w:i w:val="0"/>
        </w:rPr>
        <w:t xml:space="preserve"> (is a lesion present at all?), </w:t>
      </w:r>
      <w:r>
        <w:rPr>
          <w:b/>
          <w:i w:val="0"/>
        </w:rPr>
        <w:t>diagnosis</w:t>
      </w:r>
      <w:r>
        <w:rPr>
          <w:b w:val="0"/>
          <w:i w:val="0"/>
        </w:rPr>
        <w:t xml:space="preserve"> (is the lesion active — will it progress if nothing changes — or arrested?), and assessment of </w:t>
      </w:r>
      <w:r>
        <w:rPr>
          <w:b/>
          <w:i w:val="0"/>
        </w:rPr>
        <w:t>cavitation</w:t>
      </w:r>
      <w:r>
        <w:rPr>
          <w:b w:val="0"/>
          <w:i w:val="0"/>
        </w:rPr>
        <w:t xml:space="preserve"> (is the surface intact, and if not, can the patient clean the resulting defect?)</w:t>
      </w:r>
      <w:r>
        <w:rPr>
          <w:b w:val="0"/>
          <w:i w:val="0"/>
        </w:rPr>
        <w:t xml:space="preserve"> [1, p.48]</w:t>
      </w:r>
      <w:r>
        <w:rPr>
          <w:b w:val="0"/>
          <w:i w:val="0"/>
        </w:rPr>
        <w:t>. Diagnosis is described as “a mental resting place on the way to a treatment decision” — it detects and excludes disease, assesses prognosis in the context of the whole mouth, forms the basis of the treatment decision, and provides the baseline against which the clinical course is monitored at subsequent recalls</w:t>
      </w:r>
      <w:r>
        <w:rPr>
          <w:b w:val="0"/>
          <w:i w:val="0"/>
        </w:rPr>
        <w:t xml:space="preserve"> [1, p.49]</w:t>
      </w:r>
      <w:r>
        <w:rPr>
          <w:b w:val="0"/>
          <w:i w:val="0"/>
        </w:rPr>
        <w:t>.</w:t>
      </w:r>
    </w:p>
    <w:p>
      <w:pPr>
        <w:spacing w:after="160"/>
        <w:jc w:val="both"/>
      </w:pPr>
      <w:r>
        <w:rPr>
          <w:b w:val="0"/>
          <w:i w:val="0"/>
        </w:rPr>
        <w:t>The source is candid about the inherent uncertainty of this process: because the biofilm generating the lesion must itself be removed before the lesion can be seen clearly, and because lesion progression is a continuum rather than a set of discrete states, every activity judgement is described as a “best guess” made under uncertainty, mitigated in practice by the fact that patients are reviewed and the judgement revisited at recall</w:t>
      </w:r>
      <w:r>
        <w:rPr>
          <w:b w:val="0"/>
          <w:i w:val="0"/>
        </w:rPr>
        <w:t xml:space="preserve"> [1, p.49]</w:t>
      </w:r>
      <w:r>
        <w:rPr>
          <w:b w:val="0"/>
          <w:i w:val="0"/>
        </w:rPr>
        <w:t xml:space="preserve">. Diagnostic tests are also required to be both </w:t>
      </w:r>
      <w:r>
        <w:rPr>
          <w:b w:val="0"/>
          <w:i/>
        </w:rPr>
        <w:t>valid</w:t>
      </w:r>
      <w:r>
        <w:rPr>
          <w:b w:val="0"/>
          <w:i w:val="0"/>
        </w:rPr>
        <w:t xml:space="preserve"> (measuring what they claim to measure) and </w:t>
      </w:r>
      <w:r>
        <w:rPr>
          <w:b w:val="0"/>
          <w:i/>
        </w:rPr>
        <w:t>reliable</w:t>
      </w:r>
      <w:r>
        <w:rPr>
          <w:b w:val="0"/>
          <w:i w:val="0"/>
        </w:rPr>
        <w:t xml:space="preserve"> / reproducible, both within the same examiner over time (intra-examiner) and between different examiners (inter-examiner)</w:t>
      </w:r>
      <w:r>
        <w:rPr>
          <w:b w:val="0"/>
          <w:i w:val="0"/>
        </w:rPr>
        <w:t xml:space="preserve"> [1, p.49]</w:t>
      </w:r>
      <w:r>
        <w:rPr>
          <w:b w:val="0"/>
          <w:i w:val="0"/>
        </w:rPr>
        <w:t>.</w:t>
      </w:r>
    </w:p>
    <w:p>
      <w:pPr>
        <w:pStyle w:val="Heading2"/>
      </w:pPr>
      <w:r>
        <w:t>1.2.2 Prerequisites for Clinical Examination</w:t>
      </w:r>
    </w:p>
    <w:p>
      <w:pPr>
        <w:spacing w:after="160"/>
        <w:jc w:val="both"/>
      </w:pPr>
      <w:r>
        <w:rPr>
          <w:b w:val="0"/>
          <w:i w:val="0"/>
        </w:rPr>
        <w:t>Accurate detection requires good lighting and clean, dry teeth; plaque must be removed from each surface before diagnosis is attempted, although polishing the entire dentition beforehand is discouraged because a matt surface beneath a substantial biofilm itself contributes evidence toward classifying a lesion as active</w:t>
      </w:r>
      <w:r>
        <w:rPr>
          <w:b w:val="0"/>
          <w:i w:val="0"/>
        </w:rPr>
        <w:t xml:space="preserve"> [1, p.49-50]</w:t>
      </w:r>
      <w:r>
        <w:rPr>
          <w:b w:val="0"/>
          <w:i w:val="0"/>
        </w:rPr>
        <w:t>. Each quadrant is isolated with cotton wool rolls and dried thoroughly with a three-in-one air syringe, since white-spot lesions become substantially more obvious once the tooth is dried</w:t>
      </w:r>
      <w:r>
        <w:rPr>
          <w:b w:val="0"/>
          <w:i w:val="0"/>
        </w:rPr>
        <w:t xml:space="preserve"> [1, p.51]</w:t>
      </w:r>
      <w:r>
        <w:rPr>
          <w:b w:val="0"/>
          <w:i w:val="0"/>
        </w:rPr>
        <w:t>. A mirror is used both to retract soft tissue and to reflect light in a way that can reveal dark shadows suggestive of underlying dentine involvement, and every surface of every tooth should be examined in the same fixed sequence to avoid missing surfaces</w:t>
      </w:r>
      <w:r>
        <w:rPr>
          <w:b w:val="0"/>
          <w:i w:val="0"/>
        </w:rPr>
        <w:t xml:space="preserve"> [1, p.51]</w:t>
      </w:r>
      <w:r>
        <w:rPr>
          <w:b w:val="0"/>
          <w:i w:val="0"/>
        </w:rPr>
        <w:t>.</w:t>
      </w:r>
    </w:p>
    <w:p>
      <w:pPr>
        <w:spacing w:after="160"/>
        <w:jc w:val="both"/>
      </w:pPr>
      <w:r>
        <w:rPr>
          <w:b w:val="0"/>
          <w:i w:val="0"/>
        </w:rPr>
        <w:t>The source is emphatic that a sharp probe must never be used with force to “stick” into a suspected lesion, because this can convert an intact, potentially arrestable white-spot lesion into an actual cavity that subsequently traps plaque</w:t>
      </w:r>
      <w:r>
        <w:rPr>
          <w:b w:val="0"/>
          <w:i w:val="0"/>
        </w:rPr>
        <w:t xml:space="preserve"> [1, p.51-52]</w:t>
      </w:r>
      <w:r>
        <w:rPr>
          <w:b w:val="0"/>
          <w:i w:val="0"/>
        </w:rPr>
        <w:t xml:space="preserve">. Used correctly, the probe is drawn </w:t>
      </w:r>
      <w:r>
        <w:rPr>
          <w:b w:val="0"/>
          <w:i/>
        </w:rPr>
        <w:t>gently</w:t>
      </w:r>
      <w:r>
        <w:rPr>
          <w:b w:val="0"/>
          <w:i w:val="0"/>
        </w:rPr>
        <w:t xml:space="preserve"> across a lesion only to detect the subtle surface roughness characteristic of an active lesion — described as “a delicate instrument, not a bayonet” — which is why these methods are termed </w:t>
      </w:r>
      <w:r>
        <w:rPr>
          <w:b w:val="0"/>
          <w:i/>
        </w:rPr>
        <w:t>visual-tactile</w:t>
      </w:r>
      <w:r>
        <w:rPr>
          <w:b w:val="0"/>
          <w:i w:val="0"/>
        </w:rPr>
        <w:t xml:space="preserve"> criteria</w:t>
      </w:r>
      <w:r>
        <w:rPr>
          <w:b w:val="0"/>
          <w:i w:val="0"/>
        </w:rPr>
        <w:t xml:space="preserve"> [1, p.52]</w:t>
      </w:r>
      <w:r>
        <w:rPr>
          <w:b w:val="0"/>
          <w:i w:val="0"/>
        </w:rPr>
        <w:t>. The source also argues that pursuing ever-earlier laboratory detection of mineral loss is of research interest only, since “sound” versus “carious” is an arbitrary cut-point on a continuous physico-chemical scale, and clinical categories should instead be chosen for their direct link to management options and long-term patient health outcomes</w:t>
      </w:r>
      <w:r>
        <w:rPr>
          <w:b w:val="0"/>
          <w:i w:val="0"/>
        </w:rPr>
        <w:t xml:space="preserve"> [1, p.52]</w:t>
      </w:r>
      <w:r>
        <w:rPr>
          <w:b w:val="0"/>
          <w:i w:val="0"/>
        </w:rPr>
        <w:t>.</w:t>
      </w:r>
    </w:p>
    <w:p>
      <w:pPr>
        <w:pStyle w:val="Heading3"/>
      </w:pPr>
      <w:r>
        <w:t>Why Drying Reveals a Lesion — The Refractive-Index Explanation (Advanced Operative Dentistry)</w:t>
      </w:r>
    </w:p>
    <w:p>
      <w:r>
        <w:t>The instruction to examine teeth both wet and dry is often taught as a rule of thumb without the underlying physics. Advanced Operative Dentistry gives the actual mechanism: when light strikes sound enamel it is transmitted, refracted, or reflected, and the degree of light scattering depends on the difference in refractive index between enamel and whatever fills the porosities created by the carious process. [8, p.3]</w:t>
      </w:r>
    </w:p>
    <w:p>
      <w:r>
        <w:t>Enamel's refractive index is 1.66. Water — which normally fills the porosities of an early lesion in the wet mouth — has a refractive index of 1.33, a difference of only 0.33 from enamel, so relatively little light scattering occurs and the lesion can be easy to miss. When the lesion is dried, air (refractive index 1.00) replaces the water in the porosities; the difference from enamel widens to 0.66 — roughly double — producing much greater light scattering and making the white spot lesion far easier to see. [8, p.3]</w:t>
      </w:r>
    </w:p>
    <w:p>
      <w:r>
        <w:t>This gives a genuinely useful clinical corollary: a lesion visible even on a wet surface is, by this logic, more advanced than one that only becomes visible after drying — since it takes less of a refractive-index shift to reveal it. [8, p.3]</w:t>
      </w:r>
    </w:p>
    <w:p>
      <w:pPr>
        <w:pStyle w:val="Heading2"/>
      </w:pPr>
      <w:r>
        <w:t>1.2.3 Visual-Tactile Activity Assessment: The Nyvad Criteria</w:t>
      </w:r>
    </w:p>
    <w:p>
      <w:pPr>
        <w:spacing w:after="160"/>
        <w:jc w:val="both"/>
      </w:pPr>
      <w:r>
        <w:rPr>
          <w:b w:val="0"/>
          <w:i w:val="0"/>
        </w:rPr>
        <w:t>The Nyvad criteria (after the researcher B. Nyvad) form a visual-tactile system designed specifically to let clinicians monitor lesions over time by their surface texture (activity) and their surface integrity (cavitation). Every lesion, including restorations, is assigned to one of nine categories: active non-cavitated; active non-cavitated with microcavity; active cavitated; inactive non-cavitated; inactive non-cavitated with microcavity; inactive cavitated; filling; filling with active caries; and filling with inactive caries</w:t>
      </w:r>
      <w:r>
        <w:rPr>
          <w:b w:val="0"/>
          <w:i w:val="0"/>
        </w:rPr>
        <w:t xml:space="preserve"> [1, p.53]</w:t>
      </w:r>
      <w:r>
        <w:rPr>
          <w:b w:val="0"/>
          <w:i w:val="0"/>
        </w:rPr>
        <w:t>.</w:t>
      </w:r>
    </w:p>
    <w:p>
      <w:pPr>
        <w:spacing w:after="160"/>
        <w:jc w:val="both"/>
      </w:pPr>
      <w:r>
        <w:rPr>
          <w:b w:val="0"/>
          <w:i w:val="0"/>
        </w:rPr>
        <w:t>Active, non-cavitated lesions are typically plaque-covered, situated close to an inflamed gingival margin, and have a matt appearance with a subjectively rough surface on gentle probing</w:t>
      </w:r>
      <w:r>
        <w:rPr>
          <w:b w:val="0"/>
          <w:i w:val="0"/>
        </w:rPr>
        <w:t xml:space="preserve"> [1, p.53]</w:t>
      </w:r>
      <w:r>
        <w:rPr>
          <w:b w:val="0"/>
          <w:i w:val="0"/>
        </w:rPr>
        <w:t>. Arrested lesions, by contrast, are often free of the (now non-inflamed, retracted) gingival margin, have a plaque-free, shiny, lustrous surface, and may appear brown where porosities have taken up extrinsic dietary stain over time</w:t>
      </w:r>
      <w:r>
        <w:rPr>
          <w:b w:val="0"/>
          <w:i w:val="0"/>
        </w:rPr>
        <w:t xml:space="preserve"> [1, p.53]</w:t>
      </w:r>
      <w:r>
        <w:rPr>
          <w:b w:val="0"/>
          <w:i w:val="0"/>
        </w:rPr>
        <w:t>. The same activity/cavitation logic applies to root-surface caries and to recurrent caries at restoration margins</w:t>
      </w:r>
      <w:r>
        <w:rPr>
          <w:b w:val="0"/>
          <w:i w:val="0"/>
        </w:rPr>
        <w:t xml:space="preserve"> [1, p.59-61]</w:t>
      </w:r>
      <w:r>
        <w:rPr>
          <w:b w:val="0"/>
          <w:i w:val="0"/>
        </w:rPr>
        <w:t>.</w:t>
      </w:r>
    </w:p>
    <w:p>
      <w:pPr>
        <w:pStyle w:val="Heading2"/>
      </w:pPr>
      <w:r>
        <w:t>1.2.4 Lesion-Depth Assessment: The ICDAS Criteria</w:t>
      </w:r>
    </w:p>
    <w:p>
      <w:pPr>
        <w:spacing w:after="160"/>
        <w:jc w:val="both"/>
      </w:pPr>
      <w:r>
        <w:rPr>
          <w:b w:val="0"/>
          <w:i w:val="0"/>
        </w:rPr>
        <w:t>The International Caries Detection and Assessment System (ICDAS) is a complementary, visually ranked scoring system that stages lesions by histological depth of penetration rather than activity, using seven codes (0 = sound after 5-second air drying; 1 = opacity/discolouration visible only after drying; 2 = opacity/discolouration visible without drying; 3 = localized enamel breakdown; 4 = underlying dark shadow from dentine; 5 = cavitation in opaque/discoloured enamel exposing dentine; 6 = extensive, distinct cavity with visible dentine), which clinicians may collapse into sound / initial (codes 1–2) / moderate (codes 3–4) / extensive (codes 5–6) categories</w:t>
      </w:r>
      <w:r>
        <w:rPr>
          <w:b w:val="0"/>
          <w:i w:val="0"/>
        </w:rPr>
        <w:t xml:space="preserve"> [1, p.57]</w:t>
      </w:r>
      <w:r>
        <w:rPr>
          <w:b w:val="0"/>
          <w:i w:val="0"/>
        </w:rPr>
        <w:t>. Each surface is additionally coded for restoration status (0 = unrestored/unsealed through 8 = temporary restoration)</w:t>
      </w:r>
      <w:r>
        <w:rPr>
          <w:b w:val="0"/>
          <w:i w:val="0"/>
        </w:rPr>
        <w:t xml:space="preserve"> [1, p.58-59]</w:t>
      </w:r>
      <w:r>
        <w:rPr>
          <w:b w:val="0"/>
          <w:i w:val="0"/>
        </w:rPr>
        <w:t>.</w:t>
      </w:r>
    </w:p>
    <w:p>
      <w:pPr>
        <w:spacing w:after="160"/>
        <w:jc w:val="both"/>
      </w:pPr>
      <w:r>
        <w:rPr>
          <w:b w:val="0"/>
          <w:i w:val="0"/>
        </w:rPr>
        <w:t>The system's own developers describe an evidence-based extension in which specific visual/tactile “scripts” (cavitation present, enamel rough, dentine soft, whitish appearance, location in a plaque-stagnation area) are individually weighted by their demonstrated predictive power for lesion activity, established against a pH-sensitive impression-material reference standard</w:t>
      </w:r>
      <w:r>
        <w:rPr>
          <w:b w:val="0"/>
          <w:i w:val="0"/>
        </w:rPr>
        <w:t xml:space="preserve"> [4, p.48-49]</w:t>
      </w:r>
      <w:r>
        <w:rPr>
          <w:b w:val="0"/>
          <w:i w:val="0"/>
        </w:rPr>
        <w:t>. Merging the ICDAS depth code with an activity judgement yields a direct management pathway — for example, an active occlusal lesion of code 4 requires operative intervention, an inactive lesion of code 2 requires no intervention, and an active lesion of code 2 requires non-operative management only</w:t>
      </w:r>
      <w:r>
        <w:rPr>
          <w:b w:val="0"/>
          <w:i w:val="0"/>
        </w:rPr>
        <w:t xml:space="preserve"> [4, p.49-50]</w:t>
      </w:r>
      <w:r>
        <w:rPr>
          <w:b w:val="0"/>
          <w:i w:val="0"/>
        </w:rPr>
        <w:t>. Scoring requires the same rigorous preparation as the Nyvad system — clean, dry teeth, a fixed examination sequence, and deliberately gentle probing</w:t>
      </w:r>
      <w:r>
        <w:rPr>
          <w:b w:val="0"/>
          <w:i w:val="0"/>
        </w:rPr>
        <w:t xml:space="preserve"> [4, p.51]</w:t>
      </w:r>
      <w:r>
        <w:rPr>
          <w:b w:val="0"/>
          <w:i w:val="0"/>
        </w:rPr>
        <w:t>.</w:t>
      </w:r>
    </w:p>
    <w:p>
      <w:pPr>
        <w:spacing w:after="160"/>
        <w:jc w:val="both"/>
      </w:pPr>
      <w:r>
        <w:rPr>
          <w:b w:val="0"/>
          <w:i w:val="0"/>
        </w:rPr>
        <w:t xml:space="preserve">The two systems are complementary: Nyvad activity assessment answers “will this lesion progress if untreated?” while ICDAS depth-staging answers “how far has it already progressed?” </w:t>
      </w:r>
      <w:r>
        <w:rPr>
          <w:b w:val="0"/>
          <w:i/>
        </w:rPr>
        <w:t>Essentials of Dental Caries</w:t>
      </w:r>
      <w:r>
        <w:rPr>
          <w:b w:val="0"/>
          <w:i w:val="0"/>
        </w:rPr>
        <w:t xml:space="preserve"> states its own authors' preference explicitly — they favour Nyvad for routine charting because it links directly to the treatment decision tree, while acknowledging ICDAS's greater use in research</w:t>
      </w:r>
      <w:r>
        <w:rPr>
          <w:b w:val="0"/>
          <w:i w:val="0"/>
        </w:rPr>
        <w:t xml:space="preserve"> [1, p.72]</w:t>
      </w:r>
      <w:r>
        <w:rPr>
          <w:b w:val="0"/>
          <w:i w:val="0"/>
        </w:rPr>
        <w:t>.</w:t>
      </w:r>
    </w:p>
    <w:p>
      <w:r>
        <w:br w:type="page"/>
      </w:r>
    </w:p>
    <w:p>
      <w:pPr>
        <w:spacing w:after="160"/>
        <w:jc w:val="both"/>
      </w:pPr>
      <w:r>
        <w:rPr>
          <w:b/>
          <w:i w:val="0"/>
        </w:rPr>
        <w:t>Tier 2 — Authoritative-Body Definition and Classification System</w:t>
      </w:r>
    </w:p>
    <w:p>
      <w:pPr>
        <w:pStyle w:val="Heading2"/>
      </w:pPr>
      <w:r>
        <w:t>1.2.5 The ADA Caries Classification System (ADA CCS)</w:t>
      </w:r>
    </w:p>
    <w:p>
      <w:pPr>
        <w:spacing w:after="160"/>
        <w:jc w:val="both"/>
      </w:pPr>
      <w:r>
        <w:rPr>
          <w:b w:val="0"/>
          <w:i w:val="0"/>
        </w:rPr>
        <w:t xml:space="preserve">The </w:t>
      </w:r>
      <w:r>
        <w:rPr>
          <w:b/>
          <w:i w:val="0"/>
        </w:rPr>
        <w:t>American Dental Association (ADA)</w:t>
      </w:r>
      <w:r>
        <w:rPr>
          <w:b w:val="0"/>
          <w:i w:val="0"/>
        </w:rPr>
        <w:t>, under its Council on Scientific Affairs (CSA), developed the ADA Caries Classification System (CCS) for clinical practice through a consensus process begun in 2008 and finalized in 2015. The ADA CCS lets a clinician categorize every stage of a caries lesion by the surface(s) involved, the site of origin (when identifiable), its extent, and — where possible — its activity level, in a standardized manner over time, and is explicitly designed to facilitate risk assessment and treatment decision-making</w:t>
      </w:r>
      <w:r>
        <w:rPr>
          <w:b w:val="0"/>
          <w:i w:val="0"/>
        </w:rPr>
        <w:t xml:space="preserve"> [3, p.57]</w:t>
      </w:r>
      <w:r>
        <w:rPr>
          <w:b w:val="0"/>
          <w:i w:val="0"/>
        </w:rPr>
        <w:t>.</w:t>
      </w:r>
    </w:p>
    <w:p>
      <w:pPr>
        <w:spacing w:after="160"/>
        <w:jc w:val="both"/>
      </w:pPr>
      <w:r>
        <w:rPr>
          <w:b w:val="0"/>
          <w:i w:val="0"/>
        </w:rPr>
        <w:t>The ADA CCS is deliberately positioned alongside, and cross-mapped to, the ICDAS/ICCMS system described in Section 1.2.4: ICDAS was developed primarily for epidemiological research and offers finer granularity, whereas the ADA CCS is built for everyday private-practice use, is “easy to learn, easily translates to other languages,” and can be applied with the simpler terminology of Sound / Initial / Moderate / Advanced while still mapping onto the more granular ICDAS/ICCMS codes when needed</w:t>
      </w:r>
      <w:r>
        <w:rPr>
          <w:b w:val="0"/>
          <w:i w:val="0"/>
        </w:rPr>
        <w:t xml:space="preserve"> [3, p.57-58]</w:t>
      </w:r>
      <w:r>
        <w:rPr>
          <w:b w:val="0"/>
          <w:i w:val="0"/>
        </w:rPr>
        <w:t>.</w:t>
      </w:r>
    </w:p>
    <w:p>
      <w:pPr>
        <w:pStyle w:val="Heading3"/>
      </w:pPr>
      <w:r>
        <w:t>Terminology: “Caries Disease” vs. “Caries Lesion”</w:t>
      </w:r>
    </w:p>
    <w:p>
      <w:pPr>
        <w:spacing w:after="160"/>
        <w:jc w:val="both"/>
      </w:pPr>
      <w:r>
        <w:rPr>
          <w:b w:val="0"/>
          <w:i w:val="0"/>
        </w:rPr>
        <w:t xml:space="preserve">The ADA CCS authors stress that the bare word “caries” is ambiguous and should always carry a qualifier: </w:t>
      </w:r>
      <w:r>
        <w:rPr>
          <w:b/>
          <w:i w:val="0"/>
        </w:rPr>
        <w:t>caries disease</w:t>
      </w:r>
      <w:r>
        <w:rPr>
          <w:b w:val="0"/>
          <w:i w:val="0"/>
        </w:rPr>
        <w:t xml:space="preserve"> is the underlying biofilm-driven pathological process, while a </w:t>
      </w:r>
      <w:r>
        <w:rPr>
          <w:b/>
          <w:i w:val="0"/>
        </w:rPr>
        <w:t>caries lesion</w:t>
      </w:r>
      <w:r>
        <w:rPr>
          <w:b w:val="0"/>
          <w:i w:val="0"/>
        </w:rPr>
        <w:t xml:space="preserve"> is its visible manifestation at one specific tooth location — the lesion is “the end result of caries disease,” and the term “caries lesion” on its own still says nothing about extent, severity, or activity, which is precisely what the classification system exists to specify</w:t>
      </w:r>
      <w:r>
        <w:rPr>
          <w:b w:val="0"/>
          <w:i w:val="0"/>
        </w:rPr>
        <w:t xml:space="preserve"> [3, p.58]</w:t>
      </w:r>
      <w:r>
        <w:rPr>
          <w:b w:val="0"/>
          <w:i w:val="0"/>
        </w:rPr>
        <w:t xml:space="preserve">. Management is further split into </w:t>
      </w:r>
      <w:r>
        <w:rPr>
          <w:b w:val="0"/>
          <w:i/>
        </w:rPr>
        <w:t>surgical</w:t>
      </w:r>
      <w:r>
        <w:rPr>
          <w:b w:val="0"/>
          <w:i w:val="0"/>
        </w:rPr>
        <w:t xml:space="preserve"> treatment (removal of tooth structure, typically resulting in a restoration, performed as minimally invasively as possible) and </w:t>
      </w:r>
      <w:r>
        <w:rPr>
          <w:b w:val="0"/>
          <w:i/>
        </w:rPr>
        <w:t>non-surgical</w:t>
      </w:r>
      <w:r>
        <w:rPr>
          <w:b w:val="0"/>
          <w:i w:val="0"/>
        </w:rPr>
        <w:t xml:space="preserve"> treatment (sealants, biofilm modification, remineralization with chemotherapeutic agents, and behavioural modification), with the choice between the two resting specifically on whether the lesion is fully cavitated through enamel</w:t>
      </w:r>
      <w:r>
        <w:rPr>
          <w:b w:val="0"/>
          <w:i w:val="0"/>
        </w:rPr>
        <w:t xml:space="preserve"> [3, p.58-59]</w:t>
      </w:r>
      <w:r>
        <w:rPr>
          <w:b w:val="0"/>
          <w:i w:val="0"/>
        </w:rPr>
        <w:t>.</w:t>
      </w:r>
    </w:p>
    <w:p>
      <w:pPr>
        <w:spacing w:after="160"/>
        <w:jc w:val="both"/>
      </w:pPr>
      <w:r>
        <w:rPr>
          <w:b w:val="0"/>
          <w:i w:val="0"/>
        </w:rPr>
        <w:t xml:space="preserve">This framework is explicitly built on </w:t>
      </w:r>
      <w:r>
        <w:rPr>
          <w:b/>
          <w:i w:val="0"/>
        </w:rPr>
        <w:t>CAMBRA</w:t>
      </w:r>
      <w:r>
        <w:rPr>
          <w:b w:val="0"/>
          <w:i w:val="0"/>
        </w:rPr>
        <w:t xml:space="preserve"> (Caries Management by Risk Assessment): a disease-based approach comprising (1) assessing risk for future lesions, (2) reducing pathological risk factors, (3) enhancing protective factors, and (4) using minimally invasive restorative care only as indicated — a philosophy the ADA CCS chapter contrasts explicitly with the traditional “drill and fill” model, and which rests on the same premise emphasized in the ecological plaque hypothesis (Sub-Module 1.1): caries is driven by a dynamically varying biofilm rather than a single pathogen</w:t>
      </w:r>
      <w:r>
        <w:rPr>
          <w:b w:val="0"/>
          <w:i w:val="0"/>
        </w:rPr>
        <w:t xml:space="preserve"> [3, p.58]</w:t>
      </w:r>
      <w:r>
        <w:rPr>
          <w:b w:val="0"/>
          <w:i w:val="0"/>
        </w:rPr>
        <w:t>.</w:t>
      </w:r>
    </w:p>
    <w:p>
      <w:pPr>
        <w:pStyle w:val="Heading3"/>
      </w:pPr>
      <w:r>
        <w:t>The ADA CCS Severity Categories: Sound, Initial, Moderate, Advanced</w:t>
      </w:r>
    </w:p>
    <w:p>
      <w:pPr>
        <w:spacing w:after="160"/>
        <w:jc w:val="both"/>
      </w:pPr>
      <w:r>
        <w:rPr>
          <w:b w:val="0"/>
          <w:i w:val="0"/>
        </w:rPr>
        <w:t xml:space="preserve">The ADA CCS's own definition of cavitation is precise: it denotes loss of surface integrity, ranging from enamel </w:t>
      </w:r>
      <w:r>
        <w:rPr>
          <w:b w:val="0"/>
          <w:i/>
        </w:rPr>
        <w:t>micro</w:t>
      </w:r>
      <w:r>
        <w:rPr>
          <w:b w:val="0"/>
          <w:i w:val="0"/>
        </w:rPr>
        <w:t>cavitation (not reaching dentine) to full cavitation through enamel exposing dentine — a distinction that matters clinically because intact enamel physically blocks bacterial entry into dentine (the fluid-filled diffusion channels are too small), so a non-cavitated lesion can still remineralize and become acid-resistant under topical fluoride, whereas a fully cavitated lesion, left untreated, allows cariogenic bacteria into the dentine and will most likely require surgical restoration</w:t>
      </w:r>
      <w:r>
        <w:rPr>
          <w:b w:val="0"/>
          <w:i w:val="0"/>
        </w:rPr>
        <w:t xml:space="preserve"> [3, p.59]</w:t>
      </w:r>
      <w:r>
        <w:rPr>
          <w:b w:val="0"/>
          <w:i w:val="0"/>
        </w:rPr>
        <w:t>. The four ADA CCS severity categories, and their cross-mapping to ICDAS codes and to radiographic depth notation, are reproduced below</w:t>
      </w:r>
      <w:r>
        <w:rPr>
          <w:b w:val="0"/>
          <w:i w:val="0"/>
        </w:rPr>
        <w:t xml:space="preserve"> [3, p.60]</w:t>
      </w:r>
      <w:r>
        <w:rPr>
          <w:b w:val="0"/>
          <w:i w:val="0"/>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ADA CCS Category</w:t>
            </w:r>
          </w:p>
        </w:tc>
        <w:tc>
          <w:tcPr>
            <w:tcW w:type="dxa" w:w="2160"/>
          </w:tcPr>
          <w:p>
            <w:r>
              <w:rPr>
                <w:b/>
                <w:sz w:val="18"/>
              </w:rPr>
              <w:t>Clinical Description</w:t>
            </w:r>
          </w:p>
        </w:tc>
        <w:tc>
          <w:tcPr>
            <w:tcW w:type="dxa" w:w="2160"/>
          </w:tcPr>
          <w:p>
            <w:r>
              <w:rPr>
                <w:b/>
                <w:sz w:val="18"/>
              </w:rPr>
              <w:t>Corresponding ICDAS Code(s)</w:t>
            </w:r>
          </w:p>
        </w:tc>
        <w:tc>
          <w:tcPr>
            <w:tcW w:type="dxa" w:w="2160"/>
          </w:tcPr>
          <w:p>
            <w:r>
              <w:rPr>
                <w:b/>
                <w:sz w:val="18"/>
              </w:rPr>
              <w:t>Approximal Radiographic Notation</w:t>
            </w:r>
          </w:p>
        </w:tc>
      </w:tr>
      <w:tr>
        <w:tc>
          <w:tcPr>
            <w:tcW w:type="dxa" w:w="2160"/>
          </w:tcPr>
          <w:p>
            <w:r>
              <w:rPr>
                <w:sz w:val="18"/>
              </w:rPr>
              <w:t>Sound</w:t>
            </w:r>
          </w:p>
        </w:tc>
        <w:tc>
          <w:tcPr>
            <w:tcW w:type="dxa" w:w="2160"/>
          </w:tcPr>
          <w:p>
            <w:r>
              <w:rPr>
                <w:sz w:val="18"/>
              </w:rPr>
              <w:t>No clinically detectable lesion; dental hard tissue normal in colour, translucency and gloss.</w:t>
            </w:r>
          </w:p>
        </w:tc>
        <w:tc>
          <w:tcPr>
            <w:tcW w:type="dxa" w:w="2160"/>
          </w:tcPr>
          <w:p>
            <w:r>
              <w:rPr>
                <w:sz w:val="18"/>
              </w:rPr>
              <w:t>ICDAS 0</w:t>
            </w:r>
          </w:p>
        </w:tc>
        <w:tc>
          <w:tcPr>
            <w:tcW w:type="dxa" w:w="2160"/>
          </w:tcPr>
          <w:p>
            <w:r>
              <w:rPr>
                <w:sz w:val="18"/>
              </w:rPr>
              <w:t>No radiolucency (R0)</w:t>
            </w:r>
          </w:p>
        </w:tc>
      </w:tr>
      <w:tr>
        <w:tc>
          <w:tcPr>
            <w:tcW w:type="dxa" w:w="2160"/>
          </w:tcPr>
          <w:p>
            <w:r>
              <w:rPr>
                <w:sz w:val="18"/>
              </w:rPr>
              <w:t>Initial</w:t>
            </w:r>
          </w:p>
        </w:tc>
        <w:tc>
          <w:tcPr>
            <w:tcW w:type="dxa" w:w="2160"/>
          </w:tcPr>
          <w:p>
            <w:r>
              <w:rPr>
                <w:sz w:val="18"/>
              </w:rPr>
              <w:t>Earliest clinically detectable lesion compatible with mild demineralization; limited to enamel, or shallow demineralization of cementum/dentine on smooth surfaces. Mildest forms detectable only after drying; when active, may be white or brown with loss of gloss. Infected dentin: unlikely.</w:t>
            </w:r>
          </w:p>
        </w:tc>
        <w:tc>
          <w:tcPr>
            <w:tcW w:type="dxa" w:w="2160"/>
          </w:tcPr>
          <w:p>
            <w:r>
              <w:rPr>
                <w:sz w:val="18"/>
              </w:rPr>
              <w:t>ICDAS 1–2</w:t>
            </w:r>
          </w:p>
        </w:tc>
        <w:tc>
          <w:tcPr>
            <w:tcW w:type="dxa" w:w="2160"/>
          </w:tcPr>
          <w:p>
            <w:r>
              <w:rPr>
                <w:sz w:val="18"/>
              </w:rPr>
              <w:t>E1/RA1 – E2/RA2 (radiolucency confined to enamel or to the dentino-enamel junction/outer third of dentin)</w:t>
            </w:r>
          </w:p>
        </w:tc>
      </w:tr>
      <w:tr>
        <w:tc>
          <w:tcPr>
            <w:tcW w:type="dxa" w:w="2160"/>
          </w:tcPr>
          <w:p>
            <w:r>
              <w:rPr>
                <w:sz w:val="18"/>
              </w:rPr>
              <w:t>Moderate</w:t>
            </w:r>
          </w:p>
        </w:tc>
        <w:tc>
          <w:tcPr>
            <w:tcW w:type="dxa" w:w="2160"/>
          </w:tcPr>
          <w:p>
            <w:r>
              <w:rPr>
                <w:sz w:val="18"/>
              </w:rPr>
              <w:t>Visible signs of enamel breakdown, or signs the dentin is moderately demineralized. Infected dentin: possible.</w:t>
            </w:r>
          </w:p>
        </w:tc>
        <w:tc>
          <w:tcPr>
            <w:tcW w:type="dxa" w:w="2160"/>
          </w:tcPr>
          <w:p>
            <w:r>
              <w:rPr>
                <w:sz w:val="18"/>
              </w:rPr>
              <w:t>ICDAS 3–4</w:t>
            </w:r>
          </w:p>
        </w:tc>
        <w:tc>
          <w:tcPr>
            <w:tcW w:type="dxa" w:w="2160"/>
          </w:tcPr>
          <w:p>
            <w:r>
              <w:rPr>
                <w:sz w:val="18"/>
              </w:rPr>
              <w:t>D1/RA3 – D2/RB4 (radiolucency into outer–middle third of dentin)</w:t>
            </w:r>
          </w:p>
        </w:tc>
      </w:tr>
      <w:tr>
        <w:tc>
          <w:tcPr>
            <w:tcW w:type="dxa" w:w="2160"/>
          </w:tcPr>
          <w:p>
            <w:r>
              <w:rPr>
                <w:sz w:val="18"/>
              </w:rPr>
              <w:t>Advanced</w:t>
            </w:r>
          </w:p>
        </w:tc>
        <w:tc>
          <w:tcPr>
            <w:tcW w:type="dxa" w:w="2160"/>
          </w:tcPr>
          <w:p>
            <w:r>
              <w:rPr>
                <w:sz w:val="18"/>
              </w:rPr>
              <w:t>Enamel is fully cavitated and dentin is exposed; dentin lesion is deeply/severely demineralized. Infected dentin: established, early/late/deep cavitation.</w:t>
            </w:r>
          </w:p>
        </w:tc>
        <w:tc>
          <w:tcPr>
            <w:tcW w:type="dxa" w:w="2160"/>
          </w:tcPr>
          <w:p>
            <w:r>
              <w:rPr>
                <w:sz w:val="18"/>
              </w:rPr>
              <w:t>ICDAS 5–6</w:t>
            </w:r>
          </w:p>
        </w:tc>
        <w:tc>
          <w:tcPr>
            <w:tcW w:type="dxa" w:w="2160"/>
          </w:tcPr>
          <w:p>
            <w:r>
              <w:rPr>
                <w:sz w:val="18"/>
              </w:rPr>
              <w:t>D3/RC5–RC6 (radiolucency into inner third of dentin, RC6 = into pulp)</w:t>
            </w:r>
          </w:p>
        </w:tc>
      </w:tr>
    </w:tbl>
    <w:p/>
    <w:p>
      <w:pPr>
        <w:spacing w:after="160"/>
        <w:jc w:val="both"/>
      </w:pPr>
      <w:r>
        <w:rPr>
          <w:b w:val="0"/>
          <w:i w:val="0"/>
        </w:rPr>
        <w:t xml:space="preserve">For occlusal pit-and-fissure surfaces specifically, the chapter cites ICDAS Coordinating Committee data correlating clinical appearance with the </w:t>
      </w:r>
      <w:r>
        <w:rPr>
          <w:b w:val="0"/>
          <w:i/>
        </w:rPr>
        <w:t>probability</w:t>
      </w:r>
      <w:r>
        <w:rPr>
          <w:b w:val="0"/>
          <w:i w:val="0"/>
        </w:rPr>
        <w:t xml:space="preserve"> of histological dentine penetration on extracted teeth: ADA CCS-initial lesions (ICDAS 1–2) show histologic dentin demineralization 9–50% of the time; ADA CCS-moderate lesions (ICDAS 3–4) show it 50–88% of the time; and ADA CCS-advanced lesions (ICDAS 5–6), being fully cavitated, are expected to show it 100% of the time</w:t>
      </w:r>
      <w:r>
        <w:rPr>
          <w:b w:val="0"/>
          <w:i w:val="0"/>
        </w:rPr>
        <w:t xml:space="preserve"> [3, p.61]</w:t>
      </w:r>
      <w:r>
        <w:rPr>
          <w:b w:val="0"/>
          <w:i w:val="0"/>
        </w:rPr>
        <w:t>. For approximal surfaces, the chapter cites the original Pitts and Rimmer (1992) correlation of radiographic radiolucency depth with actual cavitation: none of the lesions confined to the outer half of enamel were cavitated; radiolucency into the inner half of enamel corresponded to cavitation in roughly 10.8% of permanent and 2.9% of primary teeth; extension to the outer half of dentin raised this to roughly 40.9% (permanent) and 28.4% (primary); and extension to the inner half of dentin corresponded to 100% cavitation in permanent teeth and 48% in primary teeth</w:t>
      </w:r>
      <w:r>
        <w:rPr>
          <w:b w:val="0"/>
          <w:i w:val="0"/>
        </w:rPr>
        <w:t xml:space="preserve"> [3, p.62]</w:t>
      </w:r>
      <w:r>
        <w:rPr>
          <w:b w:val="0"/>
          <w:i w:val="0"/>
        </w:rPr>
        <w:t>. The ADA CCS's own E0–E2/D1–D3 notation subdivides the dentin into thirds rather than halves for finer clinical gradation of this same relationship</w:t>
      </w:r>
      <w:r>
        <w:rPr>
          <w:b w:val="0"/>
          <w:i w:val="0"/>
        </w:rPr>
        <w:t xml:space="preserve"> [3, p.62]</w:t>
      </w:r>
      <w:r>
        <w:rPr>
          <w:b w:val="0"/>
          <w:i w:val="0"/>
        </w:rPr>
        <w:t>.</w:t>
      </w:r>
    </w:p>
    <w:p>
      <w:pPr>
        <w:pStyle w:val="Heading3"/>
      </w:pPr>
      <w:r>
        <w:t>Clinical Application and Activity Scoring</w:t>
      </w:r>
    </w:p>
    <w:p>
      <w:pPr>
        <w:spacing w:after="160"/>
        <w:jc w:val="both"/>
      </w:pPr>
      <w:r>
        <w:rPr>
          <w:b w:val="0"/>
          <w:i w:val="0"/>
        </w:rPr>
        <w:t xml:space="preserve">Clinical use requires a clean, air-dried tooth, adequate lighting, and a </w:t>
      </w:r>
      <w:r>
        <w:rPr>
          <w:b w:val="0"/>
          <w:i/>
        </w:rPr>
        <w:t>rounded</w:t>
      </w:r>
      <w:r>
        <w:rPr>
          <w:b w:val="0"/>
          <w:i w:val="0"/>
        </w:rPr>
        <w:t xml:space="preserve"> (blunt) explorer or ball-end probe — the chapter explicitly repeats the same warning found in the textbook tier above, that forcing an explorer into a site to detect a lesion can itself cause cavitation and destroy the chance of remineralizing an otherwise-intact surface</w:t>
      </w:r>
      <w:r>
        <w:rPr>
          <w:b w:val="0"/>
          <w:i w:val="0"/>
        </w:rPr>
        <w:t xml:space="preserve"> [3, p.59-60]</w:t>
      </w:r>
      <w:r>
        <w:rPr>
          <w:b w:val="0"/>
          <w:i w:val="0"/>
        </w:rPr>
        <w:t>. Each surface is scored for: surface(s) involved; presence/absence of a lesion; suspected site of origin; severity (sound/initial/moderate/advanced); and, where possible, activity</w:t>
      </w:r>
      <w:r>
        <w:rPr>
          <w:b w:val="0"/>
          <w:i w:val="0"/>
        </w:rPr>
        <w:t xml:space="preserve"> [3, p.60]</w:t>
      </w:r>
      <w:r>
        <w:rPr>
          <w:b w:val="0"/>
          <w:i w:val="0"/>
        </w:rPr>
        <w:t>.</w:t>
      </w:r>
    </w:p>
    <w:p>
      <w:pPr>
        <w:spacing w:after="160"/>
        <w:jc w:val="both"/>
      </w:pPr>
      <w:r>
        <w:rPr>
          <w:b w:val="0"/>
          <w:i w:val="0"/>
        </w:rPr>
        <w:t xml:space="preserve">Because the ADA CCS scores only </w:t>
      </w:r>
      <w:r>
        <w:rPr>
          <w:b w:val="0"/>
          <w:i/>
        </w:rPr>
        <w:t>visible</w:t>
      </w:r>
      <w:r>
        <w:rPr>
          <w:b w:val="0"/>
          <w:i w:val="0"/>
        </w:rPr>
        <w:t xml:space="preserve"> structural change, it cannot score caries activity before such change appears, so longitudinal comparison (is the lesion changing over successive visits?) is described as clinically valuable</w:t>
      </w:r>
      <w:r>
        <w:rPr>
          <w:b w:val="0"/>
          <w:i w:val="0"/>
        </w:rPr>
        <w:t xml:space="preserve"> [3, p.62-63]</w:t>
      </w:r>
      <w:r>
        <w:rPr>
          <w:b w:val="0"/>
          <w:i w:val="0"/>
        </w:rPr>
        <w:t>. The chapter provides a specific table of activity indicators, reproduced below</w:t>
      </w:r>
      <w:r>
        <w:rPr>
          <w:b w:val="0"/>
          <w:i w:val="0"/>
        </w:rPr>
        <w:t xml:space="preserve"> [3, p.63]</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Activity Assessment Factor</w:t>
            </w:r>
          </w:p>
        </w:tc>
        <w:tc>
          <w:tcPr>
            <w:tcW w:type="dxa" w:w="2880"/>
          </w:tcPr>
          <w:p>
            <w:r>
              <w:rPr>
                <w:b/>
                <w:sz w:val="18"/>
              </w:rPr>
              <w:t>Likely Inactive / Arrested</w:t>
            </w:r>
          </w:p>
        </w:tc>
        <w:tc>
          <w:tcPr>
            <w:tcW w:type="dxa" w:w="2880"/>
          </w:tcPr>
          <w:p>
            <w:r>
              <w:rPr>
                <w:b/>
                <w:sz w:val="18"/>
              </w:rPr>
              <w:t>Likely Active</w:t>
            </w:r>
          </w:p>
        </w:tc>
      </w:tr>
      <w:tr>
        <w:tc>
          <w:tcPr>
            <w:tcW w:type="dxa" w:w="2880"/>
          </w:tcPr>
          <w:p>
            <w:r>
              <w:rPr>
                <w:sz w:val="18"/>
              </w:rPr>
              <w:t>Location of the lesion</w:t>
            </w:r>
          </w:p>
        </w:tc>
        <w:tc>
          <w:tcPr>
            <w:tcW w:type="dxa" w:w="2880"/>
          </w:tcPr>
          <w:p>
            <w:r>
              <w:rPr>
                <w:sz w:val="18"/>
              </w:rPr>
              <w:t>Not in a plaque stagnation area</w:t>
            </w:r>
          </w:p>
        </w:tc>
        <w:tc>
          <w:tcPr>
            <w:tcW w:type="dxa" w:w="2880"/>
          </w:tcPr>
          <w:p>
            <w:r>
              <w:rPr>
                <w:sz w:val="18"/>
              </w:rPr>
              <w:t>In a plaque stagnation area (pit/fissure, approximal, gingival)</w:t>
            </w:r>
          </w:p>
        </w:tc>
      </w:tr>
      <w:tr>
        <w:tc>
          <w:tcPr>
            <w:tcW w:type="dxa" w:w="2880"/>
          </w:tcPr>
          <w:p>
            <w:r>
              <w:rPr>
                <w:sz w:val="18"/>
              </w:rPr>
              <w:t>Plaque over the lesion</w:t>
            </w:r>
          </w:p>
        </w:tc>
        <w:tc>
          <w:tcPr>
            <w:tcW w:type="dxa" w:w="2880"/>
          </w:tcPr>
          <w:p>
            <w:r>
              <w:rPr>
                <w:sz w:val="18"/>
              </w:rPr>
              <w:t>Not thick or sticky</w:t>
            </w:r>
          </w:p>
        </w:tc>
        <w:tc>
          <w:tcPr>
            <w:tcW w:type="dxa" w:w="2880"/>
          </w:tcPr>
          <w:p>
            <w:r>
              <w:rPr>
                <w:sz w:val="18"/>
              </w:rPr>
              <w:t>Thick and/or sticky</w:t>
            </w:r>
          </w:p>
        </w:tc>
      </w:tr>
      <w:tr>
        <w:tc>
          <w:tcPr>
            <w:tcW w:type="dxa" w:w="2880"/>
          </w:tcPr>
          <w:p>
            <w:r>
              <w:rPr>
                <w:sz w:val="18"/>
              </w:rPr>
              <w:t>Surface appearance</w:t>
            </w:r>
          </w:p>
        </w:tc>
        <w:tc>
          <w:tcPr>
            <w:tcW w:type="dxa" w:w="2880"/>
          </w:tcPr>
          <w:p>
            <w:r>
              <w:rPr>
                <w:sz w:val="18"/>
              </w:rPr>
              <w:t>Shiny; brown–black</w:t>
            </w:r>
          </w:p>
        </w:tc>
        <w:tc>
          <w:tcPr>
            <w:tcW w:type="dxa" w:w="2880"/>
          </w:tcPr>
          <w:p>
            <w:r>
              <w:rPr>
                <w:sz w:val="18"/>
              </w:rPr>
              <w:t>Matte/opaque, loss of lustre; white–yellow</w:t>
            </w:r>
          </w:p>
        </w:tc>
      </w:tr>
      <w:tr>
        <w:tc>
          <w:tcPr>
            <w:tcW w:type="dxa" w:w="2880"/>
          </w:tcPr>
          <w:p>
            <w:r>
              <w:rPr>
                <w:sz w:val="18"/>
              </w:rPr>
              <w:t>Tactile feeling</w:t>
            </w:r>
          </w:p>
        </w:tc>
        <w:tc>
          <w:tcPr>
            <w:tcW w:type="dxa" w:w="2880"/>
          </w:tcPr>
          <w:p>
            <w:r>
              <w:rPr>
                <w:sz w:val="18"/>
              </w:rPr>
              <w:t>Smooth, hard enamel/hard dentin</w:t>
            </w:r>
          </w:p>
        </w:tc>
        <w:tc>
          <w:tcPr>
            <w:tcW w:type="dxa" w:w="2880"/>
          </w:tcPr>
          <w:p>
            <w:r>
              <w:rPr>
                <w:sz w:val="18"/>
              </w:rPr>
              <w:t>Rough enamel/soft dentin</w:t>
            </w:r>
          </w:p>
        </w:tc>
      </w:tr>
      <w:tr>
        <w:tc>
          <w:tcPr>
            <w:tcW w:type="dxa" w:w="2880"/>
          </w:tcPr>
          <w:p>
            <w:r>
              <w:rPr>
                <w:sz w:val="18"/>
              </w:rPr>
              <w:t>Gingival status (if near gingiva)</w:t>
            </w:r>
          </w:p>
        </w:tc>
        <w:tc>
          <w:tcPr>
            <w:tcW w:type="dxa" w:w="2880"/>
          </w:tcPr>
          <w:p>
            <w:r>
              <w:rPr>
                <w:sz w:val="18"/>
              </w:rPr>
              <w:t>No inflammation, no bleeding on probing</w:t>
            </w:r>
          </w:p>
        </w:tc>
        <w:tc>
          <w:tcPr>
            <w:tcW w:type="dxa" w:w="2880"/>
          </w:tcPr>
          <w:p>
            <w:r>
              <w:rPr>
                <w:sz w:val="18"/>
              </w:rPr>
              <w:t>Inflammation, bleeding on probing</w:t>
            </w:r>
          </w:p>
        </w:tc>
      </w:tr>
    </w:tbl>
    <w:p/>
    <w:p>
      <w:pPr>
        <w:spacing w:after="160"/>
        <w:jc w:val="both"/>
      </w:pPr>
      <w:r>
        <w:rPr>
          <w:b w:val="0"/>
          <w:i w:val="0"/>
        </w:rPr>
        <w:t xml:space="preserve">The chapter introduces the specific term </w:t>
      </w:r>
      <w:r>
        <w:rPr>
          <w:b/>
          <w:i w:val="0"/>
        </w:rPr>
        <w:t>“affected dentin”</w:t>
      </w:r>
      <w:r>
        <w:rPr>
          <w:b w:val="0"/>
          <w:i w:val="0"/>
        </w:rPr>
        <w:t xml:space="preserve">: dentin that has been exposed to bacterial acids but may or may not currently be demineralizing — it may be soft (if actively demineralizing) or tactilely hard (if arrested and remineralized), and is often stained; the chapter is explicit that staining or discolouration of affected dentin is </w:t>
      </w:r>
      <w:r>
        <w:rPr>
          <w:b w:val="0"/>
          <w:i/>
        </w:rPr>
        <w:t>not</w:t>
      </w:r>
      <w:r>
        <w:rPr>
          <w:b w:val="0"/>
          <w:i w:val="0"/>
        </w:rPr>
        <w:t>, by itself, a reason for surgical removal if the dentin has remineralized and become acid-resistant</w:t>
      </w:r>
      <w:r>
        <w:rPr>
          <w:b w:val="0"/>
          <w:i w:val="0"/>
        </w:rPr>
        <w:t xml:space="preserve"> [3, p.63]</w:t>
      </w:r>
      <w:r>
        <w:rPr>
          <w:b w:val="0"/>
          <w:i w:val="0"/>
        </w:rPr>
        <w:t xml:space="preserve"> — the same clinical caution against over-treatment already seen in the textbook tier's discussion of ditched/stained amalgam margins (Sub-Module 1.2.3 above).</w:t>
      </w:r>
    </w:p>
    <w:p>
      <w:pPr>
        <w:spacing w:after="160"/>
        <w:jc w:val="both"/>
      </w:pPr>
      <w:r>
        <w:rPr>
          <w:b w:val="0"/>
          <w:i w:val="0"/>
        </w:rPr>
        <w:t>For charting, when a lesion spans two clinically joined surfaces, both are recorded together but only the single most likely site of origin is noted; each site is scored Active (A), Inactive (I), Undetermined (UD) if activity cannot be judged from the available criteria, or Not Recorded (NR) if the clinician chooses not to assess activity at all</w:t>
      </w:r>
      <w:r>
        <w:rPr>
          <w:b w:val="0"/>
          <w:i w:val="0"/>
        </w:rPr>
        <w:t xml:space="preserve"> [3, p.64]</w:t>
      </w:r>
      <w:r>
        <w:rPr>
          <w:b w:val="0"/>
          <w:i w:val="0"/>
        </w:rPr>
        <w:t xml:space="preserve">. A full worked example given in the source: </w:t>
      </w:r>
      <w:r>
        <w:rPr>
          <w:b w:val="0"/>
          <w:i/>
        </w:rPr>
        <w:t>“#2 distal surface, approximal origin, moderate (more specifically, D2 radiographically) extent, active”</w:t>
      </w:r>
      <w:r>
        <w:rPr>
          <w:b w:val="0"/>
          <w:i w:val="0"/>
        </w:rPr>
        <w:t>, justified because two bitewings taken a year apart showed radiographic progression from D1 to D2</w:t>
      </w:r>
      <w:r>
        <w:rPr>
          <w:b w:val="0"/>
          <w:i w:val="0"/>
        </w:rPr>
        <w:t xml:space="preserve"> [3, p.64]</w:t>
      </w:r>
      <w:r>
        <w:rPr>
          <w:b w:val="0"/>
          <w:i w:val="0"/>
        </w:rPr>
        <w:t>.</w:t>
      </w:r>
    </w:p>
    <w:p>
      <w:pPr>
        <w:spacing w:after="160"/>
        <w:jc w:val="both"/>
      </w:pPr>
      <w:r>
        <w:rPr>
          <w:b w:val="0"/>
          <w:i w:val="0"/>
        </w:rPr>
        <w:t xml:space="preserve">Finally, the chapter links lesion classification directly to Caries Risk Assessment (CRA): the single best predictor of future caries risk is the presence of </w:t>
      </w:r>
      <w:r>
        <w:rPr>
          <w:b w:val="0"/>
          <w:i/>
        </w:rPr>
        <w:t>current</w:t>
      </w:r>
      <w:r>
        <w:rPr>
          <w:b w:val="0"/>
          <w:i w:val="0"/>
        </w:rPr>
        <w:t xml:space="preserve"> active lesions or evidence of recently active lesions, so a careful hard-tissue examination using the ADA CCS must precede the CRA process, and an </w:t>
      </w:r>
      <w:r>
        <w:rPr>
          <w:b w:val="0"/>
          <w:i/>
        </w:rPr>
        <w:t>arrested</w:t>
      </w:r>
      <w:r>
        <w:rPr>
          <w:b w:val="0"/>
          <w:i w:val="0"/>
        </w:rPr>
        <w:t xml:space="preserve"> lesion should specifically </w:t>
      </w:r>
      <w:r>
        <w:rPr>
          <w:b w:val="0"/>
          <w:i/>
        </w:rPr>
        <w:t>not</w:t>
      </w:r>
      <w:r>
        <w:rPr>
          <w:b w:val="0"/>
          <w:i w:val="0"/>
        </w:rPr>
        <w:t xml:space="preserve"> be counted as a current disease indicator when assigning risk status, since it is neither new nor progressing</w:t>
      </w:r>
      <w:r>
        <w:rPr>
          <w:b w:val="0"/>
          <w:i w:val="0"/>
        </w:rPr>
        <w:t xml:space="preserve"> [3, p.63-64]</w:t>
      </w:r>
      <w:r>
        <w:rPr>
          <w:b w:val="0"/>
          <w:i w:val="0"/>
        </w:rPr>
        <w:t>.</w:t>
      </w:r>
    </w:p>
    <w:p>
      <w:r>
        <w:br w:type="page"/>
      </w:r>
    </w:p>
    <w:p>
      <w:pPr>
        <w:spacing w:after="160"/>
        <w:jc w:val="both"/>
      </w:pPr>
      <w:r>
        <w:rPr>
          <w:b/>
          <w:i w:val="0"/>
        </w:rPr>
        <w:t>Tier 1 — Standardised Textbook Coverage (continued)</w:t>
      </w:r>
    </w:p>
    <w:p>
      <w:pPr>
        <w:pStyle w:val="Heading2"/>
      </w:pPr>
      <w:r>
        <w:t>1.2.6 Root Surface and Recurrent Caries Diagnosis</w:t>
      </w:r>
    </w:p>
    <w:p>
      <w:pPr>
        <w:spacing w:after="160"/>
        <w:jc w:val="both"/>
      </w:pPr>
      <w:r>
        <w:rPr>
          <w:b w:val="0"/>
          <w:i w:val="0"/>
        </w:rPr>
        <w:t>For root-surface caries, activity is diagnosed by the same logic as coronal lesions: active lesions are soft or leathery and situated at plaque-stagnation sites next to the gingival margin, while inactive lesions are typically some distance from the gingival margin, feel hard on gentle probing, are often shiny, and tend toward black rather than brown</w:t>
      </w:r>
      <w:r>
        <w:rPr>
          <w:b w:val="0"/>
          <w:i w:val="0"/>
        </w:rPr>
        <w:t xml:space="preserve"> [1, p.59-60]</w:t>
      </w:r>
      <w:r>
        <w:rPr>
          <w:b w:val="0"/>
          <w:i w:val="0"/>
        </w:rPr>
        <w:t>. Recurrent caries at restoration margins is likewise assessed for activity rather than assumed present merely because staining or marginal “ditching” is visible.</w:t>
      </w:r>
    </w:p>
    <w:p>
      <w:pPr>
        <w:spacing w:after="160"/>
        <w:jc w:val="both"/>
      </w:pPr>
      <w:r>
        <w:rPr>
          <w:b w:val="0"/>
          <w:i w:val="0"/>
        </w:rPr>
        <w:t xml:space="preserve">On this point the source is unusually direct: marginal ditching of amalgam restorations does </w:t>
      </w:r>
      <w:r>
        <w:rPr>
          <w:b w:val="0"/>
          <w:i/>
        </w:rPr>
        <w:t>not</w:t>
      </w:r>
      <w:r>
        <w:rPr>
          <w:b w:val="0"/>
          <w:i w:val="0"/>
        </w:rPr>
        <w:t xml:space="preserve"> reliably predict infected dentine beneath the defect unless an actual cavity large enough to admit a periodontal probe tip (over 0.4 mm) is present, and clinical studies have shown dentists routinely over-cut such margins by up to 0.6 mm when “preventively” replacing intact, ditched restorations. Discolouration around an intact amalgam margin may equally represent corrosion products or light reflection through translucent enamel rather than new caries, and around tooth-coloured restorations may represent residual, already-arrested demineralization left in place at the time of the original filling</w:t>
      </w:r>
      <w:r>
        <w:rPr>
          <w:b w:val="0"/>
          <w:i w:val="0"/>
        </w:rPr>
        <w:t xml:space="preserve"> [1, p.61-64]</w:t>
      </w:r>
      <w:r>
        <w:rPr>
          <w:b w:val="0"/>
          <w:i w:val="0"/>
        </w:rPr>
        <w:t>. The clinical message: staining or ditching around an otherwise intact, clinically sound margin should not, by itself, trigger restoration replacement</w:t>
      </w:r>
      <w:r>
        <w:rPr>
          <w:b w:val="0"/>
          <w:i w:val="0"/>
        </w:rPr>
        <w:t xml:space="preserve"> [1, p.62]</w:t>
      </w:r>
      <w:r>
        <w:rPr>
          <w:b w:val="0"/>
          <w:i w:val="0"/>
        </w:rPr>
        <w:t xml:space="preserve"> — directly consistent with the ADA CCS's “affected dentin” guidance in Section 1.2.5 above.</w:t>
      </w:r>
    </w:p>
    <w:p>
      <w:pPr>
        <w:pStyle w:val="Heading2"/>
      </w:pPr>
      <w:r>
        <w:t>1.2.7 Additional Clinical Aids to Diagnosis</w:t>
      </w:r>
    </w:p>
    <w:p>
      <w:pPr>
        <w:pStyle w:val="Heading3"/>
      </w:pPr>
      <w:r>
        <w:t>Transillumination</w:t>
      </w:r>
    </w:p>
    <w:p>
      <w:pPr>
        <w:spacing w:after="160"/>
        <w:jc w:val="both"/>
      </w:pPr>
      <w:r>
        <w:rPr>
          <w:b w:val="0"/>
          <w:i w:val="0"/>
        </w:rPr>
        <w:t>Shining light through the interproximal contact point exploits the lower light-transmission index of a carious lesion, which appears as a dark shadow tracing the outline of the decay through dentine; in posterior teeth this requires fibre-optic light reduced to a 0.5 mm beam diameter (FOTI) to avoid glare and loss of surface detail</w:t>
      </w:r>
      <w:r>
        <w:rPr>
          <w:b w:val="0"/>
          <w:i w:val="0"/>
        </w:rPr>
        <w:t xml:space="preserve"> [1, p.65-66]</w:t>
      </w:r>
      <w:r>
        <w:rPr>
          <w:b w:val="0"/>
          <w:i w:val="0"/>
        </w:rPr>
        <w:t>.</w:t>
      </w:r>
    </w:p>
    <w:p>
      <w:pPr>
        <w:pStyle w:val="Heading3"/>
      </w:pPr>
      <w:r>
        <w:t>Tooth Separation</w:t>
      </w:r>
    </w:p>
    <w:p>
      <w:pPr>
        <w:spacing w:after="160"/>
        <w:jc w:val="both"/>
      </w:pPr>
      <w:r>
        <w:rPr>
          <w:b w:val="0"/>
          <w:i w:val="0"/>
        </w:rPr>
        <w:t>Borrowed from orthodontic practice, a small elastic separator is forced between contact points; after several days of separation, a probe can gently assess for a cavity previously obscured by the tight contact</w:t>
      </w:r>
      <w:r>
        <w:rPr>
          <w:b w:val="0"/>
          <w:i w:val="0"/>
        </w:rPr>
        <w:t xml:space="preserve"> [1, p.66-67]</w:t>
      </w:r>
      <w:r>
        <w:rPr>
          <w:b w:val="0"/>
          <w:i w:val="0"/>
        </w:rPr>
        <w:t>.</w:t>
      </w:r>
    </w:p>
    <w:p>
      <w:pPr>
        <w:pStyle w:val="Heading3"/>
      </w:pPr>
      <w:r>
        <w:t>Bitewing Radiography</w:t>
      </w:r>
    </w:p>
    <w:p>
      <w:pPr>
        <w:spacing w:after="160"/>
        <w:jc w:val="both"/>
      </w:pPr>
      <w:r>
        <w:rPr>
          <w:b w:val="0"/>
          <w:i w:val="0"/>
        </w:rPr>
        <w:t>Bitewings remain the principal aid for approximal-lesion detection, using a standard five-point radiographic scale (0 = sound through 4 = radiolucency reaching the inner half of dentine), and are similarly useful for occlusal dentine lesions (“hidden caries”) and approximal root-surface caries</w:t>
      </w:r>
      <w:r>
        <w:rPr>
          <w:b w:val="0"/>
          <w:i w:val="0"/>
        </w:rPr>
        <w:t xml:space="preserve"> [1, p.67-69]</w:t>
      </w:r>
      <w:r>
        <w:rPr>
          <w:b w:val="0"/>
          <w:i w:val="0"/>
        </w:rPr>
        <w:t xml:space="preserve">. A cited comparative dataset (children examined at 12 and 15 years) shows clinical examination alone detects </w:t>
      </w:r>
      <w:r>
        <w:rPr>
          <w:b w:val="0"/>
          <w:i/>
        </w:rPr>
        <w:t>more</w:t>
      </w:r>
      <w:r>
        <w:rPr>
          <w:b w:val="0"/>
          <w:i w:val="0"/>
        </w:rPr>
        <w:t xml:space="preserve"> non-cavitated/enamel-level lesions than radiography alone, with radiography only out-performing clinical examination at the cavitated/dentine level for approximal surfaces — leading the authors to state “perhaps radiographs are not as necessary as once thought” as a routine detection tool</w:t>
      </w:r>
      <w:r>
        <w:rPr>
          <w:b w:val="0"/>
          <w:i w:val="0"/>
        </w:rPr>
        <w:t xml:space="preserve"> [1, p.69-70]</w:t>
      </w:r>
      <w:r>
        <w:rPr>
          <w:b w:val="0"/>
          <w:i w:val="0"/>
        </w:rPr>
        <w:t>. Limitations stated explicitly: ionizing radiation; inability to itself judge activity (serial, geometrically standardized films are needed to infer progression); inability to reliably determine cavitation; and susceptibility to false positives, which increases the more diagnostic techniques are stacked on the same surface</w:t>
      </w:r>
      <w:r>
        <w:rPr>
          <w:b w:val="0"/>
          <w:i w:val="0"/>
        </w:rPr>
        <w:t xml:space="preserve"> [1, p.70-71]</w:t>
      </w:r>
      <w:r>
        <w:rPr>
          <w:b w:val="0"/>
          <w:i w:val="0"/>
        </w:rPr>
        <w:t>.</w:t>
      </w:r>
    </w:p>
    <w:p>
      <w:pPr>
        <w:pStyle w:val="Heading3"/>
      </w:pPr>
      <w:r>
        <w:t>Radiographic Sensitivity and Specificity — Real Quantified Data (Sturdevant's)</w:t>
      </w:r>
    </w:p>
    <w:p>
      <w:r>
        <w:t>Real diagnostic-accuracy figures, worth knowing precisely rather than only qualitatively:</w:t>
      </w:r>
    </w:p>
    <w:p>
      <w:r>
        <w:t>The practical implication: when a radiolucency is ABSENT, the likelihood that caries is truly absent is high (specificity 98-99%) — a negative radiographic finding is quite reliable. But when a radiolucency IS present, a diagnosis of cavitated caries based on the radiograph alone is only correct somewhere between 4 and 7 times out of 10 — i.e. a positive radiographic finding is considerably LESS reliable than a negative one, and must always be followed by careful clinical assessment rather than treated as diagnostic on its own.</w:t>
      </w:r>
      <w:r>
        <w:t xml:space="preserve"> [7, p.107]</w:t>
      </w:r>
    </w:p>
    <w:p>
      <w:r>
        <w:t>A specific radiographic pitfall: an extensive but purely superficial enamel lesion that wraps around a proximal surface onto the facial/lingual surfaces can produce an overlapped radiographic image that falsely appears to penetrate deep through the enamel, when the lesion is actually only minimally extended — a genuine source of radiographic over-diagnosis distinct from simple image-quality limitations.</w:t>
      </w:r>
      <w:r>
        <w:t xml:space="preserve"> [7, p.107]</w:t>
      </w:r>
    </w:p>
    <w:p>
      <w:pPr>
        <w:pStyle w:val="Heading3"/>
      </w:pPr>
      <w:r>
        <w:t>Periapical Radiographs</w:t>
      </w:r>
    </w:p>
    <w:p>
      <w:pPr/>
      <w:r>
        <w:t>Periapical radiographs are not the primary caries-detection film (that role belongs to bitewings, which better capture the approximal contact areas without foreshortening/elongation distortion), but they remain clinically valuable when combined with bitewing findings — particularly for assessing periapical pathology secondary to advanced/undetected caries, root morphology before restorative or endodontic treatment, and (together with bitewings) as one of the two standard intraoral radiograph types referenced when evaluating dental CBCT findings for amount, depth, and configuration of carious lesions.</w:t>
      </w:r>
      <w:r>
        <w:t xml:space="preserve"> [2, p.135]</w:t>
      </w:r>
    </w:p>
    <w:p>
      <w:pPr>
        <w:pStyle w:val="Heading3"/>
      </w:pPr>
      <w:r>
        <w:t>Cone Beam CT (CBCT)</w:t>
      </w:r>
    </w:p>
    <w:p>
      <w:pPr/>
      <w:r>
        <w:rPr>
          <w:i w:val="0"/>
        </w:rPr>
        <w:t>Dental CBCT provides three-dimensional imaging that overcomes a key limitation of 2D bitewing/periapical radiography: neither visual inspection nor standard bitewings can reliably discriminate a cavitated from a non-cavitated proximal lesion, whereas CBCT can detect cavitation more accurately.</w:t>
      </w:r>
      <w:r>
        <w:t xml:space="preserve"> [2, p.123]</w:t>
      </w:r>
    </w:p>
    <w:p>
      <w:pPr/>
      <w:r>
        <w:rPr>
          <w:b w:val="0"/>
        </w:rPr>
        <w:t>CBCT's own diagnostic reliability, however, is not uniform across situations — a genuinely nuanced, evidence-graded finding rather than a blanket endorsement:</w:t>
      </w:r>
    </w:p>
    <w:p>
      <w:pPr/>
      <w:r>
        <w:rPr>
          <w:b w:val="0"/>
          <w:i w:val="0"/>
        </w:rPr>
        <w:t>Primary (non-recurrent) interproximal caries without adjacent existing restorations can be diagnosed from CBCT at least as reliably as from conventional bitewing radiographs.</w:t>
      </w:r>
    </w:p>
    <w:p>
      <w:pPr/>
      <w:r>
        <w:rPr>
          <w:b w:val="0"/>
          <w:i w:val="0"/>
        </w:rPr>
        <w:t>Occlusal caries diagnosis is less reliable on CBCT, because the increased enamel thickness on occlusal surfaces interferes with detection accuracy.</w:t>
      </w:r>
    </w:p>
    <w:p>
      <w:pPr/>
      <w:r>
        <w:rPr>
          <w:b w:val="0"/>
          <w:i w:val="0"/>
        </w:rPr>
        <w:t>Recurrent caries diagnosis adjacent to existing (especially metallic) restorations is the least reliable CBCT application, due to beam-hardening/scatter artefacts from the restorative material.</w:t>
      </w:r>
    </w:p>
    <w:p>
      <w:pPr/>
      <w:r>
        <w:t>[2, p.134-135]</w:t>
      </w:r>
    </w:p>
    <w:p>
      <w:pPr/>
      <w:r>
        <w:t>CBCT also delivers a substantially higher radiation dose than bitewing radiography — roughly 10 to 100 times higher for the same region — so it should not be used solely for routine caries diagnosis; the recommended clinical position is that CBCT images obtained for another indication (e.g., endodontic or implant planning) should still be reviewed for incidental caries findings, and CBCT may be a helpful adjunct specifically to assess the cavitation status of an already-detected proximal lesion, rather than as a first-line caries detection tool.</w:t>
      </w:r>
      <w:r>
        <w:t xml:space="preserve"> [2, p.124]</w:t>
      </w:r>
    </w:p>
    <w:p>
      <w:pPr>
        <w:pStyle w:val="Heading3"/>
      </w:pPr>
      <w:r>
        <w:t>Digital vs. Conventional Radiography</w:t>
      </w:r>
    </w:p>
    <w:p>
      <w:pPr/>
      <w:r>
        <w:t>Digital bitewing radiography is generally assumed to offer several advantages over conventional film: reduced time and material costs, lower radiation dose, better image quality, and easier storage/transport of images.</w:t>
      </w:r>
      <w:r>
        <w:t xml:space="preserve"> [2, p.119]</w:t>
      </w:r>
    </w:p>
    <w:p>
      <w:pPr/>
      <w:r>
        <w:t>Several of these assumed advantages hold up only partially under closer evidence review, which is worth presenting honestly rather than as settled fact:</w:t>
      </w:r>
    </w:p>
    <w:p>
      <w:pPr/>
      <w:r>
        <w:rPr>
          <w:b w:val="0"/>
          <w:i w:val="0"/>
        </w:rPr>
        <w:t>Accuracy: early digital systems were inferior to conventional film for detecting proximal enamel caries, but more recent studies find digital radiography at least as accurate for both occlusal and proximal lesions in permanent and primary teeth — though this evidence is described as mostly based on in vitro studies.</w:t>
      </w:r>
    </w:p>
    <w:p>
      <w:pPr/>
      <w:r>
        <w:rPr>
          <w:b w:val="0"/>
          <w:i w:val="0"/>
        </w:rPr>
        <w:t>Radiation dose: although a single digital image uses 30-80% less radiation than film, the ACTUAL patient dose reduction is often smaller than assumed in practice, because dentists using digital systems have been shown to take more radiographs per week on average (42.8-48.4 for digital systems vs. 32.5 for conventional film) — partly attributed to easier handling and more frequent positioning errors requiring retakes.</w:t>
      </w:r>
    </w:p>
    <w:p>
      <w:pPr/>
      <w:r>
        <w:rPr>
          <w:b w:val="0"/>
          <w:i w:val="0"/>
        </w:rPr>
        <w:t>Time: digital radiography does save clinical time overall, mainly by eliminating conventional film processing, even though data on time lost to image post-processing/retakes is limited.</w:t>
      </w:r>
    </w:p>
    <w:p>
      <w:pPr/>
      <w:r>
        <w:t>[2, p.119-121]</w:t>
      </w:r>
    </w:p>
    <w:p>
      <w:pPr>
        <w:pStyle w:val="Heading2"/>
      </w:pPr>
      <w:r>
        <w:t>1.2.8 Advanced/Technology-Assisted Detection Methods</w:t>
      </w:r>
    </w:p>
    <w:p>
      <w:pPr>
        <w:spacing w:after="160"/>
        <w:jc w:val="both"/>
      </w:pPr>
      <w:r>
        <w:rPr>
          <w:b w:val="0"/>
          <w:i w:val="0"/>
        </w:rPr>
        <w:t>A substantial family of instrument-based detection aids exists for lesions equivocal on visual-tactile and radiographic examination, including laser fluorescence devices (e.g., DIAGNOdent), quantitative light-induced fluorescence (QLF), fibre-optic/near-infrared transillumination, and photothermal radiometry/modulated luminescence systems (the Canary System)</w:t>
      </w:r>
      <w:r>
        <w:rPr>
          <w:b w:val="0"/>
          <w:i w:val="0"/>
        </w:rPr>
        <w:t xml:space="preserve"> [2, p.ix-xi]</w:t>
      </w:r>
      <w:r>
        <w:rPr>
          <w:b w:val="0"/>
          <w:i w:val="0"/>
        </w:rPr>
        <w:t>. The Canary System directs a pulsed laser onto the tooth surface for approximately five seconds and collects the emitted infrared radiation and luminescence generated as the beam interacts with the crystalline structure of enamel and dentine, converting this into a graded “Canary Number” where higher numbers indicate greater suspicion of demineralization</w:t>
      </w:r>
      <w:r>
        <w:rPr>
          <w:b w:val="0"/>
          <w:i w:val="0"/>
        </w:rPr>
        <w:t xml:space="preserve"> [5, p.180]</w:t>
      </w:r>
      <w:r>
        <w:rPr>
          <w:b w:val="0"/>
          <w:i w:val="0"/>
        </w:rPr>
        <w:t>. In a documented case, a Canary scan of a mesial contact showing no decay on the corresponding bitewing nonetheless returned elevated Canary Numbers (40 and 25 from the mesiobuccal and mesiolingual embrasures), subsequently confirmed by cavity preparation to correspond to real, radiographically silent interproximal decay</w:t>
      </w:r>
      <w:r>
        <w:rPr>
          <w:b w:val="0"/>
          <w:i w:val="0"/>
        </w:rPr>
        <w:t xml:space="preserve"> [5, p.181]</w:t>
      </w:r>
      <w:r>
        <w:rPr>
          <w:b w:val="0"/>
          <w:i w:val="0"/>
        </w:rPr>
        <w:t>. These technologies are framed as adjuncts supporting, not replacing, visual-tactile examination, and most remain primarily of research interest because they do not themselves provide the activity judgement the final treatment decision depends on</w:t>
      </w:r>
      <w:r>
        <w:rPr>
          <w:b w:val="0"/>
          <w:i w:val="0"/>
        </w:rPr>
        <w:t xml:space="preserve"> [1, p.71]</w:t>
      </w:r>
      <w:r>
        <w:rPr>
          <w:b w:val="0"/>
          <w:i w:val="0"/>
        </w:rPr>
        <w:t xml:space="preserve">, </w:t>
      </w:r>
      <w:r>
        <w:rPr>
          <w:b w:val="0"/>
          <w:i w:val="0"/>
        </w:rPr>
        <w:t xml:space="preserve"> [2, p.1-2]</w:t>
      </w:r>
      <w:r>
        <w:rPr>
          <w:b w:val="0"/>
          <w:i w:val="0"/>
        </w:rPr>
        <w:t>.</w:t>
      </w:r>
    </w:p>
    <w:p>
      <w:pPr>
        <w:pStyle w:val="Heading3"/>
      </w:pPr>
      <w:r>
        <w:t>Micro-CT: The Research Reference Standard</w:t>
      </w:r>
    </w:p>
    <w:p>
      <w:pPr/>
      <w:r>
        <w:t>Micro-computed tomography (micro-CT) is not a routine chairside diagnostic tool — it is a laboratory/research imaging technique used to establish ground-truth lesion depth and structure against which clinical detection methods are validated. A direct comparison table cross-references ICDAS visual scores (0-6) against corresponding fibre-optic transillumination (FOTI) appearance AND micro-CT scan findings for the same lesions, allowing researchers to check whether a clinically visible/FOTI-detected change actually corresponds to real, measurable subsurface structural change — for example, an ICDAS code 2 (distinct visual enamel change) corresponds on micro-CT to a lesion extending to the enamel-dentine junction for proximal lesions specifically.</w:t>
      </w:r>
      <w:r>
        <w:t xml:space="preserve"> [2, p.141]</w:t>
      </w:r>
    </w:p>
    <w:p>
      <w:pPr/>
      <w:r>
        <w:t>Micro-CT has also been used specifically to validate caries REMOVAL technique effectiveness in ex vivo studies — assessing both caries removal effectiveness (CRE: residual carious volume and mineral density remaining at the cavity floor) and minimal invasiveness potential (MIP: how much sound tooth structure is preserved). One such study found chemomechanical excavation aided by conventional hand excavators gave the best combination of CRE and MIP, laser-guided removal gave the highest MIP but resulted in non-selective tissue removal, and rotary/oscillating instruments showed a tendency toward over-excavation, especially when guided by caries-detector dye.</w:t>
      </w:r>
      <w:r>
        <w:t xml:space="preserve"> [2, p.90]</w:t>
      </w:r>
    </w:p>
    <w:p>
      <w:pPr>
        <w:pStyle w:val="Heading3"/>
      </w:pPr>
      <w:r>
        <w:t>Detection-Device Limitations Near Existing Restorations (Advanced Operative Dentistry)</w:t>
      </w:r>
    </w:p>
    <w:p>
      <w:r>
        <w:t>A practical caveat largely absent from the classification-focused sources above: several instrument-based detection aids become unreliable specifically in the presence of an existing restoration — exactly the CAR (caries adjacent to restoration) scenario that dominates restorative recall visits. [8, p.4]</w:t>
      </w:r>
    </w:p>
    <w:p>
      <w:r>
        <w:rPr>
          <w:b/>
        </w:rPr>
        <w:t xml:space="preserve">Laser fluorescence (DIAGNOdent / DIAGNOdent pen): </w:t>
      </w:r>
      <w:r>
        <w:t>these devices detect fluorescence from bacterial porphyrins, but cannot distinguish that signal from fluorescence caused by simple staining around a restoration margin — both fluoresce, so a positive reading near a restoration does not reliably mean recurrent caries. [8, p.4]</w:t>
      </w:r>
    </w:p>
    <w:p>
      <w:r>
        <w:rPr>
          <w:b/>
        </w:rPr>
        <w:t xml:space="preserve">Electrical conductance methods: </w:t>
      </w:r>
      <w:r>
        <w:t>these can generate false-positive readings when used around metallic restorations, since the metal itself conducts. [8, p.4]</w:t>
      </w:r>
    </w:p>
    <w:p>
      <w:r>
        <w:t>The practical conclusion Advanced Operative Dentistry draws from this: clinical visual examination, supplemented with an intraoral radiograph, remains the examination of choice specifically for evaluating restoration margins and adjacent caries — the newer instrument-based aids are best reserved for primary (non-restoration-adjacent) lesions, where this interference does not apply. [8, p.4]</w:t>
      </w:r>
    </w:p>
    <w:p>
      <w:pPr>
        <w:pStyle w:val="Heading2"/>
      </w:pPr>
      <w:r>
        <w:t>1.2.9 Charting the Examination and Managing Diagnostic Uncertainty</w:t>
      </w:r>
    </w:p>
    <w:p>
      <w:pPr>
        <w:spacing w:after="160"/>
        <w:jc w:val="both"/>
      </w:pPr>
      <w:r>
        <w:rPr>
          <w:b w:val="0"/>
          <w:i w:val="0"/>
        </w:rPr>
        <w:t>A practical charting convention pairs colour with symbol: active lesions in red, inactive in blue, a line for non-cavitated and a circle for cavitated, updated at each recall so red (active) lesions can be watched converting to blue (controlled) over time</w:t>
      </w:r>
      <w:r>
        <w:rPr>
          <w:b w:val="0"/>
          <w:i w:val="0"/>
        </w:rPr>
        <w:t xml:space="preserve"> [1, p.71-72]</w:t>
      </w:r>
      <w:r>
        <w:rPr>
          <w:b w:val="0"/>
          <w:i w:val="0"/>
        </w:rPr>
        <w:t xml:space="preserve">. The recommended protocol sequences oral hygiene instruction </w:t>
      </w:r>
      <w:r>
        <w:rPr>
          <w:b w:val="0"/>
          <w:i/>
        </w:rPr>
        <w:t>before</w:t>
      </w:r>
      <w:r>
        <w:rPr>
          <w:b w:val="0"/>
          <w:i w:val="0"/>
        </w:rPr>
        <w:t xml:space="preserve"> the diagnostic examination, so the clinician can coach technique on the now-clean, isolated, dried quadrant before it is formally charted</w:t>
      </w:r>
      <w:r>
        <w:rPr>
          <w:b w:val="0"/>
          <w:i w:val="0"/>
        </w:rPr>
        <w:t xml:space="preserve"> [1, p.73]</w:t>
      </w:r>
      <w:r>
        <w:rPr>
          <w:b w:val="0"/>
          <w:i w:val="0"/>
        </w:rPr>
        <w:t>.</w:t>
      </w:r>
    </w:p>
    <w:p>
      <w:pPr>
        <w:spacing w:after="160"/>
        <w:jc w:val="both"/>
      </w:pPr>
      <w:r>
        <w:rPr>
          <w:b w:val="0"/>
          <w:i w:val="0"/>
        </w:rPr>
        <w:t xml:space="preserve">Because diagnosis is an uncertain “best guess,” the recommended decision rule is explicitly asymmetric: </w:t>
      </w:r>
      <w:r>
        <w:rPr>
          <w:b w:val="0"/>
          <w:i/>
        </w:rPr>
        <w:t>if in doubt about activity, treat the lesion as active</w:t>
      </w:r>
      <w:r>
        <w:rPr>
          <w:b w:val="0"/>
          <w:i w:val="0"/>
        </w:rPr>
        <w:t xml:space="preserve"> and institute non-operative measures, since nothing is lost; but </w:t>
      </w:r>
      <w:r>
        <w:rPr>
          <w:b w:val="0"/>
          <w:i/>
        </w:rPr>
        <w:t>if in doubt about cavitation</w:t>
      </w:r>
      <w:r>
        <w:rPr>
          <w:b w:val="0"/>
          <w:i w:val="0"/>
        </w:rPr>
        <w:t xml:space="preserve"> — i.e., whether an irreversible restorative decision is warranted — give the lesion the benefit of the doubt and review, rather than commit to a filling</w:t>
      </w:r>
      <w:r>
        <w:rPr>
          <w:b w:val="0"/>
          <w:i w:val="0"/>
        </w:rPr>
        <w:t xml:space="preserve"> [1, p.73]</w:t>
      </w:r>
      <w:r>
        <w:rPr>
          <w:b w:val="0"/>
          <w:i w:val="0"/>
        </w:rPr>
        <w:t>. This mirrors the ADA CCS's Undetermined (UD) category for exactly the same situation</w:t>
      </w:r>
      <w:r>
        <w:rPr>
          <w:b w:val="0"/>
          <w:i w:val="0"/>
        </w:rPr>
        <w:t xml:space="preserve"> [3, p.64]</w:t>
      </w:r>
      <w:r>
        <w:rPr>
          <w:b w:val="0"/>
          <w:i w:val="0"/>
        </w:rPr>
        <w:t>.</w:t>
      </w:r>
    </w:p>
    <w:p>
      <w:pPr>
        <w:pStyle w:val="Heading2"/>
      </w:pPr>
      <w:r>
        <w:t>1.2.10 Categorizing Overall Caries Status</w:t>
      </w:r>
    </w:p>
    <w:p>
      <w:pPr>
        <w:spacing w:after="160"/>
        <w:jc w:val="both"/>
      </w:pPr>
      <w:r>
        <w:rPr>
          <w:b w:val="0"/>
          <w:i w:val="0"/>
        </w:rPr>
        <w:t>Following history-taking and clinical/radiographic examination, the source recommends assigning each patient to one of three colour-coded overall categories: caries controlled (green); caries only partly controlled, with active lesions present but all risk factors potentially modifiable (orange); and caries control insufficient, with active lesions and unmodifiable or unidentified risk factors (red)</w:t>
      </w:r>
      <w:r>
        <w:rPr>
          <w:b w:val="0"/>
          <w:i w:val="0"/>
        </w:rPr>
        <w:t xml:space="preserve"> [1, p.73-74]</w:t>
      </w:r>
      <w:r>
        <w:rPr>
          <w:b w:val="0"/>
          <w:i w:val="0"/>
        </w:rPr>
        <w:t>. For the two “active” categories, the source recommends explicitly listing contributing factors, distinguishing modifiable (oral hygiene, diet) from non-modifiable ones (e.g., medication-related xerostomia)</w:t>
      </w:r>
      <w:r>
        <w:rPr>
          <w:b w:val="0"/>
          <w:i w:val="0"/>
        </w:rPr>
        <w:t xml:space="preserve"> [1, p.74]</w:t>
      </w:r>
      <w:r>
        <w:rPr>
          <w:b w:val="0"/>
          <w:i w:val="0"/>
        </w:rPr>
        <w:t xml:space="preserve"> — a categorization that leads directly into Sub-Module 1.3's risk-based management strategies.</w:t>
      </w:r>
    </w:p>
    <w:p>
      <w:r>
        <w:br w:type="page"/>
      </w:r>
    </w:p>
    <w:p>
      <w:pPr>
        <w:spacing w:after="160"/>
        <w:jc w:val="both"/>
      </w:pPr>
      <w:r>
        <w:rPr>
          <w:b/>
          <w:i w:val="0"/>
        </w:rPr>
        <w:t>Tier 3 — Supplementary Evidence from Journal Literature (DCNA)</w:t>
      </w:r>
    </w:p>
    <w:p>
      <w:pPr>
        <w:pStyle w:val="Heading2"/>
      </w:pPr>
      <w:r>
        <w:t>1.2.11 Supplementary: Decision-Making Synthesis in Caries Diagnosis</w:t>
      </w:r>
    </w:p>
    <w:p>
      <w:pPr>
        <w:spacing w:after="160"/>
        <w:jc w:val="both"/>
      </w:pPr>
      <w:r>
        <w:rPr>
          <w:b w:val="0"/>
          <w:i w:val="0"/>
        </w:rPr>
        <w:t xml:space="preserve">A 2019 </w:t>
      </w:r>
      <w:r>
        <w:rPr>
          <w:b w:val="0"/>
          <w:i/>
        </w:rPr>
        <w:t>Dental Clinics of North America</w:t>
      </w:r>
      <w:r>
        <w:rPr>
          <w:b w:val="0"/>
          <w:i w:val="0"/>
        </w:rPr>
        <w:t xml:space="preserve"> article extends the classification systems above into an explicit clinical </w:t>
      </w:r>
      <w:r>
        <w:rPr>
          <w:b/>
          <w:i w:val="0"/>
        </w:rPr>
        <w:t>decision-making framework</w:t>
      </w:r>
      <w:r>
        <w:rPr>
          <w:b w:val="0"/>
          <w:i w:val="0"/>
        </w:rPr>
        <w:t>, arguing that expert clinicians integrate caries diagnosis with risk assessment through a critical-thinking process that is rarely made explicit, and proposing that novices can be taught to emulate this expert thought process directly</w:t>
      </w:r>
      <w:r>
        <w:rPr>
          <w:b w:val="0"/>
          <w:i w:val="0"/>
        </w:rPr>
        <w:t xml:space="preserve"> [6, p.117]</w:t>
      </w:r>
      <w:r>
        <w:rPr>
          <w:b w:val="0"/>
          <w:i w:val="0"/>
        </w:rPr>
        <w:t xml:space="preserve">. The article's central critique of standard risk categories (“high / moderate / low”) is that they omit the </w:t>
      </w:r>
      <w:r>
        <w:rPr>
          <w:b w:val="0"/>
          <w:i/>
        </w:rPr>
        <w:t>time</w:t>
      </w:r>
      <w:r>
        <w:rPr>
          <w:b w:val="0"/>
          <w:i w:val="0"/>
        </w:rPr>
        <w:t xml:space="preserve"> dimension: because a patient's disease state is always either progressing or regressing rather than static, the article argues that lesion </w:t>
      </w:r>
      <w:r>
        <w:rPr>
          <w:b w:val="0"/>
          <w:i/>
        </w:rPr>
        <w:t>stage and activity</w:t>
      </w:r>
      <w:r>
        <w:rPr>
          <w:b w:val="0"/>
          <w:i w:val="0"/>
        </w:rPr>
        <w:t xml:space="preserve"> data (of exactly the kind the ADA CCS and Nyvad systems generate) should be built into the risk assessment itself, not treated as a separate step</w:t>
      </w:r>
      <w:r>
        <w:rPr>
          <w:b w:val="0"/>
          <w:i w:val="0"/>
        </w:rPr>
        <w:t xml:space="preserve"> [6, p.117]</w:t>
      </w:r>
      <w:r>
        <w:rPr>
          <w:b w:val="0"/>
          <w:i w:val="0"/>
        </w:rPr>
        <w:t>.</w:t>
      </w:r>
    </w:p>
    <w:p>
      <w:pPr>
        <w:spacing w:after="160"/>
        <w:jc w:val="both"/>
      </w:pPr>
      <w:r>
        <w:rPr>
          <w:b w:val="0"/>
          <w:i w:val="0"/>
        </w:rPr>
        <w:t xml:space="preserve">The article also frames caries diagnosis as inherently </w:t>
      </w:r>
      <w:r>
        <w:rPr>
          <w:b/>
          <w:i w:val="0"/>
        </w:rPr>
        <w:t>interprofessional</w:t>
      </w:r>
      <w:r>
        <w:rPr>
          <w:b w:val="0"/>
          <w:i w:val="0"/>
        </w:rPr>
        <w:t>, proposing that data gathering should draw on a structured set of questions from multiple members of a patient's wider health-care team — primary care (prioritising health conditions), pharmacy (which problems are drug-related), nursing (the patient's capacity to follow recommended treatment), nutrition (which problems are diet-related), social work (barriers to care), and dentistry (which problems directly affect general health) — on the rationale that patients with greater general-health and social risk are also at greater caries risk</w:t>
      </w:r>
      <w:r>
        <w:rPr>
          <w:b w:val="0"/>
          <w:i w:val="0"/>
        </w:rPr>
        <w:t xml:space="preserve"> [6, p.119]</w:t>
      </w:r>
      <w:r>
        <w:rPr>
          <w:b w:val="0"/>
          <w:i w:val="0"/>
        </w:rPr>
        <w:t>.</w:t>
      </w:r>
    </w:p>
    <w:p>
      <w:pPr>
        <w:spacing w:after="160"/>
        <w:jc w:val="both"/>
      </w:pPr>
      <w:r>
        <w:rPr>
          <w:b w:val="0"/>
          <w:i w:val="0"/>
        </w:rPr>
        <w:t xml:space="preserve">A worked case example illustrates the synthesis in practice: a 25-year-old convenience-store night-shift worker with free access to sugared beverages and snacks, a history of depression/anxiety treated with medications that cause dry mouth, inconsistent appointment attendance, and extensive active caries. The article's recommended thought process explicitly combines the </w:t>
      </w:r>
      <w:r>
        <w:rPr>
          <w:b w:val="0"/>
          <w:i/>
        </w:rPr>
        <w:t>caries lesion classification (stage and activity)</w:t>
      </w:r>
      <w:r>
        <w:rPr>
          <w:b w:val="0"/>
          <w:i w:val="0"/>
        </w:rPr>
        <w:t xml:space="preserve"> — i.e., data of exactly the type generated by the ADA CCS in Section 1.2.5 — with medication history (dry mouth), socioeconomic and behavioural risk factors (sugar access/frequency, compliance), and barriers to care, before arriving at a personalized management plan, rather than treating the lesion classification as a standalone diagnostic endpoint</w:t>
      </w:r>
      <w:r>
        <w:rPr>
          <w:b w:val="0"/>
          <w:i w:val="0"/>
        </w:rPr>
        <w:t xml:space="preserve"> [6, p.121]</w:t>
      </w:r>
      <w:r>
        <w:rPr>
          <w:b w:val="0"/>
          <w:i w:val="0"/>
        </w:rPr>
        <w:t>.</w:t>
      </w:r>
    </w:p>
    <w:p>
      <w:pPr>
        <w:spacing w:after="160"/>
        <w:jc w:val="both"/>
      </w:pPr>
      <w:r>
        <w:rPr>
          <w:b w:val="0"/>
          <w:i w:val="0"/>
        </w:rPr>
        <w:t>This supplementary source does not alter or contest anything in the textbook or ADA CCS tiers above; it adds a contemporary layer showing how the classification and activity data those tiers generate are meant to feed into a broader, patient-level diagnostic and risk synthesis in current clinical practice.</w:t>
      </w:r>
    </w:p>
    <w:p>
      <w:r>
        <w:br w:type="page"/>
      </w:r>
    </w:p>
    <w:p>
      <w:pPr>
        <w:pStyle w:val="Heading1"/>
      </w:pPr>
      <w:r>
        <w:t>References (Vancouver Style)</w:t>
      </w:r>
    </w:p>
    <w:p>
      <w:pPr>
        <w:spacing w:after="160"/>
        <w:jc w:val="both"/>
      </w:pPr>
      <w:r>
        <w:rPr>
          <w:b w:val="0"/>
          <w:i w:val="0"/>
        </w:rPr>
        <w:t>Numbered in citation order as first used in the text. Page numbers given in-text (e.g., [1, p.19]) refer to the page of the cited source, as printed in that source, on which the statement appears.</w:t>
      </w:r>
    </w:p>
    <w:p>
      <w:pPr>
        <w:spacing w:after="120"/>
        <w:ind w:left="432" w:hanging="432"/>
      </w:pPr>
      <w:r>
        <w:rPr>
          <w:sz w:val="20"/>
        </w:rPr>
        <w:t xml:space="preserve">1. </w:t>
      </w:r>
      <w:r>
        <w:rPr>
          <w:sz w:val="20"/>
        </w:rPr>
        <w:t>Kidd E, Fejerskov O. Essentials of Dental Caries. 4th ed. Oxford: Oxford University Press; 2016.</w:t>
      </w:r>
    </w:p>
    <w:p>
      <w:pPr>
        <w:spacing w:after="120"/>
        <w:ind w:left="432" w:hanging="432"/>
      </w:pPr>
      <w:r>
        <w:rPr>
          <w:sz w:val="20"/>
        </w:rPr>
        <w:t xml:space="preserve">2. </w:t>
      </w:r>
      <w:r>
        <w:rPr>
          <w:sz w:val="20"/>
        </w:rPr>
        <w:t>Zandona AF, Longbottom C, editors. Detection and Assessment of Dental Caries: A Clinical Guide. Cham: Springer Nature Switzerland AG; 2019.</w:t>
      </w:r>
    </w:p>
    <w:p>
      <w:pPr>
        <w:spacing w:after="120"/>
        <w:ind w:left="432" w:hanging="432"/>
      </w:pPr>
      <w:r>
        <w:rPr>
          <w:sz w:val="20"/>
        </w:rPr>
        <w:t xml:space="preserve">3. </w:t>
      </w:r>
      <w:r>
        <w:rPr>
          <w:sz w:val="20"/>
        </w:rPr>
        <w:t>Zeller G, Young DA, Novy B. The American Dental Association Caries Classification System (ADA CCS). In: Zandona AF, Longbottom C, editors. Detection and Assessment of Dental Caries: A Clinical Guide. Cham: Springer Nature Switzerland AG; 2019. p. 57–68. (Tables reproduced with permission from JADA.)</w:t>
      </w:r>
    </w:p>
    <w:p>
      <w:pPr>
        <w:spacing w:after="120"/>
        <w:ind w:left="432" w:hanging="432"/>
      </w:pPr>
      <w:r>
        <w:rPr>
          <w:sz w:val="20"/>
        </w:rPr>
        <w:t xml:space="preserve">4. </w:t>
      </w:r>
      <w:r>
        <w:rPr>
          <w:sz w:val="20"/>
        </w:rPr>
        <w:t>Ekstrand KR, Braga MMMB. Visual detection criteria using the International Caries Detection and Assessment System (ICDAS). In: Zandona AF, Longbottom C, editors. Detection and Assessment of Dental Caries: A Clinical Guide. Cham: Springer Nature Switzerland AG; 2019. p. 45–56.</w:t>
      </w:r>
    </w:p>
    <w:p>
      <w:pPr>
        <w:spacing w:after="120"/>
        <w:ind w:left="432" w:hanging="432"/>
      </w:pPr>
      <w:r>
        <w:rPr>
          <w:sz w:val="20"/>
        </w:rPr>
        <w:t xml:space="preserve">5. </w:t>
      </w:r>
      <w:r>
        <w:rPr>
          <w:sz w:val="20"/>
        </w:rPr>
        <w:t>Amaechi BT. Photothermal radiometry and modulated luminescence: the Canary System. In: Zandona AF, Longbottom C, editors. Detection and Assessment of Dental Caries: A Clinical Guide. Cham: Springer Nature Switzerland AG; 2019. p. 177–188.</w:t>
      </w:r>
    </w:p>
    <w:p>
      <w:pPr>
        <w:spacing w:after="120"/>
        <w:ind w:left="432" w:hanging="432"/>
      </w:pPr>
      <w:r>
        <w:rPr>
          <w:sz w:val="20"/>
        </w:rPr>
        <w:t xml:space="preserve">6. </w:t>
      </w:r>
      <w:r>
        <w:rPr>
          <w:sz w:val="20"/>
        </w:rPr>
        <w:t>Guzmán-Armstrong S, Johnsen DC. Caries management decision-making: diagnosis and synthesis. Dent Clin North Am. 2019;63(4):679–693.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2880"/>
          </w:tcPr>
          <w:p>
            <w:r>
              <w:rPr>
                <w:b/>
                <w:sz w:val="18"/>
              </w:rPr>
              <w:t>Sensitivity (detecting true caries)</w:t>
            </w:r>
          </w:p>
        </w:tc>
        <w:tc>
          <w:tcPr>
            <w:tcW w:type="dxa" w:w="2880"/>
          </w:tcPr>
          <w:p>
            <w:r>
              <w:rPr>
                <w:b/>
                <w:sz w:val="18"/>
              </w:rPr>
              <w:t>Specificity (correctly identifying sound surfaces)</w:t>
            </w:r>
          </w:p>
        </w:tc>
      </w:tr>
      <w:tr>
        <w:tc>
          <w:tcPr>
            <w:tcW w:type="dxa" w:w="2880"/>
          </w:tcPr>
          <w:p>
            <w:r>
              <w:rPr>
                <w:sz w:val="18"/>
              </w:rPr>
              <w:t>Bitewing radiograph</w:t>
            </w:r>
          </w:p>
        </w:tc>
        <w:tc>
          <w:tcPr>
            <w:tcW w:type="dxa" w:w="2880"/>
          </w:tcPr>
          <w:p>
            <w:r>
              <w:rPr>
                <w:sz w:val="18"/>
              </w:rPr>
              <w:t>40-65%</w:t>
            </w:r>
          </w:p>
        </w:tc>
        <w:tc>
          <w:tcPr>
            <w:tcW w:type="dxa" w:w="2880"/>
          </w:tcPr>
          <w:p>
            <w:r>
              <w:rPr>
                <w:sz w:val="18"/>
              </w:rPr>
              <w:t>98-99%</w:t>
            </w:r>
          </w:p>
        </w:tc>
      </w:tr>
      <w:tr>
        <w:tc>
          <w:tcPr>
            <w:tcW w:type="dxa" w:w="2880"/>
          </w:tcPr>
          <w:p>
            <w:r>
              <w:rPr>
                <w:sz w:val="18"/>
              </w:rPr>
              <w:t>Panoramic radiograph alone</w:t>
            </w:r>
          </w:p>
        </w:tc>
        <w:tc>
          <w:tcPr>
            <w:tcW w:type="dxa" w:w="2880"/>
          </w:tcPr>
          <w:p>
            <w:r>
              <w:rPr>
                <w:sz w:val="18"/>
              </w:rPr>
              <w:t>18%</w:t>
            </w:r>
          </w:p>
        </w:tc>
        <w:tc>
          <w:tcPr>
            <w:tcW w:type="dxa" w:w="2880"/>
          </w:tcPr>
          <w:p>
            <w:r>
              <w:rPr>
                <w:sz w:val="18"/>
              </w:rPr>
              <w:t>—</w:t>
            </w:r>
          </w:p>
        </w:tc>
      </w:tr>
      <w:tr>
        <w:tc>
          <w:tcPr>
            <w:tcW w:type="dxa" w:w="2880"/>
          </w:tcPr>
          <w:p>
            <w:r>
              <w:rPr>
                <w:sz w:val="18"/>
              </w:rPr>
              <w:t>Panoramic + bitewing combined</w:t>
            </w:r>
          </w:p>
        </w:tc>
        <w:tc>
          <w:tcPr>
            <w:tcW w:type="dxa" w:w="2880"/>
          </w:tcPr>
          <w:p>
            <w:r>
              <w:rPr>
                <w:sz w:val="18"/>
              </w:rPr>
              <w:t>41%</w:t>
            </w:r>
          </w:p>
        </w:tc>
        <w:tc>
          <w:tcPr>
            <w:tcW w:type="dxa" w:w="2880"/>
          </w:tcPr>
          <w:p>
            <w:r>
              <w:rPr>
                <w:sz w:val="18"/>
              </w:rPr>
              <w:t>—</w:t>
            </w:r>
          </w:p>
        </w:tc>
      </w:tr>
      <w:tr>
        <w:tc>
          <w:tcPr>
            <w:tcW w:type="dxa" w:w="2880"/>
          </w:tcPr>
          <w:p>
            <w:r>
              <w:rPr>
                <w:sz w:val="18"/>
              </w:rPr>
              <w:t>Full-mouth series</w:t>
            </w:r>
          </w:p>
        </w:tc>
        <w:tc>
          <w:tcPr>
            <w:tcW w:type="dxa" w:w="2880"/>
          </w:tcPr>
          <w:p>
            <w:r>
              <w:rPr>
                <w:sz w:val="18"/>
              </w:rPr>
              <w:t>70%</w:t>
            </w:r>
          </w:p>
        </w:tc>
        <w:tc>
          <w:tcPr>
            <w:tcW w:type="dxa" w:w="2880"/>
          </w:tcPr>
          <w:p>
            <w:r>
              <w:rPr>
                <w:sz w:val="18"/>
              </w:rPr>
              <w:t>—</w:t>
            </w:r>
          </w:p>
        </w:tc>
      </w:tr>
    </w:tbl>
    <w:p>
      <w:r>
        <w:rPr>
          <w:i/>
          <w:sz w:val="18"/>
        </w:rPr>
        <w:t>Source: [1, p.107]. Combining different radiographic procedures does not meaningfully improve overall sensitivity beyond these figures.</w:t>
      </w:r>
    </w:p>
    <w:p/>
    <w:p>
      <w:pPr>
        <w:spacing w:after="120"/>
        <w:ind w:left="432" w:hanging="432"/>
      </w:pPr>
      <w:r>
        <w:rPr>
          <w:sz w:val="20"/>
        </w:rPr>
        <w:t xml:space="preserve">7. </w:t>
      </w:r>
      <w:r>
        <w:rPr>
          <w:sz w:val="20"/>
        </w:rPr>
        <w:t>Roberson TM, Heymann HO, Swift EJ Jr, editors. Sturdevant's Art and Science of Operative Dentistry. 5th ed. St. Louis: Mosby (Elsevier); 2006. Chapter 3, “Cariology: The Lesion, Etiology, Prevention, and Control,” p.107.</w:t>
      </w:r>
    </w:p>
    <w:p>
      <w:r>
        <w:t>8. Ricketts D, ed. Advanced Operative Dentistry: A Practical Approach. Edinburgh: Churchill Livingstone/Elsevier;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