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MODULE 1: CONSERVATIVE &amp; RESTORATIVE DENTISTRY</w:t>
      </w:r>
    </w:p>
    <w:p>
      <w:pPr>
        <w:jc w:val="center"/>
      </w:pPr>
      <w:r>
        <w:rPr>
          <w:b/>
          <w:sz w:val="40"/>
        </w:rPr>
        <w:t>SUB-MODULE 1.3: CARIES RISK ASSESSMENT AND MANAGEMENT</w:t>
      </w:r>
    </w:p>
    <w:p/>
    <w:p>
      <w:pPr>
        <w:jc w:val="center"/>
      </w:pPr>
      <w:r>
        <w:rPr>
          <w:i/>
          <w:sz w:val="26"/>
        </w:rPr>
        <w:t>Compiled Study Notes — Organized by Topic</w:t>
      </w:r>
    </w:p>
    <w:p>
      <w:pPr>
        <w:jc w:val="center"/>
      </w:pPr>
      <w:r>
        <w:rPr>
          <w:i/>
          <w:sz w:val="24"/>
        </w:rPr>
        <w:t>Sources blended per topic: standardised textbook + ADA evidence-based guidelines + DCNA supplementary data, each fact page-cited</w:t>
      </w:r>
    </w:p>
    <w:p/>
    <w:p>
      <w:pPr>
        <w:jc w:val="center"/>
      </w:pPr>
      <w:r>
        <w:rPr>
          <w:sz w:val="22"/>
        </w:rPr>
        <w:t>Citation style: Vancouver (numbered, in-text, with page references)</w:t>
      </w:r>
    </w:p>
    <w:p>
      <w:r>
        <w:br w:type="page"/>
      </w:r>
    </w:p>
    <w:p>
      <w:pPr>
        <w:pStyle w:val="Heading1"/>
      </w:pPr>
      <w:r>
        <w:t>A Note on Sources and Referencing</w:t>
      </w:r>
    </w:p>
    <w:p>
      <w:pPr>
        <w:spacing w:after="120"/>
        <w:jc w:val="both"/>
      </w:pPr>
      <w:r>
        <w:rPr>
          <w:b w:val="0"/>
          <w:i w:val="0"/>
        </w:rPr>
        <w:t xml:space="preserve">This document is written as </w:t>
      </w:r>
      <w:r>
        <w:rPr>
          <w:b/>
          <w:i w:val="0"/>
        </w:rPr>
        <w:t>compiled study notes</w:t>
      </w:r>
      <w:r>
        <w:rPr>
          <w:b w:val="0"/>
          <w:i w:val="0"/>
        </w:rPr>
        <w:t xml:space="preserve"> (headers, bullet points, definition call-outs, and comparison tables) rather than continuous prose. Sources are blended </w:t>
      </w:r>
      <w:r>
        <w:rPr>
          <w:b/>
          <w:i w:val="0"/>
        </w:rPr>
        <w:t>by topic</w:t>
      </w:r>
      <w:r>
        <w:rPr>
          <w:b w:val="0"/>
          <w:i w:val="0"/>
        </w:rPr>
        <w:t xml:space="preserve"> rather than visually separated into tiers — but the underlying priority rule still governs </w:t>
      </w:r>
      <w:r>
        <w:rPr>
          <w:b w:val="0"/>
          <w:i/>
        </w:rPr>
        <w:t>which</w:t>
      </w:r>
      <w:r>
        <w:rPr>
          <w:b w:val="0"/>
          <w:i w:val="0"/>
        </w:rPr>
        <w:t xml:space="preserve"> source explains </w:t>
      </w:r>
      <w:r>
        <w:rPr>
          <w:b w:val="0"/>
          <w:i/>
        </w:rPr>
        <w:t>what</w:t>
      </w:r>
      <w:r>
        <w:rPr>
          <w:b w:val="0"/>
          <w:i w:val="0"/>
        </w:rPr>
        <w:t xml:space="preserve">: standardised-textbook explanation comes first in each topic, formal definitions/recommendations come from the authoritative body (the American Dental Association, ADA) wherever ADA has published one, and DCNA journal content is added only as supplementary, contemporary evidence. Every fact carries a Vancouver in-text citation </w:t>
      </w:r>
      <w:r>
        <w:rPr>
          <w:b w:val="0"/>
          <w:i/>
        </w:rPr>
        <w:t>[n, p.X]</w:t>
      </w:r>
      <w:r>
        <w:rPr>
          <w:b w:val="0"/>
          <w:i w:val="0"/>
        </w:rPr>
        <w:t xml:space="preserve"> traceable to a real page of a real source.</w:t>
      </w:r>
    </w:p>
    <w:p>
      <w:pPr>
        <w:spacing w:after="120"/>
      </w:pPr>
      <w:r>
        <w:rPr>
          <w:b/>
          <w:i w:val="0"/>
        </w:rPr>
        <w:t>Sources used in this document:</w:t>
      </w:r>
      <w:r>
        <w:t xml:space="preserve"> [11] Ricketts D, ed. Advanced Operative Dentistry: A Practical Approach — used for the "restorative cycle" concept and the caries-adjacent-to-restoration (CAR) reframing of "secondary caries".</w:t>
      </w:r>
    </w:p>
    <w:p>
      <w:pPr>
        <w:pStyle w:val="ListBullet"/>
        <w:spacing w:after="60"/>
      </w:pPr>
      <w:r>
        <w:rPr>
          <w:b w:val="0"/>
          <w:i w:val="0"/>
        </w:rPr>
        <w:t xml:space="preserve">Kidd E, Fejerskov O. Essentials of Dental Caries. 4th ed. Oxford: Oxford University Press; 2016. </w:t>
      </w:r>
      <w:r>
        <w:rPr>
          <w:b w:val="0"/>
          <w:i/>
        </w:rPr>
        <w:t>(standardised textbook)</w:t>
      </w:r>
    </w:p>
    <w:p>
      <w:pPr>
        <w:pStyle w:val="ListBullet"/>
        <w:spacing w:after="60"/>
      </w:pPr>
      <w:r>
        <w:rPr>
          <w:b w:val="0"/>
          <w:i w:val="0"/>
        </w:rPr>
        <w:t xml:space="preserve">Weyant RJ, Tracy SL, Anselmo TT, Beltrán-Aguilar ED, et al. Topical fluoride for caries prevention: executive summary of the updated clinical recommendations and supporting systematic review. J Am Dent Assoc. 2013;144(11):1279–1291, and its companion ADA Chairside Guide. </w:t>
      </w:r>
      <w:r>
        <w:rPr>
          <w:b w:val="0"/>
          <w:i/>
        </w:rPr>
        <w:t>(ADA — authoritative-body guideline)</w:t>
      </w:r>
    </w:p>
    <w:p>
      <w:pPr>
        <w:pStyle w:val="ListBullet"/>
        <w:spacing w:after="60"/>
      </w:pPr>
      <w:r>
        <w:rPr>
          <w:b w:val="0"/>
          <w:i w:val="0"/>
        </w:rPr>
        <w:t xml:space="preserve">Slayton RL, Urquhart O, Araujo MWB, et al. Evidence-based clinical practice guideline on nonrestorative treatments for carious lesions: a report from the American Dental Association. J Am Dent Assoc. 2018;149(10):837–849, and its companion ADA Chairside Guide. </w:t>
      </w:r>
      <w:r>
        <w:rPr>
          <w:b w:val="0"/>
          <w:i/>
        </w:rPr>
        <w:t>(ADA — authoritative-body guideline)</w:t>
      </w:r>
    </w:p>
    <w:p>
      <w:pPr>
        <w:pStyle w:val="ListBullet"/>
        <w:spacing w:after="60"/>
      </w:pPr>
      <w:r>
        <w:rPr>
          <w:b w:val="0"/>
          <w:i w:val="0"/>
        </w:rPr>
        <w:t xml:space="preserve">Nascimento MM. Approaches to modulate biofilm ecology. Dent Clin North Am. 2019;63(4):581–594. </w:t>
      </w:r>
      <w:r>
        <w:rPr>
          <w:b w:val="0"/>
          <w:i/>
        </w:rPr>
        <w:t>(DCNA — supplementary journal evidence)</w:t>
      </w:r>
    </w:p>
    <w:p>
      <w:pPr>
        <w:pStyle w:val="ListBullet"/>
        <w:spacing w:after="60"/>
      </w:pPr>
      <w:r>
        <w:rPr>
          <w:b w:val="0"/>
          <w:i w:val="0"/>
        </w:rPr>
        <w:t xml:space="preserve">American Academy of Pediatric Dentistry. Caries-risk assessment and management for infants, children, and adolescents. The Reference Manual of Pediatric Dentistry. Chicago, IL: AAPD; 2025:325–331. </w:t>
      </w:r>
      <w:r>
        <w:rPr>
          <w:b w:val="0"/>
          <w:i/>
        </w:rPr>
        <w:t>(AAPD — authoritative-body guideline, added as a patch per cross-check against the module outline)</w:t>
      </w:r>
    </w:p>
    <w:p>
      <w:pPr>
        <w:spacing w:after="120"/>
        <w:jc w:val="both"/>
      </w:pPr>
      <w:r>
        <w:rPr>
          <w:b w:val="0"/>
          <w:i w:val="0"/>
        </w:rPr>
        <w:t xml:space="preserve">Two ADA PDF source documents could not be reached through their JADA journal pages (paywalled, HTTP 403); the equivalent official content was obtained instead from the ADA's own free Chairside Guide PDFs summarizing the same guidelines, which are explicitly “adapted with permission” / published by the ADA itself — noted here as a sourcing substitution, per the skill's sourcing-discipline rule. In addition, all three fetched PDFs (two ADA, one AAPD) initially returned only binary/metadata via WebFetch's own text extraction; each was re-extracted locally with </w:t>
      </w:r>
      <w:r>
        <w:rPr>
          <w:b w:val="0"/>
          <w:i/>
        </w:rPr>
        <w:t>pymupdf</w:t>
      </w:r>
      <w:r>
        <w:rPr>
          <w:b w:val="0"/>
          <w:i w:val="0"/>
        </w:rPr>
        <w:t xml:space="preserve"> from the saved binary to obtain readable text.</w:t>
      </w:r>
    </w:p>
    <w:p>
      <w:r>
        <w:rPr>
          <w:b/>
        </w:rPr>
        <w:t xml:space="preserve">Fourth revision note: </w:t>
      </w:r>
      <w:r>
        <w:t>the user asked whether Advanced Operative Dentistry (Ricketts) — on the standing Module 1 secondary source list — had been checked for this sub-module; it had not been. Its Chapter 1 opens with the "restorative cycle" concept and a deliberate terminology correction ("secondary caries" → "caries adjacent to a restoration") that reframes why caries risk management, not just restoration quality, drives long-term outcomes — directly relevant to this sub-module's management focus. Added below.</w:t>
      </w:r>
    </w:p>
    <w:p>
      <w:r>
        <w:rPr>
          <w:b/>
        </w:rPr>
        <w:t xml:space="preserve">Third revision note: </w:t>
      </w:r>
      <w:r>
        <w:t>audited against the core operative textbooks. Sturdevant's (source [9]) adds Krasse's combined caries-activity-testing nuance and the full Caries-Control Restoration protocol (a genuinely distinct intermediate management strategy for acute caries, structured as Initial Treatment → Preliminary Assessment → Follow-up Care). Summitt's (source [10]) adds the Patient-Centered Caries Management (PCCM)/CAMBRA framework, including the “restorative cycle” critique of restoration-only management.</w:t>
      </w:r>
    </w:p>
    <w:p>
      <w:r>
        <w:rPr>
          <w:b/>
        </w:rPr>
        <w:t xml:space="preserve">Revision note: </w:t>
      </w:r>
      <w:r>
        <w:t>this document was expanded after initial delivery, when cross-checking against the Module 1 master outline surfaced gaps against the outline's 1.3.1 (OHI-S, salivary testing, dmfs), 1.3.3 (povidone-iodine), and 1.3.4 (tricalcium phosphate, bioactive glass) topics. New content added: Section 2A (DMFT/DMFS, OHI-S, salivary testing), Section 3.4 (povidone-iodine as an antimicrobial alongside chlorhexidine), and Section 4A (bioactive glass and tricalcium phosphate remineralization). Unlike the rest of this document, this new content draws partly on web-sourced journal articles (Amin et al. 2004; Wu et al. 2020) and one well-established but not independently re-verified methodology description (Greene &amp; Vermillion 1964), rather than solely the standing textbook library — each instance is flagged individually in the text where this applies.</w:t>
      </w:r>
    </w:p>
    <w:p>
      <w:r>
        <w:br w:type="page"/>
      </w:r>
    </w:p>
    <w:p>
      <w:pPr>
        <w:pStyle w:val="Heading1"/>
      </w:pPr>
      <w:r>
        <w:t>Sub-Module 1.3: Caries Risk Assessment and Management</w:t>
      </w:r>
    </w:p>
    <w:p>
      <w:pPr>
        <w:pStyle w:val="Heading2"/>
      </w:pPr>
      <w:r>
        <w:t>1. “Caries Control” vs. “Prevention” — Why the Terminology Matters</w:t>
      </w:r>
    </w:p>
    <w:p>
      <w:pPr>
        <w:spacing w:before="80" w:after="80"/>
      </w:pPr>
      <w:r>
        <w:rPr>
          <w:b/>
        </w:rPr>
        <w:t xml:space="preserve">DEFINITION — Caries control: </w:t>
      </w:r>
      <w:r>
        <w:rPr>
          <w:b w:val="0"/>
          <w:i w:val="0"/>
        </w:rPr>
        <w:t>the deliberate management of an ongoing, unavoidable biological process (dental biofilm formation and metabolism) so that it does not result in clinically visible lesion development, or so that existing lesions are arrested rather than left to progress.</w:t>
      </w:r>
      <w:r>
        <w:t xml:space="preserve"> [1, p.75]</w:t>
      </w:r>
    </w:p>
    <w:p>
      <w:pPr>
        <w:spacing w:after="120"/>
      </w:pPr>
      <w:r>
        <w:rPr>
          <w:b w:val="0"/>
          <w:i w:val="0"/>
        </w:rPr>
        <w:t xml:space="preserve">The source deliberately avoids the word “prevention”, arguing biofilm formation/metabolism cannot literally be prevented — </w:t>
      </w:r>
      <w:r>
        <w:rPr>
          <w:b w:val="0"/>
          <w:i/>
        </w:rPr>
        <w:t>everyone</w:t>
      </w:r>
      <w:r>
        <w:rPr>
          <w:b w:val="0"/>
          <w:i w:val="0"/>
        </w:rPr>
        <w:t xml:space="preserve"> with teeth is susceptible, from infancy to old age, because the process is intrinsic to having a dental biofilm at all</w:t>
      </w:r>
      <w:r>
        <w:rPr>
          <w:b w:val="0"/>
          <w:i w:val="0"/>
        </w:rPr>
        <w:t xml:space="preserve"> [1, p.75]</w:t>
      </w:r>
      <w:r>
        <w:rPr>
          <w:b w:val="0"/>
          <w:i w:val="0"/>
        </w:rPr>
        <w:t>.</w:t>
      </w:r>
    </w:p>
    <w:p>
      <w:pPr>
        <w:pStyle w:val="ListBullet"/>
        <w:spacing w:after="60"/>
      </w:pPr>
      <w:r>
        <w:rPr>
          <w:b w:val="0"/>
          <w:i w:val="0"/>
        </w:rPr>
        <w:t>Three everyday, patient-controlled pillars of caries control:</w:t>
      </w:r>
    </w:p>
    <w:p>
      <w:pPr>
        <w:pStyle w:val="ListBullet2"/>
        <w:spacing w:after="60"/>
      </w:pPr>
      <w:r>
        <w:rPr>
          <w:b/>
          <w:i w:val="0"/>
        </w:rPr>
        <w:t>Plaque (biofilm) control</w:t>
      </w:r>
    </w:p>
    <w:p>
      <w:pPr>
        <w:pStyle w:val="ListBullet2"/>
        <w:spacing w:after="60"/>
      </w:pPr>
      <w:r>
        <w:rPr>
          <w:b/>
          <w:i w:val="0"/>
        </w:rPr>
        <w:t>Fluoride use</w:t>
      </w:r>
    </w:p>
    <w:p>
      <w:pPr>
        <w:pStyle w:val="ListBullet2"/>
        <w:spacing w:after="60"/>
      </w:pPr>
      <w:r>
        <w:rPr>
          <w:b/>
          <w:i w:val="0"/>
        </w:rPr>
        <w:t>A sensible, non-draconian diet</w:t>
      </w:r>
    </w:p>
    <w:p>
      <w:pPr>
        <w:spacing w:after="120"/>
      </w:pPr>
      <w:r>
        <w:rPr>
          <w:b w:val="0"/>
          <w:i w:val="0"/>
        </w:rPr>
        <w:t>These three pillars are identified as the everyday levers of caries control</w:t>
      </w:r>
      <w:r>
        <w:rPr>
          <w:b w:val="0"/>
          <w:i w:val="0"/>
        </w:rPr>
        <w:t xml:space="preserve"> [1, p.76]</w:t>
      </w:r>
      <w:r>
        <w:rPr>
          <w:b w:val="0"/>
          <w:i w:val="0"/>
        </w:rPr>
        <w:t>.</w:t>
      </w:r>
    </w:p>
    <w:p>
      <w:pPr>
        <w:pStyle w:val="Heading2"/>
      </w:pPr>
      <w:r>
        <w:t>1A. The Restorative Cycle and "Caries Adjacent to a Restoration" (Advanced Operative Dentistry)</w:t>
      </w:r>
    </w:p>
    <w:p>
      <w:r>
        <w:t xml:space="preserve">When primary prevention fails and a carious lesion progresses to a microcavity or frank cavity that can no longer be kept clean of plaque, caries removal and restoration become necessary — the patient has, in this text's framing, entered the </w:t>
      </w:r>
      <w:r>
        <w:rPr>
          <w:i/>
        </w:rPr>
        <w:t>restorative cycle</w:t>
      </w:r>
      <w:r>
        <w:t>. [11, p.2]</w:t>
      </w:r>
    </w:p>
    <w:p>
      <w:r>
        <w:t>A significant proportion of a dentist's clinical time is spent replacing restorations, and the most common reason given is "secondary caries." Advanced Operative Dentistry argues this term is misleading, because it implies the restoration itself is the cause of the new lesion. That is only true in specific situations — ledges creating plaque-stagnation areas, poor contact points allowing food packing, or poor adaptation/bonding leading to microleakage. [11, p.2]</w:t>
      </w:r>
    </w:p>
    <w:p>
      <w:r>
        <w:t xml:space="preserve">Most so-called "secondary caries" is actually new caries forming adjacent to an existing restoration — better and more accurately termed </w:t>
      </w:r>
      <w:r>
        <w:rPr>
          <w:b/>
        </w:rPr>
        <w:t>caries adjacent to a restoration (CAR)</w:t>
      </w:r>
      <w:r>
        <w:t>. The appearance of CAR is significant beyond the tooth itself: it demonstrates that the patient's underlying caries risk remains high, and that restoring the tooth alone did nothing to change that risk. Restoring without managing the risk simply sets up the next cycle. [11, p.2]</w:t>
      </w:r>
    </w:p>
    <w:p>
      <w:r>
        <w:rPr>
          <w:b/>
        </w:rPr>
        <w:t xml:space="preserve">Clinical implication for indirect restorations specifically: </w:t>
      </w:r>
      <w:r>
        <w:t>indirect restorations are made on models from impressions, not packed directly into the cavity, so marginal fit, seating, and cement-lute exposure depend on laboratory accuracy rather than direct chairside adaptation. Marginal discrepancies on the order of 70 μm have been reported even in well-fitting indirect restorations, and poor plaque control around a poorly fitting, poorly contoured restoration raises risk for both new caries AND periodontal disease if the margins sit close to the gingiva — reinforcing why margin assessment (with a dental probe, checking for ledges) is part of ongoing risk management, not a one-time fitting step. [11, p.2]</w:t>
      </w:r>
    </w:p>
    <w:p>
      <w:r>
        <w:t>This directly reframes the practical takeaway of this sub-module: preventing recurrence of the restorative cycle requires managing the patient's caries risk (Sections 2 onward below), not simply choosing a better restorative material — a restoration, however well made, does not itself lower caries risk. [11, p.2]</w:t>
      </w:r>
    </w:p>
    <w:p>
      <w:pPr>
        <w:pStyle w:val="Heading2"/>
      </w:pPr>
      <w:r>
        <w:t>2. Caries-Risk Assessment Tools (AAPD)</w:t>
      </w:r>
    </w:p>
    <w:p>
      <w:pPr>
        <w:spacing w:after="120"/>
      </w:pPr>
      <w:r>
        <w:rPr>
          <w:b w:val="0"/>
          <w:i w:val="0"/>
        </w:rPr>
        <w:t xml:space="preserve">Before choosing a management protocol, the patient must first be assigned a risk category. The American Academy of Pediatric Dentistry's 2025 best-practice document — </w:t>
      </w:r>
      <w:r>
        <w:rPr>
          <w:b w:val="0"/>
          <w:i/>
        </w:rPr>
        <w:t>“Caries-risk Assessment and Management for Infants, Children, and Adolescents”</w:t>
      </w:r>
      <w:r>
        <w:rPr>
          <w:b w:val="0"/>
          <w:i w:val="0"/>
        </w:rPr>
        <w:t xml:space="preserve"> — is the current authoritative pediatric tool for this; two validated general tools, the </w:t>
      </w:r>
      <w:r>
        <w:rPr>
          <w:b w:val="0"/>
          <w:i/>
        </w:rPr>
        <w:t>Cariogram</w:t>
      </w:r>
      <w:r>
        <w:rPr>
          <w:b w:val="0"/>
          <w:i w:val="0"/>
        </w:rPr>
        <w:t xml:space="preserve"> and </w:t>
      </w:r>
      <w:r>
        <w:rPr>
          <w:b w:val="0"/>
          <w:i/>
        </w:rPr>
        <w:t>CAMBRA</w:t>
      </w:r>
      <w:r>
        <w:rPr>
          <w:b w:val="0"/>
          <w:i w:val="0"/>
        </w:rPr>
        <w:t>, are also named as having clinical-trial validation, unlike most other published risk tools</w:t>
      </w:r>
      <w:r>
        <w:rPr>
          <w:b w:val="0"/>
          <w:i w:val="0"/>
        </w:rPr>
        <w:t xml:space="preserve"> [5, p.325]</w:t>
      </w:r>
      <w:r>
        <w:rPr>
          <w:b w:val="0"/>
          <w:i w:val="0"/>
        </w:rPr>
        <w:t>.</w:t>
      </w:r>
    </w:p>
    <w:p>
      <w:pPr>
        <w:spacing w:before="80" w:after="80"/>
      </w:pPr>
      <w:r>
        <w:rPr>
          <w:b/>
        </w:rPr>
        <w:t xml:space="preserve">DEFINITION — Caries-risk assessment: </w:t>
      </w:r>
      <w:r>
        <w:rPr>
          <w:b w:val="0"/>
          <w:i w:val="0"/>
        </w:rPr>
        <w:t>the determination of the likelihood of increased caries incidence (new cavitated or incipient lesions) over a given time period, or the likelihood of a change in the size/activity of lesions already present.</w:t>
      </w:r>
      <w:r>
        <w:t xml:space="preserve"> [5, p.326]</w:t>
      </w:r>
    </w:p>
    <w:p>
      <w:pPr>
        <w:pStyle w:val="ListBullet"/>
        <w:spacing w:after="60"/>
      </w:pPr>
      <w:r>
        <w:rPr>
          <w:b w:val="0"/>
          <w:i w:val="0"/>
        </w:rPr>
        <w:t>Most-used caries-risk factors: low salivary flow, visible plaque, high-frequency sugar consumption, presence of an oral appliance, health challenges, sociodemographic factors, access to care, cariogenic microflora</w:t>
      </w:r>
      <w:r>
        <w:rPr>
          <w:b w:val="0"/>
          <w:i w:val="0"/>
        </w:rPr>
        <w:t xml:space="preserve"> [5, p.326]</w:t>
      </w:r>
    </w:p>
    <w:p>
      <w:pPr>
        <w:pStyle w:val="ListBullet"/>
        <w:spacing w:after="60"/>
      </w:pPr>
      <w:r>
        <w:rPr>
          <w:b w:val="0"/>
          <w:i w:val="0"/>
        </w:rPr>
        <w:t xml:space="preserve">Existing lesions (cavitated or noncavitated) and recent caries-related restorations are classed as </w:t>
      </w:r>
      <w:r>
        <w:rPr>
          <w:b w:val="0"/>
          <w:i/>
        </w:rPr>
        <w:t>disease indicators</w:t>
      </w:r>
      <w:r>
        <w:rPr>
          <w:b w:val="0"/>
          <w:i w:val="0"/>
        </w:rPr>
        <w:t>, not risk factors — they don't cause the disease themselves but signal that causative factors are present</w:t>
      </w:r>
      <w:r>
        <w:rPr>
          <w:b w:val="0"/>
          <w:i w:val="0"/>
        </w:rPr>
        <w:t xml:space="preserve"> [5, p.326]</w:t>
      </w:r>
    </w:p>
    <w:p>
      <w:pPr>
        <w:pStyle w:val="ListBullet"/>
        <w:spacing w:after="60"/>
      </w:pPr>
      <w:r>
        <w:rPr>
          <w:b w:val="0"/>
          <w:i w:val="0"/>
        </w:rPr>
        <w:t>Protective factors: optimally-fluoridated water, daily brushing with fluoridated toothpaste, professional topical fluoride, having a dental home/regular care</w:t>
      </w:r>
      <w:r>
        <w:rPr>
          <w:b w:val="0"/>
          <w:i w:val="0"/>
        </w:rPr>
        <w:t xml:space="preserve"> [5, p.326-327]</w:t>
      </w:r>
    </w:p>
    <w:p>
      <w:pPr>
        <w:spacing w:after="120"/>
      </w:pPr>
      <w:r>
        <w:rPr>
          <w:b/>
          <w:i w:val="0"/>
        </w:rPr>
        <w:t>Explicitly stated limitations of current risk-factor models</w:t>
      </w:r>
      <w:r>
        <w:rPr>
          <w:b w:val="0"/>
          <w:i w:val="0"/>
        </w:rPr>
        <w:t xml:space="preserve"> [5, p.327]</w:t>
      </w:r>
      <w:r>
        <w:rPr>
          <w:b w:val="0"/>
          <w:i w:val="0"/>
        </w:rPr>
        <w:t>:</w:t>
      </w:r>
    </w:p>
    <w:p>
      <w:pPr>
        <w:pStyle w:val="ListBullet"/>
        <w:spacing w:after="60"/>
      </w:pPr>
      <w:r>
        <w:rPr>
          <w:b w:val="0"/>
          <w:i w:val="0"/>
        </w:rPr>
        <w:t>Past caries experience not particularly useful in young children; lesion activity may matter more than lesion count</w:t>
      </w:r>
    </w:p>
    <w:p>
      <w:pPr>
        <w:pStyle w:val="ListBullet"/>
        <w:spacing w:after="60"/>
      </w:pPr>
      <w:r>
        <w:rPr>
          <w:b w:val="0"/>
          <w:i w:val="0"/>
        </w:rPr>
        <w:t>Low salivary flow is difficult to measure and may not be relevant in young children</w:t>
      </w:r>
    </w:p>
    <w:p>
      <w:pPr>
        <w:pStyle w:val="ListBullet"/>
        <w:spacing w:after="60"/>
      </w:pPr>
      <w:r>
        <w:rPr>
          <w:b w:val="0"/>
          <w:i w:val="0"/>
        </w:rPr>
        <w:t>Frequent sugar consumption is hard to quantify</w:t>
      </w:r>
    </w:p>
    <w:p>
      <w:pPr>
        <w:pStyle w:val="ListBullet"/>
        <w:spacing w:after="60"/>
      </w:pPr>
      <w:r>
        <w:rPr>
          <w:b w:val="0"/>
          <w:i w:val="0"/>
        </w:rPr>
        <w:t>Sociodemographic factors are only a proxy for the actual exposures/behaviours that matter</w:t>
      </w:r>
    </w:p>
    <w:p>
      <w:pPr>
        <w:pStyle w:val="ListBullet"/>
        <w:spacing w:after="60"/>
      </w:pPr>
      <w:r>
        <w:rPr>
          <w:b/>
          <w:i w:val="0"/>
        </w:rPr>
        <w:t>“Genome-level risk factors may account for substantial variations in caries risk” — explicitly named as an unresolved gap in current tools</w:t>
      </w:r>
      <w:r>
        <w:rPr>
          <w:b w:val="0"/>
          <w:i w:val="0"/>
        </w:rPr>
        <w:t xml:space="preserve"> [5, p.327]</w:t>
      </w:r>
    </w:p>
    <w:p>
      <w:pPr>
        <w:spacing w:after="120"/>
      </w:pPr>
      <w:r>
        <w:rPr>
          <w:b/>
          <w:i w:val="0"/>
        </w:rPr>
        <w:t>AAPD Caries-risk Assessment Form, ages 0–5 (Table 1, summarized):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Category</w:t>
            </w:r>
          </w:p>
        </w:tc>
        <w:tc>
          <w:tcPr>
            <w:tcW w:type="dxa" w:w="4320"/>
          </w:tcPr>
          <w:p>
            <w:r>
              <w:rPr>
                <w:b/>
                <w:sz w:val="18"/>
              </w:rPr>
              <w:t>Factors assessed (circle “Yes” if present)</w:t>
            </w:r>
          </w:p>
        </w:tc>
      </w:tr>
      <w:tr>
        <w:tc>
          <w:tcPr>
            <w:tcW w:type="dxa" w:w="4320"/>
          </w:tcPr>
          <w:p>
            <w:r>
              <w:rPr>
                <w:sz w:val="18"/>
              </w:rPr>
              <w:t>Risk — social/behavioral/medical</w:t>
            </w:r>
          </w:p>
        </w:tc>
        <w:tc>
          <w:tcPr>
            <w:tcW w:type="dxa" w:w="4320"/>
          </w:tcPr>
          <w:p>
            <w:r>
              <w:rPr>
                <w:sz w:val="18"/>
              </w:rPr>
              <w:t>Mother/caregiver has active caries; caregiver has lifetime poverty/low health literacy; child has &gt;3x/day between-meal sugary snacks/drinks; child uses a bottle/nonspill cup with sugar between meals or at bedtime; child is a recent immigrant; child has special health care needs</w:t>
            </w:r>
          </w:p>
        </w:tc>
      </w:tr>
      <w:tr>
        <w:tc>
          <w:tcPr>
            <w:tcW w:type="dxa" w:w="4320"/>
          </w:tcPr>
          <w:p>
            <w:r>
              <w:rPr>
                <w:sz w:val="18"/>
              </w:rPr>
              <w:t>Risk — clinical</w:t>
            </w:r>
          </w:p>
        </w:tc>
        <w:tc>
          <w:tcPr>
            <w:tcW w:type="dxa" w:w="4320"/>
          </w:tcPr>
          <w:p>
            <w:r>
              <w:rPr>
                <w:sz w:val="18"/>
              </w:rPr>
              <w:t>Visible plaque on teeth; dental enamel defects present</w:t>
            </w:r>
          </w:p>
        </w:tc>
      </w:tr>
      <w:tr>
        <w:tc>
          <w:tcPr>
            <w:tcW w:type="dxa" w:w="4320"/>
          </w:tcPr>
          <w:p>
            <w:r>
              <w:rPr>
                <w:sz w:val="18"/>
              </w:rPr>
              <w:t>Protective</w:t>
            </w:r>
          </w:p>
        </w:tc>
        <w:tc>
          <w:tcPr>
            <w:tcW w:type="dxa" w:w="4320"/>
          </w:tcPr>
          <w:p>
            <w:r>
              <w:rPr>
                <w:sz w:val="18"/>
              </w:rPr>
              <w:t>Optimally-fluoridated water/supplements; daily brushing with fluoridated toothpaste; professional topical fluoride; has a dental home/regular care</w:t>
            </w:r>
          </w:p>
        </w:tc>
      </w:tr>
      <w:tr>
        <w:tc>
          <w:tcPr>
            <w:tcW w:type="dxa" w:w="4320"/>
          </w:tcPr>
          <w:p>
            <w:r>
              <w:rPr>
                <w:sz w:val="18"/>
              </w:rPr>
              <w:t>Disease indicators</w:t>
            </w:r>
          </w:p>
        </w:tc>
        <w:tc>
          <w:tcPr>
            <w:tcW w:type="dxa" w:w="4320"/>
          </w:tcPr>
          <w:p>
            <w:r>
              <w:rPr>
                <w:sz w:val="18"/>
              </w:rPr>
              <w:t>Noncavitated (incipient/white spot) lesions; visible cavitated lesions; recent restorations or teeth missing due to caries</w:t>
            </w:r>
          </w:p>
        </w:tc>
      </w:tr>
    </w:tbl>
    <w:p>
      <w:r>
        <w:rPr>
          <w:i/>
          <w:sz w:val="18"/>
        </w:rPr>
        <w:t>Source: [5, p.326], Table 1. Scoring: no fixed point system — clinician weighs the balance of Yes-responses across categories, using clinical judgement, to assign an overall Low / Moderate / High risk level (one heavily-weighted factor, e.g. heavy visible plaque, may justify a higher category on its own). Adapted with permission from the California Dental Association (Ramos-Gomez et al.), © Oct 2007, as reproduced in [5].</w:t>
      </w:r>
    </w:p>
    <w:p/>
    <w:p>
      <w:pPr>
        <w:spacing w:after="120"/>
      </w:pPr>
      <w:r>
        <w:rPr>
          <w:b/>
          <w:i w:val="0"/>
        </w:rPr>
        <w:t>AAPD Caries-Management Pathway, ages 0–5, by risk category (Table 3, summarized):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Risk category</w:t>
            </w:r>
          </w:p>
        </w:tc>
        <w:tc>
          <w:tcPr>
            <w:tcW w:type="dxa" w:w="2160"/>
          </w:tcPr>
          <w:p>
            <w:r>
              <w:rPr>
                <w:b/>
                <w:sz w:val="18"/>
              </w:rPr>
              <w:t>Recall / radiograph interval</w:t>
            </w:r>
          </w:p>
        </w:tc>
        <w:tc>
          <w:tcPr>
            <w:tcW w:type="dxa" w:w="2160"/>
          </w:tcPr>
          <w:p>
            <w:r>
              <w:rPr>
                <w:b/>
                <w:sz w:val="18"/>
              </w:rPr>
              <w:t>Fluoride</w:t>
            </w:r>
          </w:p>
        </w:tc>
        <w:tc>
          <w:tcPr>
            <w:tcW w:type="dxa" w:w="2160"/>
          </w:tcPr>
          <w:p>
            <w:r>
              <w:rPr>
                <w:b/>
                <w:sz w:val="18"/>
              </w:rPr>
              <w:t>Restorative approach</w:t>
            </w:r>
          </w:p>
        </w:tc>
      </w:tr>
      <w:tr>
        <w:tc>
          <w:tcPr>
            <w:tcW w:type="dxa" w:w="2160"/>
          </w:tcPr>
          <w:p>
            <w:r>
              <w:rPr>
                <w:sz w:val="18"/>
              </w:rPr>
              <w:t>Low</w:t>
            </w:r>
          </w:p>
        </w:tc>
        <w:tc>
          <w:tcPr>
            <w:tcW w:type="dxa" w:w="2160"/>
          </w:tcPr>
          <w:p>
            <w:r>
              <w:rPr>
                <w:sz w:val="18"/>
              </w:rPr>
              <w:t>Recall 6–12 mo; radiographs 12–24 mo</w:t>
            </w:r>
          </w:p>
        </w:tc>
        <w:tc>
          <w:tcPr>
            <w:tcW w:type="dxa" w:w="2160"/>
          </w:tcPr>
          <w:p>
            <w:r>
              <w:rPr>
                <w:sz w:val="18"/>
              </w:rPr>
              <w:t>Fluoridated water + 2x daily fluoridated-toothpaste brushing</w:t>
            </w:r>
          </w:p>
        </w:tc>
        <w:tc>
          <w:tcPr>
            <w:tcW w:type="dxa" w:w="2160"/>
          </w:tcPr>
          <w:p>
            <w:r>
              <w:rPr>
                <w:sz w:val="18"/>
              </w:rPr>
              <w:t>Surveillance only</w:t>
            </w:r>
          </w:p>
        </w:tc>
      </w:tr>
      <w:tr>
        <w:tc>
          <w:tcPr>
            <w:tcW w:type="dxa" w:w="2160"/>
          </w:tcPr>
          <w:p>
            <w:r>
              <w:rPr>
                <w:sz w:val="18"/>
              </w:rPr>
              <w:t>Moderate</w:t>
            </w:r>
          </w:p>
        </w:tc>
        <w:tc>
          <w:tcPr>
            <w:tcW w:type="dxa" w:w="2160"/>
          </w:tcPr>
          <w:p>
            <w:r>
              <w:rPr>
                <w:sz w:val="18"/>
              </w:rPr>
              <w:t>Recall 6 mo; radiographs 6–12 mo</w:t>
            </w:r>
          </w:p>
        </w:tc>
        <w:tc>
          <w:tcPr>
            <w:tcW w:type="dxa" w:w="2160"/>
          </w:tcPr>
          <w:p>
            <w:r>
              <w:rPr>
                <w:sz w:val="18"/>
              </w:rPr>
              <w:t>As low risk + professional topical fluoride every 6 months</w:t>
            </w:r>
          </w:p>
        </w:tc>
        <w:tc>
          <w:tcPr>
            <w:tcW w:type="dxa" w:w="2160"/>
          </w:tcPr>
          <w:p>
            <w:r>
              <w:rPr>
                <w:sz w:val="18"/>
              </w:rPr>
              <w:t>Active surveillance of noncavitated (white spot) lesions; restore cavitated/enlarging lesions</w:t>
            </w:r>
          </w:p>
        </w:tc>
      </w:tr>
      <w:tr>
        <w:tc>
          <w:tcPr>
            <w:tcW w:type="dxa" w:w="2160"/>
          </w:tcPr>
          <w:p>
            <w:r>
              <w:rPr>
                <w:sz w:val="18"/>
              </w:rPr>
              <w:t>High</w:t>
            </w:r>
          </w:p>
        </w:tc>
        <w:tc>
          <w:tcPr>
            <w:tcW w:type="dxa" w:w="2160"/>
          </w:tcPr>
          <w:p>
            <w:r>
              <w:rPr>
                <w:sz w:val="18"/>
              </w:rPr>
              <w:t>Recall 3 mo; radiographs every 6 mo</w:t>
            </w:r>
          </w:p>
        </w:tc>
        <w:tc>
          <w:tcPr>
            <w:tcW w:type="dxa" w:w="2160"/>
          </w:tcPr>
          <w:p>
            <w:r>
              <w:rPr>
                <w:sz w:val="18"/>
              </w:rPr>
              <w:t>As moderate + professional topical fluoride every 3 months + SDF on cavitated lesions</w:t>
            </w:r>
          </w:p>
        </w:tc>
        <w:tc>
          <w:tcPr>
            <w:tcW w:type="dxa" w:w="2160"/>
          </w:tcPr>
          <w:p>
            <w:r>
              <w:rPr>
                <w:sz w:val="18"/>
              </w:rPr>
              <w:t>Active surveillance of noncavitated lesions; restore cavitated/enlarging lesions; interim therapeutic restorations (ITR) until permanent restorations feasible</w:t>
            </w:r>
          </w:p>
        </w:tc>
      </w:tr>
    </w:tbl>
    <w:p>
      <w:r>
        <w:rPr>
          <w:i/>
          <w:sz w:val="18"/>
        </w:rPr>
        <w:t>Source: [5, p.328], Table 3. Twice-daily brushing = parent-supervised smear (&lt;age 3) or pea-size amount (ages 3-5) of fluoridated toothpaste. “Active surveillance” = active measures by parents/professionals to reduce the cariogenic environment and monitor for progression, distinct from passive surveillance.</w:t>
      </w:r>
    </w:p>
    <w:p/>
    <w:p>
      <w:pPr>
        <w:spacing w:after="120"/>
        <w:jc w:val="both"/>
      </w:pPr>
      <w:r>
        <w:rPr>
          <w:b w:val="0"/>
          <w:i w:val="0"/>
        </w:rPr>
        <w:t xml:space="preserve">Structural tension noted by the source: dentists are remunerated for </w:t>
      </w:r>
      <w:r>
        <w:rPr>
          <w:b w:val="0"/>
          <w:i/>
        </w:rPr>
        <w:t>operative</w:t>
      </w:r>
      <w:r>
        <w:rPr>
          <w:b w:val="0"/>
          <w:i w:val="0"/>
        </w:rPr>
        <w:t xml:space="preserve"> treatment (fillings) but only minimally for caries-control work (checking fluoride dosing, verifying hygiene ability, reviewing diet diaries) — restoring a tooth without fixing the underlying imbalance risks a repeating “repair cycle” that can end in tooth loss</w:t>
      </w:r>
      <w:r>
        <w:rPr>
          <w:b w:val="0"/>
          <w:i w:val="0"/>
        </w:rPr>
        <w:t xml:space="preserve"> [1, p.76]</w:t>
      </w:r>
      <w:r>
        <w:rPr>
          <w:b w:val="0"/>
          <w:i w:val="0"/>
        </w:rPr>
        <w:t>.</w:t>
      </w:r>
    </w:p>
    <w:p>
      <w:pPr>
        <w:pStyle w:val="Heading2"/>
      </w:pPr>
      <w:r>
        <w:t>2A. Population and Individual Indices Used Alongside the AAPD Tool</w:t>
      </w:r>
    </w:p>
    <w:p>
      <w:r>
        <w:t>Beyond the AAPD's individual-patient risk categorization (Section 2 above), two further measurement tools appear in the caries literature and are worth distinguishing clearly: an epidemiological disease-burden index (DMFT/DMFS) and a hygiene-status index (OHI-S) — neither of which is itself a risk-CATEGORIZATION tool, but both inform the risk picture.</w:t>
      </w:r>
    </w:p>
    <w:p>
      <w:pPr>
        <w:pStyle w:val="Heading3"/>
      </w:pPr>
      <w:r>
        <w:t>The DMFT/DMFS Index</w:t>
      </w:r>
    </w:p>
    <w:p>
      <w:r>
        <w:rPr>
          <w:b w:val="0"/>
        </w:rPr>
        <w:t>DMFT/S = D (decayed teeth) + M (missing due to caries) + F (filled), i.e. the total disease experience of an individual or population.</w:t>
      </w:r>
    </w:p>
    <w:p>
      <w:r>
        <w:t xml:space="preserve"> [1, p.170]</w:t>
      </w:r>
    </w:p>
    <w:p>
      <w:pPr>
        <w:pStyle w:val="ListBullet"/>
      </w:pPr>
      <w:r>
        <w:t>DMFT is scored at the TOOTH level (up to 32 in a fully dentate adult) — a tooth counts once regardless of how many surfaces are affected.</w:t>
      </w:r>
    </w:p>
    <w:p>
      <w:pPr>
        <w:pStyle w:val="ListBullet"/>
      </w:pPr>
      <w:r>
        <w:t>DMFS is scored at the SURFACE level (5 surfaces per molar/premolar: occlusal, mesial, distal, buccal, lingual; 4 surfaces per anterior tooth) — the same tooth can therefore contribute multiple points to a DMFS score, making DMFS a more sensitive (but also more skewed) measure of disease burden than DMFT.</w:t>
      </w:r>
    </w:p>
    <w:p>
      <w:r>
        <w:t>[1, p.170]</w:t>
      </w:r>
    </w:p>
    <w:p>
      <w:r>
        <w:rPr>
          <w:b w:val="0"/>
        </w:rPr>
        <w:t xml:space="preserve">DMFT/S is a </w:t>
      </w:r>
      <w:r>
        <w:rPr>
          <w:b/>
        </w:rPr>
        <w:t>population/epidemiological</w:t>
      </w:r>
      <w:r>
        <w:t xml:space="preserve"> burden-of-disease measure, not an individual chairside risk-categorization tool like the AAPD CRA — it describes how much disease HAS occurred, not how likely FUTURE disease is, though a rising DMFS increment over successive visits is itself one useful indicator that can feed into an individual risk judgment.</w:t>
      </w:r>
    </w:p>
    <w:p>
      <w:r>
        <w:t>[1, p.170]</w:t>
      </w:r>
    </w:p>
    <w:p>
      <w:pPr>
        <w:pStyle w:val="Heading3"/>
      </w:pPr>
      <w:r>
        <w:t>The Simplified Oral Hygiene Index (OHI-S)</w:t>
      </w:r>
    </w:p>
    <w:p>
      <w:r>
        <w:t>OHI-S measures plaque/debris and calculus accumulation directly, as a proxy for oral hygiene effectiveness, rather than measuring caries experience itself. It scores six specific tooth surfaces — the buccal surfaces of both upper first molars, the lingual surfaces of both lower first molars, and the labial surfaces of the upper right and lower left central incisors — for both a debris component (0-3) and a calculus component (0-3), each combined into a 0-6 composite score.</w:t>
      </w:r>
    </w:p>
    <w:p>
      <w:pPr>
        <w:pStyle w:val="ListBullet"/>
      </w:pPr>
      <w:r>
        <w:t>Debris score 0 = no debris/stain present.</w:t>
      </w:r>
    </w:p>
    <w:p>
      <w:pPr>
        <w:pStyle w:val="ListBullet"/>
      </w:pPr>
      <w:r>
        <w:t>Debris score 1 = soft debris covering no more than one-third of the surface, or extrinsic stain without other debris.</w:t>
      </w:r>
    </w:p>
    <w:p>
      <w:pPr>
        <w:pStyle w:val="ListBullet"/>
      </w:pPr>
      <w:r>
        <w:t>Debris score 2 = soft debris covering more than one-third but not more than two-thirds of the surface.</w:t>
      </w:r>
    </w:p>
    <w:p>
      <w:pPr>
        <w:pStyle w:val="ListBullet"/>
      </w:pPr>
      <w:r>
        <w:t>Debris score 3 = soft debris covering more than two-thirds of the surface.</w:t>
      </w:r>
    </w:p>
    <w:p>
      <w:r>
        <w:t>The calculus component is scored on the same six surfaces using an analogous 0-3 scale. Originally described by Greene and Vermillion in 1964, OHI-S remains the standard epidemiological/research index for plaque and calculus status and is widely used to evaluate the effectiveness of oral hygiene interventions.</w:t>
      </w:r>
      <w:r>
        <w:t xml:space="preserve"> [6]</w:t>
      </w:r>
    </w:p>
    <w:p>
      <w:r>
        <w:rPr>
          <w:b/>
        </w:rPr>
        <w:t xml:space="preserve">Transparency note: </w:t>
      </w:r>
      <w:r>
        <w:t>unlike the rest of this document, OHI-S content was not available in the standing textbook library used for this module and was instead sourced from the original Greene &amp; Vermillion methodology as it is universally described in dental public health literature. No single page-specific primary-source PDF was locally available to verify against, so this entry is flagged as background/consensus knowledge rather than a page-cited textbook extraction.</w:t>
      </w:r>
    </w:p>
    <w:p>
      <w:pPr>
        <w:pStyle w:val="Heading3"/>
      </w:pPr>
      <w:r>
        <w:t>Salivary Testing — A Deliberately Limited Role</w:t>
      </w:r>
    </w:p>
    <w:p>
      <w:r>
        <w:t xml:space="preserve">Commercial chairside salivary tests (e.g., microbiological counts of specific cariogenic organisms) exist but are explicitly described as </w:t>
      </w:r>
      <w:r>
        <w:rPr>
          <w:i/>
        </w:rPr>
        <w:t>not needed</w:t>
      </w:r>
      <w:r>
        <w:t xml:space="preserve"> for routine caries-activity assessment. Caries activity is instead assessed mainly through clinical examination — counting active (cavitated and non-cavitated) lesions and their locations — supplemented by the patient's recent caries history (number of new lesions/fillings over the preceding 1-3 years), which is described as “most valuable” information. A yearly increment of one or more new lesions indicates a high rate of disease progression.</w:t>
      </w:r>
    </w:p>
    <w:p>
      <w:r>
        <w:t xml:space="preserve"> [1, p.139]</w:t>
      </w:r>
    </w:p>
    <w:p>
      <w:r>
        <w:t>This is a genuinely useful, honest textbook position to note: it actively argues AGAINST relying on salivary/microbiological testing as a routine tool, in favour of simpler clinical-history-based risk judgment — a specific, citable stance rather than a gap left unaddressed by the source.</w:t>
      </w:r>
    </w:p>
    <w:p>
      <w:r>
        <w:rPr>
          <w:b/>
        </w:rPr>
        <w:t xml:space="preserve">A second-opinion nuance (Sturdevant's): </w:t>
      </w:r>
      <w:r>
        <w:t>no single caries activity test (including salivary microbiological tests) can predict caries risk with high confidence, since free-floating salivary bacteria may not represent actual plaque bacteria, and plaque-index-only tests are similarly insufficient alone. However, Krasse's published assessment protocol — combining microbiological testing (mutans streptococci and lactobacilli counts) WITH separate dietary and salivary analyses — is described as having more promise for accuracy than any single test alone. Individual tests remain clinically useful despite their limitations: guiding decisions on control-measure intensity, recall timing, and restorative material choice, and for motivating patients and tracking treatment compliance. This adds real nuance to the more skeptical stance already noted above (Essentials of Dental Caries dismissing salivary tests as unnecessary): the two sources agree that testing ALONE is insufficient, but Sturdevant's is less dismissive of a properly COMBINED multi-test approach specifically.</w:t>
      </w:r>
      <w:r>
        <w:t xml:space="preserve"> [9, p.109]</w:t>
      </w:r>
    </w:p>
    <w:p>
      <w:pPr>
        <w:pStyle w:val="Heading2"/>
      </w:pPr>
      <w:r>
        <w:t>3. Oral Hygiene / Plaque (Biofilm) Control</w:t>
      </w:r>
    </w:p>
    <w:p>
      <w:pPr>
        <w:spacing w:after="120"/>
      </w:pPr>
      <w:r>
        <w:rPr>
          <w:b/>
          <w:i w:val="0"/>
        </w:rPr>
        <w:t>Why it matters:</w:t>
      </w:r>
      <w:r>
        <w:rPr>
          <w:b w:val="0"/>
          <w:i w:val="0"/>
        </w:rPr>
        <w:t xml:space="preserve"> caries lesions form as a direct consequence of biofilm metabolic events, so mechanical plaque control is described as “the cornerstone of non-operative treatment”</w:t>
      </w:r>
      <w:r>
        <w:rPr>
          <w:b w:val="0"/>
          <w:i w:val="0"/>
        </w:rPr>
        <w:t xml:space="preserve"> [1, p.76]</w:t>
      </w:r>
      <w:r>
        <w:rPr>
          <w:b w:val="0"/>
          <w:i w:val="0"/>
        </w:rPr>
        <w:t>.</w:t>
      </w:r>
    </w:p>
    <w:p>
      <w:pPr>
        <w:pStyle w:val="Heading3"/>
      </w:pPr>
      <w:r>
        <w:t>3.1 Toothbrushing — Age-Specific Recommendations (Textbook)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Age</w:t>
            </w:r>
          </w:p>
        </w:tc>
        <w:tc>
          <w:tcPr>
            <w:tcW w:type="dxa" w:w="2160"/>
          </w:tcPr>
          <w:p>
            <w:r>
              <w:rPr>
                <w:b/>
                <w:sz w:val="18"/>
              </w:rPr>
              <w:t>Fluoride concentration</w:t>
            </w:r>
          </w:p>
        </w:tc>
        <w:tc>
          <w:tcPr>
            <w:tcW w:type="dxa" w:w="2160"/>
          </w:tcPr>
          <w:p>
            <w:r>
              <w:rPr>
                <w:b/>
                <w:sz w:val="18"/>
              </w:rPr>
              <w:t>Amount used</w:t>
            </w:r>
          </w:p>
        </w:tc>
        <w:tc>
          <w:tcPr>
            <w:tcW w:type="dxa" w:w="2160"/>
          </w:tcPr>
          <w:p>
            <w:r>
              <w:rPr>
                <w:b/>
                <w:sz w:val="18"/>
              </w:rPr>
              <w:t>Notes</w:t>
            </w:r>
          </w:p>
        </w:tc>
      </w:tr>
      <w:tr>
        <w:tc>
          <w:tcPr>
            <w:tcW w:type="dxa" w:w="2160"/>
          </w:tcPr>
          <w:p>
            <w:r>
              <w:rPr>
                <w:sz w:val="18"/>
              </w:rPr>
              <w:t>First primary tooth onward</w:t>
            </w:r>
          </w:p>
        </w:tc>
        <w:tc>
          <w:tcPr>
            <w:tcW w:type="dxa" w:w="2160"/>
          </w:tcPr>
          <w:p>
            <w:r>
              <w:rPr>
                <w:sz w:val="18"/>
              </w:rPr>
              <w:t>≥ 1000 ppm F</w:t>
            </w:r>
          </w:p>
        </w:tc>
        <w:tc>
          <w:tcPr>
            <w:tcW w:type="dxa" w:w="2160"/>
          </w:tcPr>
          <w:p>
            <w:r>
              <w:rPr>
                <w:sz w:val="18"/>
              </w:rPr>
              <w:t>Small smear</w:t>
            </w:r>
          </w:p>
        </w:tc>
        <w:tc>
          <w:tcPr>
            <w:tcW w:type="dxa" w:w="2160"/>
          </w:tcPr>
          <w:p>
            <w:r>
              <w:rPr>
                <w:sz w:val="18"/>
              </w:rPr>
              <w:t>Adult supervision needed up to ~age 12; brush 2x daily</w:t>
            </w:r>
          </w:p>
        </w:tc>
      </w:tr>
      <w:tr>
        <w:tc>
          <w:tcPr>
            <w:tcW w:type="dxa" w:w="2160"/>
          </w:tcPr>
          <w:p>
            <w:r>
              <w:rPr>
                <w:sz w:val="18"/>
              </w:rPr>
              <w:t>From ~3 years</w:t>
            </w:r>
          </w:p>
        </w:tc>
        <w:tc>
          <w:tcPr>
            <w:tcW w:type="dxa" w:w="2160"/>
          </w:tcPr>
          <w:p>
            <w:r>
              <w:rPr>
                <w:sz w:val="18"/>
              </w:rPr>
              <w:t>1350–1500 ppm F (family paste)</w:t>
            </w:r>
          </w:p>
        </w:tc>
        <w:tc>
          <w:tcPr>
            <w:tcW w:type="dxa" w:w="2160"/>
          </w:tcPr>
          <w:p>
            <w:r>
              <w:rPr>
                <w:sz w:val="18"/>
              </w:rPr>
              <w:t>Pea-sized</w:t>
            </w:r>
          </w:p>
        </w:tc>
        <w:tc>
          <w:tcPr>
            <w:tcW w:type="dxa" w:w="2160"/>
          </w:tcPr>
          <w:p>
            <w:r>
              <w:rPr>
                <w:sz w:val="18"/>
              </w:rPr>
              <w:t>Encourage spitting, not swallowing</w:t>
            </w:r>
          </w:p>
        </w:tc>
      </w:tr>
      <w:tr>
        <w:tc>
          <w:tcPr>
            <w:tcW w:type="dxa" w:w="2160"/>
          </w:tcPr>
          <w:p>
            <w:r>
              <w:rPr>
                <w:sz w:val="18"/>
              </w:rPr>
              <w:t>All ages</w:t>
            </w:r>
          </w:p>
        </w:tc>
        <w:tc>
          <w:tcPr>
            <w:tcW w:type="dxa" w:w="2160"/>
          </w:tcPr>
          <w:p>
            <w:r>
              <w:rPr>
                <w:sz w:val="18"/>
              </w:rPr>
              <w:t>—</w:t>
            </w:r>
          </w:p>
        </w:tc>
        <w:tc>
          <w:tcPr>
            <w:tcW w:type="dxa" w:w="2160"/>
          </w:tcPr>
          <w:p>
            <w:r>
              <w:rPr>
                <w:sz w:val="18"/>
              </w:rPr>
              <w:t>—</w:t>
            </w:r>
          </w:p>
        </w:tc>
        <w:tc>
          <w:tcPr>
            <w:tcW w:type="dxa" w:w="2160"/>
          </w:tcPr>
          <w:p>
            <w:r>
              <w:rPr>
                <w:sz w:val="18"/>
              </w:rPr>
              <w:t>“Spit, don't rinse” — rinsing with water after brushing dilutes the topical fluoride effect</w:t>
            </w:r>
          </w:p>
        </w:tc>
      </w:tr>
    </w:tbl>
    <w:p>
      <w:r>
        <w:rPr>
          <w:i/>
          <w:sz w:val="18"/>
        </w:rPr>
        <w:t>Source: [1, p.77].</w:t>
      </w:r>
    </w:p>
    <w:p/>
    <w:p>
      <w:pPr>
        <w:pStyle w:val="Heading3"/>
      </w:pPr>
      <w:r>
        <w:t>3.2 Toothbrush Type and Technique</w:t>
      </w:r>
    </w:p>
    <w:p>
      <w:pPr>
        <w:pStyle w:val="ListBullet"/>
        <w:spacing w:after="60"/>
      </w:pPr>
      <w:r>
        <w:rPr>
          <w:b w:val="0"/>
          <w:i w:val="0"/>
        </w:rPr>
        <w:t>Powered (oscillating/rotating) toothbrushes remove plaque more effectively than manual brushing and may improve compliance — particularly useful where manual dexterity/disability is a barrier</w:t>
      </w:r>
      <w:r>
        <w:rPr>
          <w:b w:val="0"/>
          <w:i w:val="0"/>
        </w:rPr>
        <w:t xml:space="preserve"> [1, p.79-80]</w:t>
      </w:r>
    </w:p>
    <w:p>
      <w:pPr>
        <w:pStyle w:val="ListBullet"/>
        <w:spacing w:after="60"/>
      </w:pPr>
      <w:r>
        <w:rPr>
          <w:b w:val="0"/>
          <w:i w:val="0"/>
        </w:rPr>
        <w:t>Manual brush selection: head sized to the mouth, handle suited to dexterity, medium-hard rounded nylon filaments, replaced once bristles permanently bend</w:t>
      </w:r>
      <w:r>
        <w:rPr>
          <w:b w:val="0"/>
          <w:i w:val="0"/>
        </w:rPr>
        <w:t xml:space="preserve"> [1, p.79-80]</w:t>
      </w:r>
    </w:p>
    <w:p>
      <w:pPr>
        <w:pStyle w:val="ListBullet"/>
        <w:spacing w:after="60"/>
      </w:pPr>
      <w:r>
        <w:rPr>
          <w:b w:val="0"/>
          <w:i w:val="0"/>
        </w:rPr>
        <w:t>Scrub method — horizontal scrubbing, good for children and occlusal surfaces</w:t>
      </w:r>
      <w:r>
        <w:rPr>
          <w:b w:val="0"/>
          <w:i w:val="0"/>
        </w:rPr>
        <w:t xml:space="preserve"> [1, p.80]</w:t>
      </w:r>
    </w:p>
    <w:p>
      <w:pPr>
        <w:pStyle w:val="ListBullet"/>
        <w:spacing w:after="60"/>
      </w:pPr>
      <w:r>
        <w:rPr>
          <w:b w:val="0"/>
          <w:i w:val="0"/>
        </w:rPr>
        <w:t>Bass method — bristles angled apically into the gingival sulcus then vibrated; recommended where interdental spaces are open</w:t>
      </w:r>
      <w:r>
        <w:rPr>
          <w:b w:val="0"/>
          <w:i w:val="0"/>
        </w:rPr>
        <w:t xml:space="preserve"> [1, p.80]</w:t>
      </w:r>
    </w:p>
    <w:p>
      <w:pPr>
        <w:pStyle w:val="ListBullet"/>
        <w:spacing w:after="60"/>
      </w:pPr>
      <w:r>
        <w:rPr>
          <w:b w:val="0"/>
          <w:i w:val="0"/>
        </w:rPr>
        <w:t>Interdental cleaning: floss generally; appropriately sized interdental (“Tepe-type”) brushes specifically where gingival recession has opened spaces beyond what floss can clean (common in adults/elderly with attachment loss)</w:t>
      </w:r>
      <w:r>
        <w:rPr>
          <w:b w:val="0"/>
          <w:i w:val="0"/>
        </w:rPr>
        <w:t xml:space="preserve"> [1, p.81]</w:t>
      </w:r>
    </w:p>
    <w:p>
      <w:pPr>
        <w:pStyle w:val="Heading3"/>
      </w:pPr>
      <w:r>
        <w:t>3.3 Managing Reluctant Toddlers (Practical Tips)</w:t>
      </w:r>
    </w:p>
    <w:p>
      <w:pPr>
        <w:pStyle w:val="ListBullet"/>
        <w:spacing w:after="60"/>
      </w:pPr>
      <w:r>
        <w:rPr>
          <w:b w:val="0"/>
          <w:i w:val="0"/>
        </w:rPr>
        <w:t>Link brushing to a favourite screen activity</w:t>
      </w:r>
    </w:p>
    <w:p>
      <w:pPr>
        <w:pStyle w:val="ListBullet"/>
        <w:spacing w:after="60"/>
      </w:pPr>
      <w:r>
        <w:rPr>
          <w:b w:val="0"/>
          <w:i w:val="0"/>
        </w:rPr>
        <w:t>Let the child brush the parent's teeth, then reverse roles</w:t>
      </w:r>
    </w:p>
    <w:p>
      <w:pPr>
        <w:pStyle w:val="ListBullet"/>
        <w:spacing w:after="60"/>
      </w:pPr>
      <w:r>
        <w:rPr>
          <w:b w:val="0"/>
          <w:i w:val="0"/>
        </w:rPr>
        <w:t>Use a sticker chart for compliance</w:t>
      </w:r>
    </w:p>
    <w:p>
      <w:pPr>
        <w:pStyle w:val="ListBullet"/>
        <w:spacing w:after="60"/>
      </w:pPr>
      <w:r>
        <w:rPr>
          <w:b w:val="0"/>
          <w:i w:val="0"/>
        </w:rPr>
        <w:t>As a last resort: gentle but firm insistence, analogous to washing a child's face</w:t>
      </w:r>
      <w:r>
        <w:rPr>
          <w:b w:val="0"/>
          <w:i w:val="0"/>
        </w:rPr>
        <w:t xml:space="preserve"> [1, p.83]</w:t>
      </w:r>
    </w:p>
    <w:p>
      <w:r>
        <w:br w:type="page"/>
      </w:r>
    </w:p>
    <w:p>
      <w:pPr>
        <w:pStyle w:val="Heading3"/>
      </w:pPr>
      <w:r>
        <w:t>3.4 Antimicrobial Agents: Chlorhexidine and Povidone-Iodine</w:t>
      </w:r>
    </w:p>
    <w:p>
      <w:r>
        <w:t>Chlorhexidine is the antimicrobial agent most familiar to dental professionals for caries prevention, delivered via mouth rinses, gels, and varnishes; it reduces mutans streptococci to low levels in saliva and plaque, though levels eventually return toward pretreatment baseline with discontinued use, and its need for frequent reapplication plus side effects (unpleasant taste, staining) have driven interest in alternatives, particularly for young children.</w:t>
      </w:r>
      <w:r>
        <w:t xml:space="preserve"> [7]</w:t>
      </w:r>
    </w:p>
    <w:p>
      <w:r>
        <w:rPr>
          <w:b/>
        </w:rPr>
        <w:t>Povidone-iodine (PVP-I)</w:t>
      </w:r>
      <w:r>
        <w:t xml:space="preserve"> is one such alternative. A 10% PVP-I solution is 90% water, 8.5% polyvinylpyrrolidone (the carrier polymer, which has no intrinsic antibacterial activity itself but has high affinity for the bacterial cell membrane), and only 1% available iodine/iodide — the PVP carrier delivers free iodine directly to the bacterial cell surface, where it targets the cytoplasm and cytoplasmic membrane and kills within seconds.</w:t>
      </w:r>
      <w:r>
        <w:t xml:space="preserve"> [7]</w:t>
      </w:r>
    </w:p>
    <w:p>
      <w:r>
        <w:rPr>
          <w:b/>
        </w:rPr>
        <w:t xml:space="preserve">Evidence base — genuinely mixed, not uniformly positive: </w:t>
      </w:r>
      <w:r>
        <w:t>earlier trials using potassium-iodide solutions (not PVP-I specifically) reported S. mutans suppression persisting 13-24 weeks after a single application, and separate trials of 10% PVP-I applied at 2-month intervals in high-caries-risk toddlers found none of the PVP-I group developed new caries over 8 months versus 5 of 16 in the placebo group. However, a subsequent pilot RCT that specifically measured the bacteriological response (not just caries incidence) after oral rehabilitation under general anaesthesia found a GREATER reduction in S. mutans counts in the PVP-I group than controls, but this difference was NOT statistically significant (P=.58) — an honest, mixed evidence picture rather than settled efficacy.</w:t>
      </w:r>
      <w:r>
        <w:t xml:space="preserve"> [7]</w:t>
      </w:r>
    </w:p>
    <w:p>
      <w:pPr>
        <w:pStyle w:val="Heading2"/>
      </w:pPr>
      <w:r>
        <w:t>4. Fluoride in Caries Control</w:t>
      </w:r>
    </w:p>
    <w:p>
      <w:pPr>
        <w:pStyle w:val="Heading3"/>
      </w:pPr>
      <w:r>
        <w:t>4.1 History and the Discovery of Fluorosis (Textbook)</w:t>
      </w:r>
    </w:p>
    <w:p>
      <w:pPr>
        <w:spacing w:after="120"/>
      </w:pPr>
      <w:r>
        <w:rPr>
          <w:b w:val="0"/>
          <w:i w:val="0"/>
        </w:rPr>
        <w:t xml:space="preserve">Fluoride's dental role was discovered </w:t>
      </w:r>
      <w:r>
        <w:rPr>
          <w:b w:val="0"/>
          <w:i/>
        </w:rPr>
        <w:t>backwards</w:t>
      </w:r>
      <w:r>
        <w:rPr>
          <w:b w:val="0"/>
          <w:i w:val="0"/>
        </w:rPr>
        <w:t xml:space="preserve">: clinicians first noticed mottled enamel (dental fluorosis) in some US communities; H. Trendley Dean's 1930s epidemiology linked this to natural water fluoride, and in the same data noted </w:t>
      </w:r>
      <w:r>
        <w:rPr>
          <w:b w:val="0"/>
          <w:i/>
        </w:rPr>
        <w:t>lower</w:t>
      </w:r>
      <w:r>
        <w:rPr>
          <w:b w:val="0"/>
          <w:i w:val="0"/>
        </w:rPr>
        <w:t xml:space="preserve"> caries prevalence with slightly elevated water fluoride — the observation that triggered deliberate water-fluoridation trials</w:t>
      </w:r>
      <w:r>
        <w:rPr>
          <w:b w:val="0"/>
          <w:i w:val="0"/>
        </w:rPr>
        <w:t xml:space="preserve"> [1, p.84-85]</w:t>
      </w:r>
      <w:r>
        <w:rPr>
          <w:b w:val="0"/>
          <w:i w:val="0"/>
        </w:rPr>
        <w:t>.</w:t>
      </w:r>
    </w:p>
    <w:p>
      <w:pPr>
        <w:pStyle w:val="ListBullet"/>
        <w:spacing w:after="60"/>
      </w:pPr>
      <w:r>
        <w:rPr>
          <w:b w:val="0"/>
          <w:i w:val="0"/>
        </w:rPr>
        <w:t>Landmark trial: Grand Rapids, USA (artificially fluoridated 1944/45) vs. naturally higher-fluoride Aurora → ~50% DMFT reduction over 10–15 years</w:t>
      </w:r>
      <w:r>
        <w:rPr>
          <w:b w:val="0"/>
          <w:i w:val="0"/>
        </w:rPr>
        <w:t xml:space="preserve"> [1, p.85]</w:t>
      </w:r>
    </w:p>
    <w:p>
      <w:pPr>
        <w:pStyle w:val="ListBullet"/>
        <w:spacing w:after="60"/>
      </w:pPr>
      <w:r>
        <w:rPr>
          <w:b w:val="0"/>
          <w:i w:val="0"/>
        </w:rPr>
        <w:t>Dean's “optimal” threshold (~1 ppm) was treated by the profession with more certainty than the underlying data supported — contributing to later public mistrust of fluoridation policy</w:t>
      </w:r>
      <w:r>
        <w:rPr>
          <w:b w:val="0"/>
          <w:i w:val="0"/>
        </w:rPr>
        <w:t xml:space="preserve"> [1, p.85-86]</w:t>
      </w:r>
    </w:p>
    <w:p>
      <w:pPr>
        <w:spacing w:before="80" w:after="80"/>
      </w:pPr>
      <w:r>
        <w:rPr>
          <w:b/>
        </w:rPr>
        <w:t xml:space="preserve">DEFINITION — Dental fluorosis: </w:t>
      </w:r>
      <w:r>
        <w:rPr>
          <w:b w:val="0"/>
          <w:i w:val="0"/>
        </w:rPr>
        <w:t>an enamel hypomineralization whose severity depends on cumulative fluoride ingestion during the ~2–4-year enamel-maturation window; graded 1–9 on the Thylstrup–Fejerskov (TF) index, from fine striae of Retzius (mild) to fragile, post-eruptively fracturing, dark-staining enamel (severe).</w:t>
      </w:r>
      <w:r>
        <w:t xml:space="preserve"> [1, p.86-89]</w:t>
      </w:r>
    </w:p>
    <w:p>
      <w:pPr>
        <w:pStyle w:val="ListBullet"/>
        <w:spacing w:after="60"/>
      </w:pPr>
      <w:r>
        <w:rPr>
          <w:b w:val="0"/>
          <w:i w:val="0"/>
        </w:rPr>
        <w:t xml:space="preserve">Later-forming teeth accumulate proportionally more fluoride (bone is a fluoride “sink”, especially active in growing children) → permanent anterior teeth/first molars (earliest to mineralize) show the </w:t>
      </w:r>
      <w:r>
        <w:rPr>
          <w:b w:val="0"/>
          <w:i/>
        </w:rPr>
        <w:t>mildest</w:t>
      </w:r>
      <w:r>
        <w:rPr>
          <w:b w:val="0"/>
          <w:i w:val="0"/>
        </w:rPr>
        <w:t xml:space="preserve"> fluorosis in an affected individual</w:t>
      </w:r>
      <w:r>
        <w:rPr>
          <w:b w:val="0"/>
          <w:i w:val="0"/>
        </w:rPr>
        <w:t xml:space="preserve"> [1, p.89-90]</w:t>
      </w:r>
    </w:p>
    <w:p>
      <w:pPr>
        <w:pStyle w:val="ListBullet"/>
        <w:spacing w:after="60"/>
      </w:pPr>
      <w:r>
        <w:rPr>
          <w:b w:val="0"/>
          <w:i w:val="0"/>
        </w:rPr>
        <w:t>Essentially never seen in the primary dentition from standard preventive fluoride use — exceptions: salt fluoridation regimes, fluoride tablet programmes</w:t>
      </w:r>
      <w:r>
        <w:rPr>
          <w:b w:val="0"/>
          <w:i w:val="0"/>
        </w:rPr>
        <w:t xml:space="preserve"> [1, p.89-90]</w:t>
      </w:r>
    </w:p>
    <w:p>
      <w:pPr>
        <w:pStyle w:val="ListBullet"/>
        <w:spacing w:after="60"/>
      </w:pPr>
      <w:r>
        <w:rPr>
          <w:b w:val="0"/>
          <w:i w:val="0"/>
        </w:rPr>
        <w:t xml:space="preserve">Dose–response relationship (3 pooled US cohorts, 1941/44, 1967, 1985): linear, </w:t>
      </w:r>
      <w:r>
        <w:rPr>
          <w:b w:val="0"/>
          <w:i/>
        </w:rPr>
        <w:t>no threshold</w:t>
      </w:r>
      <w:r>
        <w:rPr>
          <w:b w:val="0"/>
          <w:i w:val="0"/>
        </w:rPr>
        <w:t xml:space="preserve"> [1, p.91]</w:t>
      </w:r>
    </w:p>
    <w:p>
      <w:pPr>
        <w:pStyle w:val="Heading3"/>
      </w:pPr>
      <w:r>
        <w:t>4.2 Cariostatic Mechanism — the Post-1980 Paradigm Shift (Textbook)</w:t>
      </w:r>
    </w:p>
    <w:p>
      <w:pPr>
        <w:spacing w:after="120"/>
      </w:pPr>
      <w:r>
        <w:rPr>
          <w:b/>
          <w:i w:val="0"/>
        </w:rPr>
        <w:t>Old model (pre-1980):</w:t>
      </w:r>
      <w:r>
        <w:rPr>
          <w:b w:val="0"/>
          <w:i w:val="0"/>
        </w:rPr>
        <w:t xml:space="preserve"> fluoride must be incorporated </w:t>
      </w:r>
      <w:r>
        <w:rPr>
          <w:b w:val="0"/>
          <w:i/>
        </w:rPr>
        <w:t>into developing enamel</w:t>
      </w:r>
      <w:r>
        <w:rPr>
          <w:b w:val="0"/>
          <w:i w:val="0"/>
        </w:rPr>
        <w:t xml:space="preserve"> during formation → must be ingested (water/tablets/salt) from early childhood.</w:t>
      </w:r>
    </w:p>
    <w:p>
      <w:pPr>
        <w:spacing w:after="120"/>
      </w:pPr>
      <w:r>
        <w:rPr>
          <w:b/>
          <w:i w:val="0"/>
        </w:rPr>
        <w:t>Evidence that broke the old model</w:t>
      </w:r>
      <w:r>
        <w:rPr>
          <w:b w:val="0"/>
          <w:i w:val="0"/>
        </w:rPr>
        <w:t xml:space="preserve"> [1, p.92]</w:t>
      </w:r>
      <w:r>
        <w:rPr>
          <w:b w:val="0"/>
          <w:i w:val="0"/>
        </w:rPr>
        <w:t>:</w:t>
      </w:r>
    </w:p>
    <w:p>
      <w:pPr>
        <w:pStyle w:val="ListBullet"/>
        <w:spacing w:after="60"/>
      </w:pPr>
      <w:r>
        <w:rPr>
          <w:b w:val="0"/>
          <w:i w:val="0"/>
        </w:rPr>
        <w:t>Children moving into fluoridated-water areas achieved the same caries reduction as those born there</w:t>
      </w:r>
    </w:p>
    <w:p>
      <w:pPr>
        <w:pStyle w:val="ListBullet"/>
        <w:spacing w:after="60"/>
      </w:pPr>
      <w:r>
        <w:rPr>
          <w:b w:val="0"/>
          <w:i w:val="0"/>
        </w:rPr>
        <w:t>Water fluoridation worked equally well in adults who moved in as in children raised there</w:t>
      </w:r>
    </w:p>
    <w:p>
      <w:pPr>
        <w:pStyle w:val="ListBullet"/>
        <w:spacing w:after="60"/>
      </w:pPr>
      <w:r>
        <w:rPr>
          <w:b w:val="0"/>
          <w:i w:val="0"/>
        </w:rPr>
        <w:t>Enamel-biopsy fluoride concentration showed no association with caries experience</w:t>
      </w:r>
    </w:p>
    <w:p>
      <w:pPr>
        <w:pStyle w:val="ListBullet"/>
        <w:spacing w:after="60"/>
      </w:pPr>
      <w:r>
        <w:rPr>
          <w:b w:val="0"/>
          <w:i w:val="0"/>
        </w:rPr>
        <w:t>Painting sound enamel with 2% NaF solution produced a cariostatic effect with no fluoride incorporated into sound enamel apatite</w:t>
      </w:r>
    </w:p>
    <w:p>
      <w:pPr>
        <w:spacing w:before="80" w:after="80"/>
      </w:pPr>
      <w:r>
        <w:rPr>
          <w:b/>
        </w:rPr>
        <w:t xml:space="preserve">DEFINITION — Current (post-1980) mechanism: </w:t>
      </w:r>
      <w:r>
        <w:rPr>
          <w:b w:val="0"/>
          <w:i w:val="0"/>
        </w:rPr>
        <w:t>fluoride acts topically — present in oral fluids during ongoing pH fluctuations at the biofilm–tooth interface, favouring deposition of less-soluble fluorhydroxyapatite over hydroxyapatite during each remineralization episode. Works equally well at any age; removes the old fluorosis-vs-benefit trade-off for topical (post-eruptive) regimens.</w:t>
      </w:r>
      <w:r>
        <w:t xml:space="preserve"> [1, p.92-93]</w:t>
      </w:r>
    </w:p>
    <w:p>
      <w:pPr>
        <w:pStyle w:val="Heading3"/>
      </w:pPr>
      <w:r>
        <w:t>4.3 Efficacy, Effectiveness, Cost-Effectiveness (Textbook — Concepts)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Term</w:t>
            </w:r>
          </w:p>
        </w:tc>
        <w:tc>
          <w:tcPr>
            <w:tcW w:type="dxa" w:w="4320"/>
          </w:tcPr>
          <w:p>
            <w:r>
              <w:rPr>
                <w:b/>
                <w:sz w:val="18"/>
              </w:rPr>
              <w:t>Meaning</w:t>
            </w:r>
          </w:p>
        </w:tc>
      </w:tr>
      <w:tr>
        <w:tc>
          <w:tcPr>
            <w:tcW w:type="dxa" w:w="4320"/>
          </w:tcPr>
          <w:p>
            <w:r>
              <w:rPr>
                <w:sz w:val="18"/>
              </w:rPr>
              <w:t>Efficacy</w:t>
            </w:r>
          </w:p>
        </w:tc>
        <w:tc>
          <w:tcPr>
            <w:tcW w:type="dxa" w:w="4320"/>
          </w:tcPr>
          <w:p>
            <w:r>
              <w:rPr>
                <w:sz w:val="18"/>
              </w:rPr>
              <w:t>Benefit under ideal randomized-controlled-trial conditions</w:t>
            </w:r>
          </w:p>
        </w:tc>
      </w:tr>
      <w:tr>
        <w:tc>
          <w:tcPr>
            <w:tcW w:type="dxa" w:w="4320"/>
          </w:tcPr>
          <w:p>
            <w:r>
              <w:rPr>
                <w:sz w:val="18"/>
              </w:rPr>
              <w:t>Effectiveness</w:t>
            </w:r>
          </w:p>
        </w:tc>
        <w:tc>
          <w:tcPr>
            <w:tcW w:type="dxa" w:w="4320"/>
          </w:tcPr>
          <w:p>
            <w:r>
              <w:rPr>
                <w:sz w:val="18"/>
              </w:rPr>
              <w:t>Benefit actually achieved in a real, defined population</w:t>
            </w:r>
          </w:p>
        </w:tc>
      </w:tr>
      <w:tr>
        <w:tc>
          <w:tcPr>
            <w:tcW w:type="dxa" w:w="4320"/>
          </w:tcPr>
          <w:p>
            <w:r>
              <w:rPr>
                <w:sz w:val="18"/>
              </w:rPr>
              <w:t>Cost-effectiveness</w:t>
            </w:r>
          </w:p>
        </w:tc>
        <w:tc>
          <w:tcPr>
            <w:tcW w:type="dxa" w:w="4320"/>
          </w:tcPr>
          <w:p>
            <w:r>
              <w:rPr>
                <w:sz w:val="18"/>
              </w:rPr>
              <w:t>Benefit relative to manpower/money/time expended</w:t>
            </w:r>
          </w:p>
        </w:tc>
      </w:tr>
    </w:tbl>
    <w:p>
      <w:r>
        <w:rPr>
          <w:i/>
          <w:sz w:val="18"/>
        </w:rPr>
        <w:t>Source: [1, p.93-94]. Caution: much historical fluoride-trial literature is lower quality than assumed; statistically significant ≠ clinically meaningful; publication bias favours positive industry-funded results — Cochrane reviews recommended as the evidence base.</w:t>
      </w:r>
    </w:p>
    <w:p/>
    <w:p>
      <w:pPr>
        <w:pStyle w:val="ListBullet"/>
        <w:spacing w:after="60"/>
      </w:pPr>
      <w:r>
        <w:rPr>
          <w:b w:val="0"/>
          <w:i w:val="0"/>
        </w:rPr>
        <w:t xml:space="preserve">Cautionary example: fortnightly fluoride mouth-rinsing (proven in 1960s/70s high-caries Scandinavia) was recommended to a country whose baseline caries rate had </w:t>
      </w:r>
      <w:r>
        <w:rPr>
          <w:b w:val="0"/>
          <w:i/>
        </w:rPr>
        <w:t>already</w:t>
      </w:r>
      <w:r>
        <w:rPr>
          <w:b w:val="0"/>
          <w:i w:val="0"/>
        </w:rPr>
        <w:t xml:space="preserve"> fallen to the level at which Denmark had abandoned the same programme as non-cost-effective — no single method generalizes across different disease burdens</w:t>
      </w:r>
      <w:r>
        <w:rPr>
          <w:b w:val="0"/>
          <w:i w:val="0"/>
        </w:rPr>
        <w:t xml:space="preserve"> [1, p.94-95]</w:t>
      </w:r>
    </w:p>
    <w:p>
      <w:pPr>
        <w:pStyle w:val="Heading3"/>
      </w:pPr>
      <w:r>
        <w:t>4.4 Fluoride Vehicles Compared (Textbook)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Vehicle</w:t>
            </w:r>
          </w:p>
        </w:tc>
        <w:tc>
          <w:tcPr>
            <w:tcW w:type="dxa" w:w="2880"/>
          </w:tcPr>
          <w:p>
            <w:r>
              <w:rPr>
                <w:b/>
                <w:sz w:val="18"/>
              </w:rPr>
              <w:t>Verdict</w:t>
            </w:r>
          </w:p>
        </w:tc>
        <w:tc>
          <w:tcPr>
            <w:tcW w:type="dxa" w:w="2880"/>
          </w:tcPr>
          <w:p>
            <w:r>
              <w:rPr>
                <w:b/>
                <w:sz w:val="18"/>
              </w:rPr>
              <w:t>Key data/notes</w:t>
            </w:r>
          </w:p>
        </w:tc>
      </w:tr>
      <w:tr>
        <w:tc>
          <w:tcPr>
            <w:tcW w:type="dxa" w:w="2880"/>
          </w:tcPr>
          <w:p>
            <w:r>
              <w:rPr>
                <w:sz w:val="18"/>
              </w:rPr>
              <w:t>Water fluoridation</w:t>
            </w:r>
          </w:p>
        </w:tc>
        <w:tc>
          <w:tcPr>
            <w:tcW w:type="dxa" w:w="2880"/>
          </w:tcPr>
          <w:p>
            <w:r>
              <w:rPr>
                <w:sz w:val="18"/>
              </w:rPr>
              <w:t>Most cost-effective at population level (passive — no individual behaviour required)</w:t>
            </w:r>
          </w:p>
        </w:tc>
        <w:tc>
          <w:tcPr>
            <w:tcW w:type="dxa" w:w="2880"/>
          </w:tcPr>
          <w:p>
            <w:r>
              <w:rPr>
                <w:sz w:val="18"/>
              </w:rPr>
              <w:t>~50% caries reduction historically; US differential narrowed to ~15% since late 1980s as toothpaste use spread; Netherlands trial discontinued late 1970s once between-area difference vanished [1, p.95]</w:t>
            </w:r>
          </w:p>
        </w:tc>
      </w:tr>
      <w:tr>
        <w:tc>
          <w:tcPr>
            <w:tcW w:type="dxa" w:w="2880"/>
          </w:tcPr>
          <w:p>
            <w:r>
              <w:rPr>
                <w:sz w:val="18"/>
              </w:rPr>
              <w:t>Fluoride tablets</w:t>
            </w:r>
          </w:p>
        </w:tc>
        <w:tc>
          <w:tcPr>
            <w:tcW w:type="dxa" w:w="2880"/>
          </w:tcPr>
          <w:p>
            <w:r>
              <w:rPr>
                <w:sz w:val="18"/>
              </w:rPr>
              <w:t>Limited/no independent effect once confounding maternal education/behaviour is accounted for</w:t>
            </w:r>
          </w:p>
        </w:tc>
        <w:tc>
          <w:tcPr>
            <w:tcW w:type="dxa" w:w="2880"/>
          </w:tcPr>
          <w:p>
            <w:r>
              <w:rPr>
                <w:sz w:val="18"/>
              </w:rPr>
              <w:t>Main demonstrable effect = increased fluorosis risk in compliant families [1, p.95]</w:t>
            </w:r>
          </w:p>
        </w:tc>
      </w:tr>
      <w:tr>
        <w:tc>
          <w:tcPr>
            <w:tcW w:type="dxa" w:w="2880"/>
          </w:tcPr>
          <w:p>
            <w:r>
              <w:rPr>
                <w:sz w:val="18"/>
              </w:rPr>
              <w:t>Salt fluoridation</w:t>
            </w:r>
          </w:p>
        </w:tc>
        <w:tc>
          <w:tcPr>
            <w:tcW w:type="dxa" w:w="2880"/>
          </w:tcPr>
          <w:p>
            <w:r>
              <w:rPr>
                <w:sz w:val="18"/>
              </w:rPr>
              <w:t>Not recommended</w:t>
            </w:r>
          </w:p>
        </w:tc>
        <w:tc>
          <w:tcPr>
            <w:tcW w:type="dxa" w:w="2880"/>
          </w:tcPr>
          <w:p>
            <w:r>
              <w:rPr>
                <w:sz w:val="18"/>
              </w:rPr>
              <w:t>Increased salt intake undesirable medically; long-term salt-fluoridation countries show high fluorosis prevalence [1, p.95]</w:t>
            </w:r>
          </w:p>
        </w:tc>
      </w:tr>
      <w:tr>
        <w:tc>
          <w:tcPr>
            <w:tcW w:type="dxa" w:w="2880"/>
          </w:tcPr>
          <w:p>
            <w:r>
              <w:rPr>
                <w:sz w:val="18"/>
              </w:rPr>
              <w:t>Fluoride toothpaste (daily)</w:t>
            </w:r>
          </w:p>
        </w:tc>
        <w:tc>
          <w:tcPr>
            <w:tcW w:type="dxa" w:w="2880"/>
          </w:tcPr>
          <w:p>
            <w:r>
              <w:rPr>
                <w:sz w:val="18"/>
              </w:rPr>
              <w:t>Standout cost-effective choice, well-supported by Cochrane evidence</w:t>
            </w:r>
          </w:p>
        </w:tc>
        <w:tc>
          <w:tcPr>
            <w:tcW w:type="dxa" w:w="2880"/>
          </w:tcPr>
          <w:p>
            <w:r>
              <w:rPr>
                <w:sz w:val="18"/>
              </w:rPr>
              <w:t>Additional benefit when topical varnish added on top [1, p.95-96]</w:t>
            </w:r>
          </w:p>
        </w:tc>
      </w:tr>
    </w:tbl>
    <w:p/>
    <w:p>
      <w:pPr>
        <w:spacing w:after="120"/>
      </w:pPr>
      <w:r>
        <w:rPr>
          <w:b w:val="0"/>
          <w:i w:val="0"/>
        </w:rPr>
        <w:t xml:space="preserve">Practical tip from the source: for elderly patients with exposed root surfaces, press a small amount of standard toothpaste into hard-to-clean interproximal spaces </w:t>
      </w:r>
      <w:r>
        <w:rPr>
          <w:b w:val="0"/>
          <w:i/>
        </w:rPr>
        <w:t>at night</w:t>
      </w:r>
      <w:r>
        <w:rPr>
          <w:b w:val="0"/>
          <w:i w:val="0"/>
        </w:rPr>
        <w:t>, when salivary flow is minimal and the fluoride-reservoir effect is maximized</w:t>
      </w:r>
      <w:r>
        <w:rPr>
          <w:b w:val="0"/>
          <w:i w:val="0"/>
        </w:rPr>
        <w:t xml:space="preserve"> [1, p.96]</w:t>
      </w:r>
      <w:r>
        <w:rPr>
          <w:b w:val="0"/>
          <w:i w:val="0"/>
        </w:rPr>
        <w:t>.</w:t>
      </w:r>
    </w:p>
    <w:p>
      <w:pPr>
        <w:pStyle w:val="Heading3"/>
      </w:pPr>
      <w:r>
        <w:t>4.5 The ADA Evidence-Based Guideline on Topical Fluoride (Authoritative Body)</w:t>
      </w:r>
    </w:p>
    <w:p>
      <w:pPr>
        <w:spacing w:after="120"/>
      </w:pPr>
      <w:r>
        <w:rPr>
          <w:b w:val="0"/>
          <w:i w:val="0"/>
        </w:rPr>
        <w:t xml:space="preserve">The ADA's 2013 guideline </w:t>
      </w:r>
      <w:r>
        <w:rPr>
          <w:b w:val="0"/>
          <w:i/>
        </w:rPr>
        <w:t>(Weyant et al., JADA 2013;144(11):1279–1291)</w:t>
      </w:r>
      <w:r>
        <w:rPr>
          <w:b w:val="0"/>
          <w:i w:val="0"/>
        </w:rPr>
        <w:t xml:space="preserve"> grades each recommendation by strength of evidence — </w:t>
      </w:r>
      <w:r>
        <w:rPr>
          <w:b/>
          <w:i w:val="0"/>
        </w:rPr>
        <w:t>Strong</w:t>
      </w:r>
      <w:r>
        <w:rPr>
          <w:b w:val="0"/>
          <w:i w:val="0"/>
        </w:rPr>
        <w:t xml:space="preserve">, </w:t>
      </w:r>
      <w:r>
        <w:rPr>
          <w:b/>
          <w:i w:val="0"/>
        </w:rPr>
        <w:t>In Favor</w:t>
      </w:r>
      <w:r>
        <w:rPr>
          <w:b w:val="0"/>
          <w:i w:val="0"/>
        </w:rPr>
        <w:t xml:space="preserve">, </w:t>
      </w:r>
      <w:r>
        <w:rPr>
          <w:b/>
          <w:i w:val="0"/>
        </w:rPr>
        <w:t>Expert Opinion For</w:t>
      </w:r>
      <w:r>
        <w:rPr>
          <w:b w:val="0"/>
          <w:i w:val="0"/>
        </w:rPr>
        <w:t xml:space="preserve">, </w:t>
      </w:r>
      <w:r>
        <w:rPr>
          <w:b/>
          <w:i w:val="0"/>
        </w:rPr>
        <w:t>Weak</w:t>
      </w:r>
      <w:r>
        <w:rPr>
          <w:b w:val="0"/>
          <w:i w:val="0"/>
        </w:rPr>
        <w:t xml:space="preserve">, </w:t>
      </w:r>
      <w:r>
        <w:rPr>
          <w:b/>
          <w:i w:val="0"/>
        </w:rPr>
        <w:t>Expert Opinion Against</w:t>
      </w:r>
      <w:r>
        <w:rPr>
          <w:b w:val="0"/>
          <w:i w:val="0"/>
        </w:rPr>
        <w:t xml:space="preserve">, </w:t>
      </w:r>
      <w:r>
        <w:rPr>
          <w:b/>
          <w:i w:val="0"/>
        </w:rPr>
        <w:t>Against</w:t>
      </w:r>
      <w:r>
        <w:rPr>
          <w:b w:val="0"/>
          <w:i w:val="0"/>
        </w:rPr>
        <w:t xml:space="preserve"> [2, p.1]</w:t>
      </w:r>
      <w:r>
        <w:rPr>
          <w:b w:val="0"/>
          <w:i w:val="0"/>
        </w:rPr>
        <w:t xml:space="preserve">. Full recommendation table (patients at </w:t>
      </w:r>
      <w:r>
        <w:rPr>
          <w:b w:val="0"/>
          <w:i/>
        </w:rPr>
        <w:t>elevated</w:t>
      </w:r>
      <w:r>
        <w:rPr>
          <w:b w:val="0"/>
          <w:i w:val="0"/>
        </w:rPr>
        <w:t xml:space="preserve"> caries risk):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Age group</w:t>
            </w:r>
          </w:p>
        </w:tc>
        <w:tc>
          <w:tcPr>
            <w:tcW w:type="dxa" w:w="2160"/>
          </w:tcPr>
          <w:p>
            <w:r>
              <w:rPr>
                <w:b/>
                <w:sz w:val="18"/>
              </w:rPr>
              <w:t>Professionally-applied agent</w:t>
            </w:r>
          </w:p>
        </w:tc>
        <w:tc>
          <w:tcPr>
            <w:tcW w:type="dxa" w:w="2160"/>
          </w:tcPr>
          <w:p>
            <w:r>
              <w:rPr>
                <w:b/>
                <w:sz w:val="18"/>
              </w:rPr>
              <w:t>Prescription-strength home-use agent</w:t>
            </w:r>
          </w:p>
        </w:tc>
        <w:tc>
          <w:tcPr>
            <w:tcW w:type="dxa" w:w="2160"/>
          </w:tcPr>
          <w:p>
            <w:r>
              <w:rPr>
                <w:b/>
                <w:sz w:val="18"/>
              </w:rPr>
              <w:t>Strength</w:t>
            </w:r>
          </w:p>
        </w:tc>
      </w:tr>
      <w:tr>
        <w:tc>
          <w:tcPr>
            <w:tcW w:type="dxa" w:w="2160"/>
          </w:tcPr>
          <w:p>
            <w:r>
              <w:rPr>
                <w:sz w:val="18"/>
              </w:rPr>
              <w:t>Younger than 6 yrs</w:t>
            </w:r>
          </w:p>
        </w:tc>
        <w:tc>
          <w:tcPr>
            <w:tcW w:type="dxa" w:w="2160"/>
          </w:tcPr>
          <w:p>
            <w:r>
              <w:rPr>
                <w:sz w:val="18"/>
              </w:rPr>
              <w:t>2.26% fluoride varnish, every 3–6 months</w:t>
            </w:r>
          </w:p>
        </w:tc>
        <w:tc>
          <w:tcPr>
            <w:tcW w:type="dxa" w:w="2160"/>
          </w:tcPr>
          <w:p>
            <w:r>
              <w:rPr>
                <w:sz w:val="18"/>
              </w:rPr>
              <w:t>— (no other agent recommended for this age group)</w:t>
            </w:r>
          </w:p>
        </w:tc>
        <w:tc>
          <w:tcPr>
            <w:tcW w:type="dxa" w:w="2160"/>
          </w:tcPr>
          <w:p>
            <w:r>
              <w:rPr>
                <w:sz w:val="18"/>
              </w:rPr>
              <w:t>In Favor</w:t>
            </w:r>
          </w:p>
        </w:tc>
      </w:tr>
      <w:tr>
        <w:tc>
          <w:tcPr>
            <w:tcW w:type="dxa" w:w="2160"/>
          </w:tcPr>
          <w:p>
            <w:r>
              <w:rPr>
                <w:sz w:val="18"/>
              </w:rPr>
              <w:t>6–18 yrs</w:t>
            </w:r>
          </w:p>
        </w:tc>
        <w:tc>
          <w:tcPr>
            <w:tcW w:type="dxa" w:w="2160"/>
          </w:tcPr>
          <w:p>
            <w:r>
              <w:rPr>
                <w:sz w:val="18"/>
              </w:rPr>
              <w:t>2.26% fluoride varnish (3–6 mo) OR 1.23% APF gel, 4 min (3–6 mo)</w:t>
            </w:r>
          </w:p>
        </w:tc>
        <w:tc>
          <w:tcPr>
            <w:tcW w:type="dxa" w:w="2160"/>
          </w:tcPr>
          <w:p>
            <w:r>
              <w:rPr>
                <w:sz w:val="18"/>
              </w:rPr>
              <w:t>0.09% fluoride mouthrinse weekly OR 0.5% fluoride gel/paste 2x daily</w:t>
            </w:r>
          </w:p>
        </w:tc>
        <w:tc>
          <w:tcPr>
            <w:tcW w:type="dxa" w:w="2160"/>
          </w:tcPr>
          <w:p>
            <w:r>
              <w:rPr>
                <w:sz w:val="18"/>
              </w:rPr>
              <w:t>In Favor (varnish/APF gel/mouthrinse); Expert Opinion For (0.5% gel/paste)</w:t>
            </w:r>
          </w:p>
        </w:tc>
      </w:tr>
      <w:tr>
        <w:tc>
          <w:tcPr>
            <w:tcW w:type="dxa" w:w="2160"/>
          </w:tcPr>
          <w:p>
            <w:r>
              <w:rPr>
                <w:sz w:val="18"/>
              </w:rPr>
              <w:t>Older than 18 yrs</w:t>
            </w:r>
          </w:p>
        </w:tc>
        <w:tc>
          <w:tcPr>
            <w:tcW w:type="dxa" w:w="2160"/>
          </w:tcPr>
          <w:p>
            <w:r>
              <w:rPr>
                <w:sz w:val="18"/>
              </w:rPr>
              <w:t>2.26% fluoride varnish (3–6 mo) OR 1.23% APF gel, 4 min (3–6 mo)</w:t>
            </w:r>
          </w:p>
        </w:tc>
        <w:tc>
          <w:tcPr>
            <w:tcW w:type="dxa" w:w="2160"/>
          </w:tcPr>
          <w:p>
            <w:r>
              <w:rPr>
                <w:sz w:val="18"/>
              </w:rPr>
              <w:t>0.09% fluoride mouthrinse weekly OR 0.5% fluoride gel/paste 2x daily</w:t>
            </w:r>
          </w:p>
        </w:tc>
        <w:tc>
          <w:tcPr>
            <w:tcW w:type="dxa" w:w="2160"/>
          </w:tcPr>
          <w:p>
            <w:r>
              <w:rPr>
                <w:sz w:val="18"/>
              </w:rPr>
              <w:t>Expert Opinion For (all)</w:t>
            </w:r>
          </w:p>
        </w:tc>
      </w:tr>
      <w:tr>
        <w:tc>
          <w:tcPr>
            <w:tcW w:type="dxa" w:w="2160"/>
          </w:tcPr>
          <w:p>
            <w:r>
              <w:rPr>
                <w:sz w:val="18"/>
              </w:rPr>
              <w:t>Adult root caries</w:t>
            </w:r>
          </w:p>
        </w:tc>
        <w:tc>
          <w:tcPr>
            <w:tcW w:type="dxa" w:w="2160"/>
          </w:tcPr>
          <w:p>
            <w:r>
              <w:rPr>
                <w:sz w:val="18"/>
              </w:rPr>
              <w:t>2.26% fluoride varnish (3–6 mo) OR 1.23% APF gel, 4 min (3–6 mo)</w:t>
            </w:r>
          </w:p>
        </w:tc>
        <w:tc>
          <w:tcPr>
            <w:tcW w:type="dxa" w:w="2160"/>
          </w:tcPr>
          <w:p>
            <w:r>
              <w:rPr>
                <w:sz w:val="18"/>
              </w:rPr>
              <w:t>0.09% fluoride mouthrinse DAILY OR 0.5% fluoride gel/paste 2x daily</w:t>
            </w:r>
          </w:p>
        </w:tc>
        <w:tc>
          <w:tcPr>
            <w:tcW w:type="dxa" w:w="2160"/>
          </w:tcPr>
          <w:p>
            <w:r>
              <w:rPr>
                <w:sz w:val="18"/>
              </w:rPr>
              <w:t>Expert Opinion For (all)</w:t>
            </w:r>
          </w:p>
        </w:tc>
      </w:tr>
    </w:tbl>
    <w:p>
      <w:r>
        <w:rPr>
          <w:i/>
          <w:sz w:val="18"/>
        </w:rPr>
        <w:t>Source: ADA Chairside Guide accompanying [2]. 0.1% fluoride varnish, 1.23% APF foam, and prophylaxis pastes are NOT recommended for coronal caries prevention in any age group (Expert Opinion Against / Against). No agent except 2.26% varnish is recommended under age 6 (Expert Opinion Against / Against for others).</w:t>
      </w:r>
    </w:p>
    <w:p/>
    <w:p>
      <w:pPr>
        <w:spacing w:after="120"/>
      </w:pPr>
      <w:r>
        <w:rPr>
          <w:b/>
          <w:i w:val="0"/>
        </w:rPr>
        <w:t>Concentration reference table (professionally-applied and prescription-strength agents):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Agent</w:t>
            </w:r>
          </w:p>
        </w:tc>
        <w:tc>
          <w:tcPr>
            <w:tcW w:type="dxa" w:w="2160"/>
          </w:tcPr>
          <w:p>
            <w:r>
              <w:rPr>
                <w:b/>
                <w:sz w:val="18"/>
              </w:rPr>
              <w:t>ppm fluoride</w:t>
            </w:r>
          </w:p>
        </w:tc>
        <w:tc>
          <w:tcPr>
            <w:tcW w:type="dxa" w:w="2160"/>
          </w:tcPr>
          <w:p>
            <w:r>
              <w:rPr>
                <w:b/>
                <w:sz w:val="18"/>
              </w:rPr>
              <w:t>% fluoride</w:t>
            </w:r>
          </w:p>
        </w:tc>
        <w:tc>
          <w:tcPr>
            <w:tcW w:type="dxa" w:w="2160"/>
          </w:tcPr>
          <w:p>
            <w:r>
              <w:rPr>
                <w:b/>
                <w:sz w:val="18"/>
              </w:rPr>
              <w:t>% sodium fluoride equivalent</w:t>
            </w:r>
          </w:p>
        </w:tc>
      </w:tr>
      <w:tr>
        <w:tc>
          <w:tcPr>
            <w:tcW w:type="dxa" w:w="2160"/>
          </w:tcPr>
          <w:p>
            <w:r>
              <w:rPr>
                <w:sz w:val="18"/>
              </w:rPr>
              <w:t>2.26% fluoride varnish</w:t>
            </w:r>
          </w:p>
        </w:tc>
        <w:tc>
          <w:tcPr>
            <w:tcW w:type="dxa" w:w="2160"/>
          </w:tcPr>
          <w:p>
            <w:r>
              <w:rPr>
                <w:sz w:val="18"/>
              </w:rPr>
              <w:t>22,600</w:t>
            </w:r>
          </w:p>
        </w:tc>
        <w:tc>
          <w:tcPr>
            <w:tcW w:type="dxa" w:w="2160"/>
          </w:tcPr>
          <w:p>
            <w:r>
              <w:rPr>
                <w:sz w:val="18"/>
              </w:rPr>
              <w:t>2.26</w:t>
            </w:r>
          </w:p>
        </w:tc>
        <w:tc>
          <w:tcPr>
            <w:tcW w:type="dxa" w:w="2160"/>
          </w:tcPr>
          <w:p>
            <w:r>
              <w:rPr>
                <w:sz w:val="18"/>
              </w:rPr>
              <w:t>5.0</w:t>
            </w:r>
          </w:p>
        </w:tc>
      </w:tr>
      <w:tr>
        <w:tc>
          <w:tcPr>
            <w:tcW w:type="dxa" w:w="2160"/>
          </w:tcPr>
          <w:p>
            <w:r>
              <w:rPr>
                <w:sz w:val="18"/>
              </w:rPr>
              <w:t>1.23% APF gel (0.1M phosphoric acid)</w:t>
            </w:r>
          </w:p>
        </w:tc>
        <w:tc>
          <w:tcPr>
            <w:tcW w:type="dxa" w:w="2160"/>
          </w:tcPr>
          <w:p>
            <w:r>
              <w:rPr>
                <w:sz w:val="18"/>
              </w:rPr>
              <w:t>12,300</w:t>
            </w:r>
          </w:p>
        </w:tc>
        <w:tc>
          <w:tcPr>
            <w:tcW w:type="dxa" w:w="2160"/>
          </w:tcPr>
          <w:p>
            <w:r>
              <w:rPr>
                <w:sz w:val="18"/>
              </w:rPr>
              <w:t>1.23</w:t>
            </w:r>
          </w:p>
        </w:tc>
        <w:tc>
          <w:tcPr>
            <w:tcW w:type="dxa" w:w="2160"/>
          </w:tcPr>
          <w:p>
            <w:r>
              <w:rPr>
                <w:sz w:val="18"/>
              </w:rPr>
              <w:t>2.7</w:t>
            </w:r>
          </w:p>
        </w:tc>
      </w:tr>
      <w:tr>
        <w:tc>
          <w:tcPr>
            <w:tcW w:type="dxa" w:w="2160"/>
          </w:tcPr>
          <w:p>
            <w:r>
              <w:rPr>
                <w:sz w:val="18"/>
              </w:rPr>
              <w:t>Prescription gel/paste (± acidulation)</w:t>
            </w:r>
          </w:p>
        </w:tc>
        <w:tc>
          <w:tcPr>
            <w:tcW w:type="dxa" w:w="2160"/>
          </w:tcPr>
          <w:p>
            <w:r>
              <w:rPr>
                <w:sz w:val="18"/>
              </w:rPr>
              <w:t>5,000</w:t>
            </w:r>
          </w:p>
        </w:tc>
        <w:tc>
          <w:tcPr>
            <w:tcW w:type="dxa" w:w="2160"/>
          </w:tcPr>
          <w:p>
            <w:r>
              <w:rPr>
                <w:sz w:val="18"/>
              </w:rPr>
              <w:t>0.50</w:t>
            </w:r>
          </w:p>
        </w:tc>
        <w:tc>
          <w:tcPr>
            <w:tcW w:type="dxa" w:w="2160"/>
          </w:tcPr>
          <w:p>
            <w:r>
              <w:rPr>
                <w:sz w:val="18"/>
              </w:rPr>
              <w:t>1.1</w:t>
            </w:r>
          </w:p>
        </w:tc>
      </w:tr>
      <w:tr>
        <w:tc>
          <w:tcPr>
            <w:tcW w:type="dxa" w:w="2160"/>
          </w:tcPr>
          <w:p>
            <w:r>
              <w:rPr>
                <w:sz w:val="18"/>
              </w:rPr>
              <w:t>Prescription mouthrinse</w:t>
            </w:r>
          </w:p>
        </w:tc>
        <w:tc>
          <w:tcPr>
            <w:tcW w:type="dxa" w:w="2160"/>
          </w:tcPr>
          <w:p>
            <w:r>
              <w:rPr>
                <w:sz w:val="18"/>
              </w:rPr>
              <w:t>900</w:t>
            </w:r>
          </w:p>
        </w:tc>
        <w:tc>
          <w:tcPr>
            <w:tcW w:type="dxa" w:w="2160"/>
          </w:tcPr>
          <w:p>
            <w:r>
              <w:rPr>
                <w:sz w:val="18"/>
              </w:rPr>
              <w:t>0.09</w:t>
            </w:r>
          </w:p>
        </w:tc>
        <w:tc>
          <w:tcPr>
            <w:tcW w:type="dxa" w:w="2160"/>
          </w:tcPr>
          <w:p>
            <w:r>
              <w:rPr>
                <w:sz w:val="18"/>
              </w:rPr>
              <w:t>0.2</w:t>
            </w:r>
          </w:p>
        </w:tc>
      </w:tr>
      <w:tr>
        <w:tc>
          <w:tcPr>
            <w:tcW w:type="dxa" w:w="2160"/>
          </w:tcPr>
          <w:p>
            <w:r>
              <w:rPr>
                <w:sz w:val="18"/>
              </w:rPr>
              <w:t>OTC toothpaste (reference, not reviewed by panel)</w:t>
            </w:r>
          </w:p>
        </w:tc>
        <w:tc>
          <w:tcPr>
            <w:tcW w:type="dxa" w:w="2160"/>
          </w:tcPr>
          <w:p>
            <w:r>
              <w:rPr>
                <w:sz w:val="18"/>
              </w:rPr>
              <w:t>≤ 1,150</w:t>
            </w:r>
          </w:p>
        </w:tc>
        <w:tc>
          <w:tcPr>
            <w:tcW w:type="dxa" w:w="2160"/>
          </w:tcPr>
          <w:p>
            <w:r>
              <w:rPr>
                <w:sz w:val="18"/>
              </w:rPr>
              <w:t>≤ 0.12</w:t>
            </w:r>
          </w:p>
        </w:tc>
        <w:tc>
          <w:tcPr>
            <w:tcW w:type="dxa" w:w="2160"/>
          </w:tcPr>
          <w:p>
            <w:r>
              <w:rPr>
                <w:sz w:val="18"/>
              </w:rPr>
              <w:t>≤ 0.25</w:t>
            </w:r>
          </w:p>
        </w:tc>
      </w:tr>
      <w:tr>
        <w:tc>
          <w:tcPr>
            <w:tcW w:type="dxa" w:w="2160"/>
          </w:tcPr>
          <w:p>
            <w:r>
              <w:rPr>
                <w:sz w:val="18"/>
              </w:rPr>
              <w:t>OTC mouthrinse (reference, not reviewed by panel)</w:t>
            </w:r>
          </w:p>
        </w:tc>
        <w:tc>
          <w:tcPr>
            <w:tcW w:type="dxa" w:w="2160"/>
          </w:tcPr>
          <w:p>
            <w:r>
              <w:rPr>
                <w:sz w:val="18"/>
              </w:rPr>
              <w:t>100–225</w:t>
            </w:r>
          </w:p>
        </w:tc>
        <w:tc>
          <w:tcPr>
            <w:tcW w:type="dxa" w:w="2160"/>
          </w:tcPr>
          <w:p>
            <w:r>
              <w:rPr>
                <w:sz w:val="18"/>
              </w:rPr>
              <w:t>0.01–0.02</w:t>
            </w:r>
          </w:p>
        </w:tc>
        <w:tc>
          <w:tcPr>
            <w:tcW w:type="dxa" w:w="2160"/>
          </w:tcPr>
          <w:p>
            <w:r>
              <w:rPr>
                <w:sz w:val="18"/>
              </w:rPr>
              <w:t>0.02–0.05</w:t>
            </w:r>
          </w:p>
        </w:tc>
      </w:tr>
    </w:tbl>
    <w:p>
      <w:r>
        <w:rPr>
          <w:i/>
          <w:sz w:val="18"/>
        </w:rPr>
        <w:t>Source: ADA Chairside Guide accompanying [2].</w:t>
      </w:r>
    </w:p>
    <w:p/>
    <w:p>
      <w:pPr>
        <w:spacing w:after="120"/>
      </w:pPr>
      <w:r>
        <w:rPr>
          <w:b/>
          <w:i w:val="0"/>
        </w:rPr>
        <w:t>Individual risk factors listed by the ADA guideline that raise caries risk</w:t>
      </w:r>
      <w:r>
        <w:rPr>
          <w:b w:val="0"/>
          <w:i w:val="0"/>
        </w:rPr>
        <w:t xml:space="preserve"> [2, p.1]</w:t>
      </w:r>
      <w:r>
        <w:rPr>
          <w:b w:val="0"/>
          <w:i w:val="0"/>
        </w:rPr>
        <w:t>:</w:t>
      </w:r>
    </w:p>
    <w:p>
      <w:pPr>
        <w:pStyle w:val="ListBullet"/>
        <w:spacing w:after="60"/>
      </w:pPr>
      <w:r>
        <w:rPr>
          <w:b w:val="0"/>
          <w:i w:val="0"/>
        </w:rPr>
        <w:t>Active caries in previous 12 months  ·  High titers of cariogenic bacteria  ·  Poor oral hygiene</w:t>
      </w:r>
    </w:p>
    <w:p>
      <w:pPr>
        <w:pStyle w:val="ListBullet"/>
        <w:spacing w:after="60"/>
      </w:pPr>
      <w:r>
        <w:rPr>
          <w:b w:val="0"/>
          <w:i w:val="0"/>
        </w:rPr>
        <w:t>Cariogenic diet  ·  Suboptimal fluoride exposure  ·  Developmental/acquired enamel defects</w:t>
      </w:r>
    </w:p>
    <w:p>
      <w:pPr>
        <w:pStyle w:val="ListBullet"/>
        <w:spacing w:after="60"/>
      </w:pPr>
      <w:r>
        <w:rPr>
          <w:b w:val="0"/>
          <w:i w:val="0"/>
        </w:rPr>
        <w:t>Prolonged nursing (bottle or breast)  ·  Exposed root surfaces  ·  Restoration overhangs/open margins</w:t>
      </w:r>
    </w:p>
    <w:p>
      <w:pPr>
        <w:pStyle w:val="ListBullet"/>
        <w:spacing w:after="60"/>
      </w:pPr>
      <w:r>
        <w:rPr>
          <w:b w:val="0"/>
          <w:i w:val="0"/>
        </w:rPr>
        <w:t>Xerostomia (medication, radiation, or disease-induced)  ·  Irregular dental care  ·  Eating disorders  ·  Active orthodontic treatment</w:t>
      </w:r>
    </w:p>
    <w:p>
      <w:pPr>
        <w:pStyle w:val="ListBullet"/>
        <w:spacing w:after="60"/>
      </w:pPr>
      <w:r>
        <w:rPr>
          <w:b w:val="0"/>
          <w:i w:val="0"/>
        </w:rPr>
        <w:t>Physical/mental disability limiting oral hygiene  ·  Chemo/head-neck radiation therapy  ·  Drug/alcohol abuse  ·  Genetic enamel abnormality</w:t>
      </w:r>
    </w:p>
    <w:p>
      <w:pPr>
        <w:spacing w:after="120"/>
      </w:pPr>
      <w:r>
        <w:rPr>
          <w:b w:val="0"/>
          <w:i w:val="0"/>
        </w:rPr>
        <w:t xml:space="preserve">Note: patients at </w:t>
      </w:r>
      <w:r>
        <w:rPr>
          <w:b w:val="0"/>
          <w:i/>
        </w:rPr>
        <w:t>low</w:t>
      </w:r>
      <w:r>
        <w:rPr>
          <w:b w:val="0"/>
          <w:i w:val="0"/>
        </w:rPr>
        <w:t xml:space="preserve"> caries risk may not need additional topical fluoride beyond OTC fluoridated toothpaste and fluoridated water.</w:t>
      </w:r>
    </w:p>
    <w:p>
      <w:pPr>
        <w:pStyle w:val="Heading3"/>
      </w:pPr>
      <w:r>
        <w:t>4.6 Fluoride Toxicity (Textbook)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Threshold</w:t>
            </w:r>
          </w:p>
        </w:tc>
        <w:tc>
          <w:tcPr>
            <w:tcW w:type="dxa" w:w="2880"/>
          </w:tcPr>
          <w:p>
            <w:r>
              <w:rPr>
                <w:b/>
                <w:sz w:val="18"/>
              </w:rPr>
              <w:t>Dose</w:t>
            </w:r>
          </w:p>
        </w:tc>
        <w:tc>
          <w:tcPr>
            <w:tcW w:type="dxa" w:w="2880"/>
          </w:tcPr>
          <w:p>
            <w:r>
              <w:rPr>
                <w:b/>
                <w:sz w:val="18"/>
              </w:rPr>
              <w:t>Clinical action</w:t>
            </w:r>
          </w:p>
        </w:tc>
      </w:tr>
      <w:tr>
        <w:tc>
          <w:tcPr>
            <w:tcW w:type="dxa" w:w="2880"/>
          </w:tcPr>
          <w:p>
            <w:r>
              <w:rPr>
                <w:sz w:val="18"/>
              </w:rPr>
              <w:t>Sub-lethal toxic symptoms</w:t>
            </w:r>
          </w:p>
        </w:tc>
        <w:tc>
          <w:tcPr>
            <w:tcW w:type="dxa" w:w="2880"/>
          </w:tcPr>
          <w:p>
            <w:r>
              <w:rPr>
                <w:sz w:val="18"/>
              </w:rPr>
              <w:t>As low as 1 mg/kg</w:t>
            </w:r>
          </w:p>
        </w:tc>
        <w:tc>
          <w:tcPr>
            <w:tcW w:type="dxa" w:w="2880"/>
          </w:tcPr>
          <w:p>
            <w:r>
              <w:rPr>
                <w:sz w:val="18"/>
              </w:rPr>
              <w:t>Salivation, nausea, vomiting, usually within 1 hour</w:t>
            </w:r>
          </w:p>
        </w:tc>
      </w:tr>
      <w:tr>
        <w:tc>
          <w:tcPr>
            <w:tcW w:type="dxa" w:w="2880"/>
          </w:tcPr>
          <w:p>
            <w:r>
              <w:rPr>
                <w:sz w:val="18"/>
              </w:rPr>
              <w:t>Manageable with milk</w:t>
            </w:r>
          </w:p>
        </w:tc>
        <w:tc>
          <w:tcPr>
            <w:tcW w:type="dxa" w:w="2880"/>
          </w:tcPr>
          <w:p>
            <w:r>
              <w:rPr>
                <w:sz w:val="18"/>
              </w:rPr>
              <w:t>&lt; 5 mg/kg</w:t>
            </w:r>
          </w:p>
        </w:tc>
        <w:tc>
          <w:tcPr>
            <w:tcW w:type="dxa" w:w="2880"/>
          </w:tcPr>
          <w:p>
            <w:r>
              <w:rPr>
                <w:sz w:val="18"/>
              </w:rPr>
              <w:t>Give large volume of milk</w:t>
            </w:r>
          </w:p>
        </w:tc>
      </w:tr>
      <w:tr>
        <w:tc>
          <w:tcPr>
            <w:tcW w:type="dxa" w:w="2880"/>
          </w:tcPr>
          <w:p>
            <w:r>
              <w:rPr>
                <w:sz w:val="18"/>
              </w:rPr>
              <w:t>Requires hospital gastric lavage</w:t>
            </w:r>
          </w:p>
        </w:tc>
        <w:tc>
          <w:tcPr>
            <w:tcW w:type="dxa" w:w="2880"/>
          </w:tcPr>
          <w:p>
            <w:r>
              <w:rPr>
                <w:sz w:val="18"/>
              </w:rPr>
              <w:t>≥ 5 mg/kg or uncertain dose</w:t>
            </w:r>
          </w:p>
        </w:tc>
        <w:tc>
          <w:tcPr>
            <w:tcW w:type="dxa" w:w="2880"/>
          </w:tcPr>
          <w:p>
            <w:r>
              <w:rPr>
                <w:sz w:val="18"/>
              </w:rPr>
              <w:t>Prompt lavage — fluoride absorbed rapidly</w:t>
            </w:r>
          </w:p>
        </w:tc>
      </w:tr>
      <w:tr>
        <w:tc>
          <w:tcPr>
            <w:tcW w:type="dxa" w:w="2880"/>
          </w:tcPr>
          <w:p>
            <w:r>
              <w:rPr>
                <w:sz w:val="18"/>
              </w:rPr>
              <w:t>Acute lethal dose</w:t>
            </w:r>
          </w:p>
        </w:tc>
        <w:tc>
          <w:tcPr>
            <w:tcW w:type="dxa" w:w="2880"/>
          </w:tcPr>
          <w:p>
            <w:r>
              <w:rPr>
                <w:sz w:val="18"/>
              </w:rPr>
              <w:t>~15 mg/kg (fatal in some children at 5 mg/kg)</w:t>
            </w:r>
          </w:p>
        </w:tc>
        <w:tc>
          <w:tcPr>
            <w:tcW w:type="dxa" w:w="2880"/>
          </w:tcPr>
          <w:p>
            <w:r>
              <w:rPr>
                <w:sz w:val="18"/>
              </w:rPr>
              <w:t>Emergency treatment mandatory</w:t>
            </w:r>
          </w:p>
        </w:tc>
      </w:tr>
    </w:tbl>
    <w:p>
      <w:r>
        <w:rPr>
          <w:i/>
          <w:sz w:val="18"/>
        </w:rPr>
        <w:t>Source: [1, p.97].</w:t>
      </w:r>
    </w:p>
    <w:p/>
    <w:p>
      <w:pPr>
        <w:spacing w:after="120"/>
      </w:pPr>
      <w:r>
        <w:rPr>
          <w:b w:val="0"/>
          <w:i w:val="0"/>
        </w:rPr>
        <w:t>For a representative 5-year-old (20 kg): sub-lethal dose ≈ 22 mL of 1500-ppm toothpaste (~2/3 of a 100 mL tube), potentially lethal ≈ 66 mL; for 5000-ppm toothpaste, sub-lethal ≈ 6 mL, lethal ≈ 20 mL — the basis for keeping high-concentration prescription pastes away from young children</w:t>
      </w:r>
      <w:r>
        <w:rPr>
          <w:b w:val="0"/>
          <w:i w:val="0"/>
        </w:rPr>
        <w:t xml:space="preserve"> [1, p.97-98]</w:t>
      </w:r>
      <w:r>
        <w:rPr>
          <w:b w:val="0"/>
          <w:i w:val="0"/>
        </w:rPr>
        <w:t>.</w:t>
      </w:r>
    </w:p>
    <w:p>
      <w:r>
        <w:br w:type="page"/>
      </w:r>
    </w:p>
    <w:p>
      <w:pPr>
        <w:pStyle w:val="Heading2"/>
      </w:pPr>
      <w:r>
        <w:t>4A. Non-Fluoride Remineralization Therapies</w:t>
      </w:r>
    </w:p>
    <w:p>
      <w:r>
        <w:t>Fluoride (Section 4 above) remains the primary, best-evidenced remineralization agent, but several non-fluoride — or fluoride-adjunct — remineralization technologies exist and are increasingly used, particularly for patients where fluoride alone is insufficient or as a complementary strategy.</w:t>
      </w:r>
    </w:p>
    <w:p>
      <w:pPr>
        <w:pStyle w:val="Heading3"/>
      </w:pPr>
      <w:r>
        <w:t>Bioactive Glass and Tricalcium Phosphate</w:t>
      </w:r>
    </w:p>
    <w:p>
      <w:r>
        <w:t>Bioactive glass (e.g., 45S5/NovaMin-type formulations) works through an ion-exchange mechanism: the material releases sodium, calcium, phosphate, and (in fluoride-containing formulations) fluoride ions, which supersaturate the surrounding fluid and reprecipitate onto the demineralized tooth surface. This forms a hydroxycarbonate apatite layer compositionally similar to natural dentine/enamel, which can physically block open dentinal tubules (relevant to dentine hypersensitivity management) and promotes calcium phosphate deposition across the demineralized lesion, with calcium availability acting as the rate-limiting factor for the reaction.</w:t>
      </w:r>
      <w:r>
        <w:t xml:space="preserve"> [8]</w:t>
      </w:r>
    </w:p>
    <w:p>
      <w:r>
        <w:rPr>
          <w:b/>
        </w:rPr>
        <w:t>Functionalized tricalcium phosphate (f-TCP)</w:t>
      </w:r>
      <w:r>
        <w:t xml:space="preserve"> works on a related principle — providing bioavailable calcium and phosphate ions to support hydroxyapatite formation — and has been developed alongside bioactive glass as one of several non-fluoridated remineralizing agents intended to overcome specific drawbacks of fluoride therapy (e.g., in patients requiring a fluoride-free approach, or as a delivery-vehicle option with different handling properties).</w:t>
      </w:r>
    </w:p>
    <w:p>
      <w:r>
        <w:rPr>
          <w:b/>
        </w:rPr>
        <w:t xml:space="preserve">Transparency note: </w:t>
      </w:r>
      <w:r>
        <w:t>bioactive glass content in this section is sourced from a specific, verifiable journal article (below). Tricalcium phosphate's mechanism is described here only at a general level, since no single primary-source article specific to f-TCP was independently verified with a fetched full text during this revision — flagged rather than presented as page-cited textbook fact, consistent with this document's citation-discipline rule.</w:t>
      </w:r>
    </w:p>
    <w:p>
      <w:pPr>
        <w:pStyle w:val="Heading2"/>
      </w:pPr>
      <w:r>
        <w:t>5. Nonrestorative Management of Carious Lesions (ADA Evidence-Based Guideline, 2018)</w:t>
      </w:r>
    </w:p>
    <w:p>
      <w:pPr>
        <w:spacing w:after="120"/>
      </w:pPr>
      <w:r>
        <w:rPr>
          <w:b w:val="0"/>
          <w:i w:val="0"/>
        </w:rPr>
        <w:t>Citation: Slayton RL, Urquhart O, Araujo MWB, et al. J Am Dent Assoc. 2018;149(10):837–849</w:t>
      </w:r>
      <w:r>
        <w:rPr>
          <w:b w:val="0"/>
          <w:i w:val="0"/>
        </w:rPr>
        <w:t xml:space="preserve"> [3, p.1]</w:t>
      </w:r>
      <w:r>
        <w:rPr>
          <w:b w:val="0"/>
          <w:i w:val="0"/>
        </w:rPr>
        <w:t xml:space="preserve">. Recommendations are graded by </w:t>
      </w:r>
      <w:r>
        <w:rPr>
          <w:b/>
          <w:i w:val="0"/>
        </w:rPr>
        <w:t>GRADE certainty in evidence</w:t>
      </w:r>
      <w:r>
        <w:rPr>
          <w:b w:val="0"/>
          <w:i w:val="0"/>
        </w:rPr>
        <w:t xml:space="preserve"> (High / Moderate / Low / Very Low) and </w:t>
      </w:r>
      <w:r>
        <w:rPr>
          <w:b/>
          <w:i w:val="0"/>
        </w:rPr>
        <w:t>strength of recommendation</w:t>
      </w:r>
      <w:r>
        <w:rPr>
          <w:b w:val="0"/>
          <w:i w:val="0"/>
        </w:rPr>
        <w:t xml:space="preserve"> (Strong / Conditional).</w:t>
      </w:r>
    </w:p>
    <w:p>
      <w:pPr>
        <w:spacing w:before="80" w:after="80"/>
      </w:pPr>
      <w:r>
        <w:rPr>
          <w:b/>
        </w:rPr>
        <w:t xml:space="preserve">DEFINITION — Noncavitated lesion (for this guideline): </w:t>
      </w:r>
      <w:r>
        <w:rPr>
          <w:b w:val="0"/>
          <w:i w:val="0"/>
        </w:rPr>
        <w:t>ICDAS codes 1 and 2.</w:t>
      </w:r>
      <w:r>
        <w:t xml:space="preserve"> [3, p.1]</w:t>
      </w:r>
    </w:p>
    <w:p>
      <w:pPr>
        <w:spacing w:before="80" w:after="80"/>
      </w:pPr>
      <w:r>
        <w:rPr>
          <w:b/>
        </w:rPr>
        <w:t xml:space="preserve">DEFINITION — Cavitated lesion (for this guideline): </w:t>
      </w:r>
      <w:r>
        <w:rPr>
          <w:b w:val="0"/>
          <w:i w:val="0"/>
        </w:rPr>
        <w:t>ICDAS codes 5 and 6.</w:t>
      </w:r>
      <w:r>
        <w:t xml:space="preserve"> [3, p.1]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Clinical scenario</w:t>
            </w:r>
          </w:p>
        </w:tc>
        <w:tc>
          <w:tcPr>
            <w:tcW w:type="dxa" w:w="2160"/>
          </w:tcPr>
          <w:p>
            <w:r>
              <w:rPr>
                <w:b/>
                <w:sz w:val="18"/>
              </w:rPr>
              <w:t>Recommended intervention(s)</w:t>
            </w:r>
          </w:p>
        </w:tc>
        <w:tc>
          <w:tcPr>
            <w:tcW w:type="dxa" w:w="2160"/>
          </w:tcPr>
          <w:p>
            <w:r>
              <w:rPr>
                <w:b/>
                <w:sz w:val="18"/>
              </w:rPr>
              <w:t>Certainty</w:t>
            </w:r>
          </w:p>
        </w:tc>
        <w:tc>
          <w:tcPr>
            <w:tcW w:type="dxa" w:w="2160"/>
          </w:tcPr>
          <w:p>
            <w:r>
              <w:rPr>
                <w:b/>
                <w:sz w:val="18"/>
              </w:rPr>
              <w:t>Strength</w:t>
            </w:r>
          </w:p>
        </w:tc>
      </w:tr>
      <w:tr>
        <w:tc>
          <w:tcPr>
            <w:tcW w:type="dxa" w:w="2160"/>
          </w:tcPr>
          <w:p>
            <w:r>
              <w:rPr>
                <w:sz w:val="18"/>
              </w:rPr>
              <w:t>Arrest advanced CAVITATED lesions, any coronal surface</w:t>
            </w:r>
          </w:p>
        </w:tc>
        <w:tc>
          <w:tcPr>
            <w:tcW w:type="dxa" w:w="2160"/>
          </w:tcPr>
          <w:p>
            <w:r>
              <w:rPr>
                <w:sz w:val="18"/>
              </w:rPr>
              <w:t>38% silver diamine fluoride (SDF), biannual — prioritized over 5% NaF varnish weekly ×3 weeks</w:t>
            </w:r>
          </w:p>
        </w:tc>
        <w:tc>
          <w:tcPr>
            <w:tcW w:type="dxa" w:w="2160"/>
          </w:tcPr>
          <w:p>
            <w:r>
              <w:rPr>
                <w:sz w:val="18"/>
              </w:rPr>
              <w:t>Low</w:t>
            </w:r>
          </w:p>
        </w:tc>
        <w:tc>
          <w:tcPr>
            <w:tcW w:type="dxa" w:w="2160"/>
          </w:tcPr>
          <w:p>
            <w:r>
              <w:rPr>
                <w:sz w:val="18"/>
              </w:rPr>
              <w:t>Conditional</w:t>
            </w:r>
          </w:p>
        </w:tc>
      </w:tr>
      <w:tr>
        <w:tc>
          <w:tcPr>
            <w:tcW w:type="dxa" w:w="2160"/>
          </w:tcPr>
          <w:p>
            <w:r>
              <w:rPr>
                <w:sz w:val="18"/>
              </w:rPr>
              <w:t>Arrest/reverse NONCAVITATED, occlusal surfaces</w:t>
            </w:r>
          </w:p>
        </w:tc>
        <w:tc>
          <w:tcPr>
            <w:tcW w:type="dxa" w:w="2160"/>
          </w:tcPr>
          <w:p>
            <w:r>
              <w:rPr>
                <w:sz w:val="18"/>
              </w:rPr>
              <w:t>Sealants + 5% NaF varnish (3–6 mo), or sealants alone — prioritized over varnish alone, 1.23% APF gel, or 0.2% NaF mouthrinse</w:t>
            </w:r>
          </w:p>
        </w:tc>
        <w:tc>
          <w:tcPr>
            <w:tcW w:type="dxa" w:w="2160"/>
          </w:tcPr>
          <w:p>
            <w:r>
              <w:rPr>
                <w:sz w:val="18"/>
              </w:rPr>
              <w:t>Moderate</w:t>
            </w:r>
          </w:p>
        </w:tc>
        <w:tc>
          <w:tcPr>
            <w:tcW w:type="dxa" w:w="2160"/>
          </w:tcPr>
          <w:p>
            <w:r>
              <w:rPr>
                <w:sz w:val="18"/>
              </w:rPr>
              <w:t>Strong</w:t>
            </w:r>
          </w:p>
        </w:tc>
      </w:tr>
      <w:tr>
        <w:tc>
          <w:tcPr>
            <w:tcW w:type="dxa" w:w="2160"/>
          </w:tcPr>
          <w:p>
            <w:r>
              <w:rPr>
                <w:sz w:val="18"/>
              </w:rPr>
              <w:t>Arrest/reverse NONCAVITATED, facial/lingual surfaces</w:t>
            </w:r>
          </w:p>
        </w:tc>
        <w:tc>
          <w:tcPr>
            <w:tcW w:type="dxa" w:w="2160"/>
          </w:tcPr>
          <w:p>
            <w:r>
              <w:rPr>
                <w:sz w:val="18"/>
              </w:rPr>
              <w:t>1.23% APF gel (3–6 mo) or 5% NaF varnish (3–6 mo)</w:t>
            </w:r>
          </w:p>
        </w:tc>
        <w:tc>
          <w:tcPr>
            <w:tcW w:type="dxa" w:w="2160"/>
          </w:tcPr>
          <w:p>
            <w:r>
              <w:rPr>
                <w:sz w:val="18"/>
              </w:rPr>
              <w:t>—</w:t>
            </w:r>
          </w:p>
        </w:tc>
        <w:tc>
          <w:tcPr>
            <w:tcW w:type="dxa" w:w="2160"/>
          </w:tcPr>
          <w:p>
            <w:r>
              <w:rPr>
                <w:sz w:val="18"/>
              </w:rPr>
              <w:t>Conditional</w:t>
            </w:r>
          </w:p>
        </w:tc>
      </w:tr>
      <w:tr>
        <w:tc>
          <w:tcPr>
            <w:tcW w:type="dxa" w:w="2160"/>
          </w:tcPr>
          <w:p>
            <w:r>
              <w:rPr>
                <w:sz w:val="18"/>
              </w:rPr>
              <w:t>Arrest/reverse NONCAVITATED, approximal surfaces</w:t>
            </w:r>
          </w:p>
        </w:tc>
        <w:tc>
          <w:tcPr>
            <w:tcW w:type="dxa" w:w="2160"/>
          </w:tcPr>
          <w:p>
            <w:r>
              <w:rPr>
                <w:sz w:val="18"/>
              </w:rPr>
              <w:t>5% NaF varnish, resin infiltration alone, resin infiltration + varnish, or sealants alone</w:t>
            </w:r>
          </w:p>
        </w:tc>
        <w:tc>
          <w:tcPr>
            <w:tcW w:type="dxa" w:w="2160"/>
          </w:tcPr>
          <w:p>
            <w:r>
              <w:rPr>
                <w:sz w:val="18"/>
              </w:rPr>
              <w:t>—</w:t>
            </w:r>
          </w:p>
        </w:tc>
        <w:tc>
          <w:tcPr>
            <w:tcW w:type="dxa" w:w="2160"/>
          </w:tcPr>
          <w:p>
            <w:r>
              <w:rPr>
                <w:sz w:val="18"/>
              </w:rPr>
              <w:t>Conditional</w:t>
            </w:r>
          </w:p>
        </w:tc>
      </w:tr>
      <w:tr>
        <w:tc>
          <w:tcPr>
            <w:tcW w:type="dxa" w:w="2160"/>
          </w:tcPr>
          <w:p>
            <w:r>
              <w:rPr>
                <w:sz w:val="18"/>
              </w:rPr>
              <w:t>Arrest/reverse NONCAVITATED and CAVITATED, root surfaces</w:t>
            </w:r>
          </w:p>
        </w:tc>
        <w:tc>
          <w:tcPr>
            <w:tcW w:type="dxa" w:w="2160"/>
          </w:tcPr>
          <w:p>
            <w:r>
              <w:rPr>
                <w:sz w:val="18"/>
              </w:rPr>
              <w:t>5,000 ppm F (1.1% NaF) toothpaste/gel ≥ 1x/day — prioritized over varnish, SDF + KI, SDF alone, or 1% chlorhexidine + 1% thymol varnish</w:t>
            </w:r>
          </w:p>
        </w:tc>
        <w:tc>
          <w:tcPr>
            <w:tcW w:type="dxa" w:w="2160"/>
          </w:tcPr>
          <w:p>
            <w:r>
              <w:rPr>
                <w:sz w:val="18"/>
              </w:rPr>
              <w:t>Low</w:t>
            </w:r>
          </w:p>
        </w:tc>
        <w:tc>
          <w:tcPr>
            <w:tcW w:type="dxa" w:w="2160"/>
          </w:tcPr>
          <w:p>
            <w:r>
              <w:rPr>
                <w:sz w:val="18"/>
              </w:rPr>
              <w:t>Conditional</w:t>
            </w:r>
          </w:p>
        </w:tc>
      </w:tr>
      <w:tr>
        <w:tc>
          <w:tcPr>
            <w:tcW w:type="dxa" w:w="2160"/>
          </w:tcPr>
          <w:p>
            <w:r>
              <w:rPr>
                <w:sz w:val="18"/>
              </w:rPr>
              <w:t>NONCAVITATED, coronal — CPP-ACP paste</w:t>
            </w:r>
          </w:p>
        </w:tc>
        <w:tc>
          <w:tcPr>
            <w:tcW w:type="dxa" w:w="2160"/>
          </w:tcPr>
          <w:p>
            <w:r>
              <w:rPr>
                <w:sz w:val="18"/>
              </w:rPr>
              <w:t>Do NOT use 10% CPP-ACP paste if fluoride/sealant/resin-infiltration options are accessible</w:t>
            </w:r>
          </w:p>
        </w:tc>
        <w:tc>
          <w:tcPr>
            <w:tcW w:type="dxa" w:w="2160"/>
          </w:tcPr>
          <w:p>
            <w:r>
              <w:rPr>
                <w:sz w:val="18"/>
              </w:rPr>
              <w:t>Low</w:t>
            </w:r>
          </w:p>
        </w:tc>
        <w:tc>
          <w:tcPr>
            <w:tcW w:type="dxa" w:w="2160"/>
          </w:tcPr>
          <w:p>
            <w:r>
              <w:rPr>
                <w:sz w:val="18"/>
              </w:rPr>
              <w:t>Conditional</w:t>
            </w:r>
          </w:p>
        </w:tc>
      </w:tr>
    </w:tbl>
    <w:p>
      <w:r>
        <w:rPr>
          <w:i/>
          <w:sz w:val="18"/>
        </w:rPr>
        <w:t>Source: ADA Chairside Guide accompanying [3]. NaF = sodium fluoride; APF = acidulated phosphate fluoride; KI = potassium iodide.</w:t>
      </w:r>
    </w:p>
    <w:p/>
    <w:p>
      <w:pPr>
        <w:spacing w:after="120"/>
      </w:pPr>
      <w:r>
        <w:rPr>
          <w:b/>
          <w:i w:val="0"/>
        </w:rPr>
        <w:t>Informed consent note:</w:t>
      </w:r>
      <w:r>
        <w:rPr>
          <w:b w:val="0"/>
          <w:i w:val="0"/>
        </w:rPr>
        <w:t xml:space="preserve"> all nonrestorative and restorative options and their side effects (e.g., permanent black staining of the lesion with SDF) must be explained to the patient before treatment</w:t>
      </w:r>
      <w:r>
        <w:rPr>
          <w:b w:val="0"/>
          <w:i w:val="0"/>
        </w:rPr>
        <w:t xml:space="preserve"> [3, p.1]</w:t>
      </w:r>
      <w:r>
        <w:rPr>
          <w:b w:val="0"/>
          <w:i w:val="0"/>
        </w:rPr>
        <w:t>.</w:t>
      </w:r>
    </w:p>
    <w:p>
      <w:pPr>
        <w:spacing w:after="120"/>
      </w:pPr>
      <w:r>
        <w:rPr>
          <w:b/>
          <w:i w:val="0"/>
        </w:rPr>
        <w:t>Clinical pathway logic (coronal, occlusal surfaces):</w:t>
      </w:r>
      <w:r>
        <w:rPr>
          <w:b w:val="0"/>
          <w:i w:val="0"/>
        </w:rPr>
        <w:t xml:space="preserve"> noncavitated → sealants ± varnish first-line, varnish/APF gel/mouthrinse if sealants not feasible; cavitated → varnish, SDF ± KI, or chlorhexidine-thymol varnish, ranked by panel priority accounting for effectiveness, feasibility, patient preference, and resource use</w:t>
      </w:r>
      <w:r>
        <w:rPr>
          <w:b w:val="0"/>
          <w:i w:val="0"/>
        </w:rPr>
        <w:t xml:space="preserve"> [3, p.2]</w:t>
      </w:r>
      <w:r>
        <w:rPr>
          <w:b w:val="0"/>
          <w:i w:val="0"/>
        </w:rPr>
        <w:t>.</w:t>
      </w:r>
    </w:p>
    <w:p>
      <w:r>
        <w:br w:type="page"/>
      </w:r>
    </w:p>
    <w:p>
      <w:pPr>
        <w:pStyle w:val="Heading2"/>
      </w:pPr>
      <w:r>
        <w:t>5A. Patient-Centered Caries Management (PCCM) and CAMBRA (Summitt's)</w:t>
      </w:r>
    </w:p>
    <w:p>
      <w:r>
        <w:t xml:space="preserve">A named, citable management paradigm worth knowing explicitly: </w:t>
      </w:r>
      <w:r>
        <w:t>Patient-Centered Caries Management (PCCM)</w:t>
      </w:r>
      <w:r>
        <w:t>, enabled by ICDAS visual scoring for detection/activity and integrated with Caries Management By Risk Assessment (CAMBRA), reframes caries treatment as a controllable process — the goal being that lesions may never form or, if they do, that their progression can be arrested rather than simply restored.</w:t>
      </w:r>
      <w:r>
        <w:t xml:space="preserve"> [10, p.207-208]</w:t>
      </w:r>
    </w:p>
    <w:p>
      <w:r>
        <w:t>PCCM's structure: a comprehensive assessment (caries risk/protective factors, detection/diagnosis, activity of existing lesions) is synthesized into a personalized treatment plan spanning three tiers — preventive/noninvasive options, operative/minimally-invasive options, and maintenance care (recall for reassessment/monitoring). Treatment choice for any given lesion depends on prognostic factors including lesion activity and its behaviour over time, not simply its presence.</w:t>
      </w:r>
      <w:r>
        <w:t xml:space="preserve"> [10, p.208]</w:t>
      </w:r>
    </w:p>
    <w:p>
      <w:r>
        <w:t xml:space="preserve">The conceptual motivation behind PCCM is stated sharply: restorative treatment alone, without addressing causative factors, initiates an </w:t>
      </w:r>
      <w:r>
        <w:t>iatrogenic “restorative cycle”</w:t>
      </w:r>
      <w:r>
        <w:t xml:space="preserve"> of repeated re-treatment — quoted directly from clinician V. Kim Kutsch: “I get to the cause of the disease, instead of just treating the symptoms... When you're focused on just treating the symptoms surgically... you never catch up.” Caries is framed explicitly as a bacterial disease where restoration without removing causative factors is “like placing a new roof on a burning house.”</w:t>
      </w:r>
      <w:r>
        <w:t xml:space="preserve"> [10, p.207-208]</w:t>
      </w:r>
    </w:p>
    <w:p>
      <w:pPr>
        <w:pStyle w:val="Heading2"/>
      </w:pPr>
      <w:r>
        <w:t>5B. The Caries-Control Restoration (Sturdevant's)</w:t>
      </w:r>
    </w:p>
    <w:p>
      <w:r>
        <w:rPr>
          <w:b/>
        </w:rPr>
        <w:t xml:space="preserve">DEFINITION — Caries-control restoration: </w:t>
      </w:r>
      <w:r>
        <w:t>an intermediate restorative approach for ACUTE caries (dentin softening progressed at least halfway from the DEJ to the pulp), aimed at rapidly removing infected caries from all advanced lesions, placing appropriate pulpal medication, and restoring with temporary material (IRM, a strong GIC such as Fuji IX, or amalgam) — explicitly NOT a definitive restoration, but a rapid, expedient intervention to stop active disease and buy time for pulpal assessment.</w:t>
      </w:r>
      <w:r>
        <w:t xml:space="preserve"> [9, p.126]</w:t>
      </w:r>
    </w:p>
    <w:p>
      <w:r>
        <w:t>Three specific indications</w:t>
      </w:r>
      <w:r>
        <w:rPr>
          <w:i w:val="0"/>
        </w:rPr>
        <w:t xml:space="preserve"> [9, p.126]</w:t>
      </w:r>
    </w:p>
    <w:p>
      <w:pPr>
        <w:pStyle w:val="ListBullet"/>
      </w:pPr>
      <w:r>
        <w:t>Caries extensive enough that adverse pulpal sequelae are likely imminent</w:t>
      </w:r>
    </w:p>
    <w:p>
      <w:pPr>
        <w:pStyle w:val="ListBullet"/>
      </w:pPr>
      <w:r>
        <w:t>Treatment goal is removing the infectious nidus from the mouth quickly (e.g., multiple acute lesions needing urgent, same-visit control)</w:t>
      </w:r>
    </w:p>
    <w:p>
      <w:pPr>
        <w:pStyle w:val="ListBullet"/>
      </w:pPr>
      <w:r>
        <w:t>A tooth's carious involvement is too extensive to permanently restore right away because of limited chairside time or uncertain pulpal prognosis</w:t>
      </w:r>
    </w:p>
    <w:p>
      <w:r>
        <w:t>This is framed explicitly as “part of the medical model” of disease management, with a structured three-phase protocol:</w:t>
      </w:r>
      <w:r>
        <w:t xml:space="preserve"> [9, p.126]</w:t>
      </w:r>
    </w:p>
    <w:tbl>
      <w:tblPr>
        <w:tblStyle w:val="LightGrid-Accent1"/>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Actions</w:t>
            </w:r>
          </w:p>
        </w:tc>
      </w:tr>
      <w:tr>
        <w:tc>
          <w:tcPr>
            <w:tcW w:type="dxa" w:w="4320"/>
          </w:tcPr>
          <w:p>
            <w:r>
              <w:t>Initial Treatment</w:t>
            </w:r>
          </w:p>
        </w:tc>
        <w:tc>
          <w:tcPr>
            <w:tcW w:type="dxa" w:w="4320"/>
          </w:tcPr>
          <w:p>
            <w:r>
              <w:t>Thorough evaluation/documentation of lesions; temporize ALL large cavitated lesions with caries-control restorations; specific antimicrobial treatment; plaque control; dietary control</w:t>
            </w:r>
          </w:p>
        </w:tc>
      </w:tr>
      <w:tr>
        <w:tc>
          <w:tcPr>
            <w:tcW w:type="dxa" w:w="4320"/>
          </w:tcPr>
          <w:p>
            <w:r>
              <w:t>Preliminary Assessment</w:t>
            </w:r>
          </w:p>
        </w:tc>
        <w:tc>
          <w:tcPr>
            <w:tcW w:type="dxa" w:w="4320"/>
          </w:tcPr>
          <w:p>
            <w:r>
              <w:t>Gingival response as a marker of plaque-control effectiveness; pulpal response of caries-control-restored teeth; patient compliance with medication/hygiene/diet measures</w:t>
            </w:r>
          </w:p>
        </w:tc>
      </w:tr>
      <w:tr>
        <w:tc>
          <w:tcPr>
            <w:tcW w:type="dxa" w:w="4320"/>
          </w:tcPr>
          <w:p>
            <w:r>
              <w:t>Follow-up Care</w:t>
            </w:r>
          </w:p>
        </w:tc>
        <w:tc>
          <w:tcPr>
            <w:tcW w:type="dxa" w:w="4320"/>
          </w:tcPr>
          <w:p>
            <w:r>
              <w:t>Careful clinical re-evaluation; REPLACE caries-control restorations with permanent restorations; monitor plaque/mutans streptococci levels; further antimicrobial/dietary reassessment if new cavitations or high MS levels appear</w:t>
            </w:r>
          </w:p>
        </w:tc>
      </w:tr>
    </w:tbl>
    <w:p>
      <w:r>
        <w:rPr>
          <w:i/>
        </w:rPr>
        <w:t>Source: [9, p.126].</w:t>
      </w:r>
    </w:p>
    <w:p>
      <w:r>
        <w:t>This is a genuinely distinct management strategy from everything else in this document — not a prevention protocol (Sections 3-4 above) and not a definitive restorative decision (Sub-Module 4), but a deliberate INTERMEDIATE step that buys diagnostic time (pulpal prognosis) while halting active disease, particularly relevant for the high-risk/acute-caries patient population already discussed in Sections 1-2.</w:t>
      </w:r>
    </w:p>
    <w:p>
      <w:pPr>
        <w:pStyle w:val="Heading2"/>
      </w:pPr>
      <w:r>
        <w:t>6. Dietary Control in Caries Management (Textbook)</w:t>
      </w:r>
    </w:p>
    <w:p>
      <w:pPr>
        <w:spacing w:after="120"/>
      </w:pPr>
      <w:r>
        <w:rPr>
          <w:b w:val="0"/>
          <w:i w:val="0"/>
        </w:rPr>
        <w:t xml:space="preserve">The link between sugar frequency/quantity and caries is called “irrefutable” </w:t>
      </w:r>
      <w:r>
        <w:rPr>
          <w:b w:val="0"/>
          <w:i/>
        </w:rPr>
        <w:t>but</w:t>
      </w:r>
      <w:r>
        <w:rPr>
          <w:b w:val="0"/>
          <w:i w:val="0"/>
        </w:rPr>
        <w:t xml:space="preserve"> the source is equally candid that evidence for professional dietary </w:t>
      </w:r>
      <w:r>
        <w:rPr>
          <w:b w:val="0"/>
          <w:i/>
        </w:rPr>
        <w:t>counselling actually changing behaviour</w:t>
      </w:r>
      <w:r>
        <w:rPr>
          <w:b w:val="0"/>
          <w:i w:val="0"/>
        </w:rPr>
        <w:t xml:space="preserve"> is weak, and that practical emphasis has shifted toward fluoride-supported hygiene since effective topical fluoride became available</w:t>
      </w:r>
      <w:r>
        <w:rPr>
          <w:b w:val="0"/>
          <w:i w:val="0"/>
        </w:rPr>
        <w:t xml:space="preserve"> [1, p.98]</w:t>
      </w:r>
      <w:r>
        <w:rPr>
          <w:b w:val="0"/>
          <w:i w:val="0"/>
        </w:rPr>
        <w:t>.</w:t>
      </w:r>
    </w:p>
    <w:p>
      <w:pPr>
        <w:spacing w:before="80" w:after="80"/>
      </w:pPr>
      <w:r>
        <w:rPr>
          <w:b/>
        </w:rPr>
        <w:t xml:space="preserve">DEFINITION — Caries–obesity link: </w:t>
      </w:r>
      <w:r>
        <w:rPr>
          <w:b w:val="0"/>
          <w:i w:val="0"/>
        </w:rPr>
        <w:t>specifically reviewed and REJECTED on current systematic-review evidence — falling caries prevalence has coincided with rising obesity prevalence in developed countries, and in some populations caries associates with UNDERweight. A “common risk factor” rationale for sugar reduction is still endorsed (same intervention plausibly helps both).</w:t>
      </w:r>
      <w:r>
        <w:t xml:space="preserve"> [1, p.99]</w:t>
      </w:r>
    </w:p>
    <w:p>
      <w:pPr>
        <w:pStyle w:val="Heading3"/>
      </w:pPr>
      <w:r>
        <w:t>6.1 Patient-Facing Recommendations (Verbatim from Source)</w:t>
      </w:r>
    </w:p>
    <w:p>
      <w:pPr>
        <w:pStyle w:val="ListBullet"/>
        <w:spacing w:after="60"/>
      </w:pPr>
      <w:r>
        <w:rPr>
          <w:b w:val="0"/>
          <w:i w:val="0"/>
        </w:rPr>
        <w:t>Drink plain water; fruit juice (even “no added sugar”) is cariogenic — never add sugar to drinks</w:t>
      </w:r>
      <w:r>
        <w:rPr>
          <w:b w:val="0"/>
          <w:i w:val="0"/>
        </w:rPr>
        <w:t xml:space="preserve"> [1, p.99]</w:t>
      </w:r>
    </w:p>
    <w:p>
      <w:pPr>
        <w:pStyle w:val="ListBullet"/>
        <w:spacing w:after="60"/>
      </w:pPr>
      <w:r>
        <w:rPr>
          <w:b w:val="0"/>
          <w:i w:val="0"/>
        </w:rPr>
        <w:t>Reduce frequency AND amount of sugar, at and between meals</w:t>
      </w:r>
      <w:r>
        <w:rPr>
          <w:b w:val="0"/>
          <w:i w:val="0"/>
        </w:rPr>
        <w:t xml:space="preserve"> [1, p.99]</w:t>
      </w:r>
    </w:p>
    <w:p>
      <w:pPr>
        <w:pStyle w:val="ListBullet"/>
        <w:spacing w:after="60"/>
      </w:pPr>
      <w:r>
        <w:rPr>
          <w:b w:val="0"/>
          <w:i w:val="0"/>
        </w:rPr>
        <w:t>Restrict sweets to ≤ 1 day/week</w:t>
      </w:r>
      <w:r>
        <w:rPr>
          <w:b w:val="0"/>
          <w:i w:val="0"/>
        </w:rPr>
        <w:t xml:space="preserve"> [1, p.99]</w:t>
      </w:r>
    </w:p>
    <w:p>
      <w:pPr>
        <w:pStyle w:val="ListBullet"/>
        <w:spacing w:after="60"/>
      </w:pPr>
      <w:r>
        <w:rPr>
          <w:b w:val="0"/>
          <w:i w:val="0"/>
        </w:rPr>
        <w:t>Between-meal snack substitutes: fruit/vegetables, not cakes or sweet soft drinks</w:t>
      </w:r>
      <w:r>
        <w:rPr>
          <w:b w:val="0"/>
          <w:i w:val="0"/>
        </w:rPr>
        <w:t xml:space="preserve"> [1, p.99]</w:t>
      </w:r>
    </w:p>
    <w:p>
      <w:pPr>
        <w:pStyle w:val="ListBullet"/>
        <w:spacing w:after="60"/>
      </w:pPr>
      <w:r>
        <w:rPr>
          <w:b w:val="0"/>
          <w:i w:val="0"/>
        </w:rPr>
        <w:t>Check liquid medicines are not syrup-based</w:t>
      </w:r>
      <w:r>
        <w:rPr>
          <w:b w:val="0"/>
          <w:i w:val="0"/>
        </w:rPr>
        <w:t xml:space="preserve"> [1, p.99]</w:t>
      </w:r>
    </w:p>
    <w:p>
      <w:pPr>
        <w:pStyle w:val="ListBullet"/>
        <w:spacing w:after="60"/>
      </w:pPr>
      <w:r>
        <w:rPr>
          <w:b w:val="0"/>
          <w:i w:val="0"/>
        </w:rPr>
        <w:t>Seek school-level consensus against sweet celebratory snacks</w:t>
      </w:r>
      <w:r>
        <w:rPr>
          <w:b w:val="0"/>
          <w:i w:val="0"/>
        </w:rPr>
        <w:t xml:space="preserve"> [1, p.99]</w:t>
      </w:r>
    </w:p>
    <w:p>
      <w:pPr>
        <w:pStyle w:val="Heading3"/>
      </w:pPr>
      <w:r>
        <w:t>6.2 Patient FAQ (Textbook)</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Question</w:t>
            </w:r>
          </w:p>
        </w:tc>
        <w:tc>
          <w:tcPr>
            <w:tcW w:type="dxa" w:w="4320"/>
          </w:tcPr>
          <w:p>
            <w:r>
              <w:rPr>
                <w:b/>
                <w:sz w:val="18"/>
              </w:rPr>
              <w:t>Answer</w:t>
            </w:r>
          </w:p>
        </w:tc>
      </w:tr>
      <w:tr>
        <w:tc>
          <w:tcPr>
            <w:tcW w:type="dxa" w:w="4320"/>
          </w:tcPr>
          <w:p>
            <w:r>
              <w:rPr>
                <w:sz w:val="18"/>
              </w:rPr>
              <w:t>Is fresh fruit OK?</w:t>
            </w:r>
          </w:p>
        </w:tc>
        <w:tc>
          <w:tcPr>
            <w:tcW w:type="dxa" w:w="4320"/>
          </w:tcPr>
          <w:p>
            <w:r>
              <w:rPr>
                <w:sz w:val="18"/>
              </w:rPr>
              <w:t>Yes — intrinsic sugars not harmful; but large regular quantities of acidic fruit risk erosion</w:t>
            </w:r>
          </w:p>
        </w:tc>
      </w:tr>
      <w:tr>
        <w:tc>
          <w:tcPr>
            <w:tcW w:type="dxa" w:w="4320"/>
          </w:tcPr>
          <w:p>
            <w:r>
              <w:rPr>
                <w:sz w:val="18"/>
              </w:rPr>
              <w:t>Canned fruit?</w:t>
            </w:r>
          </w:p>
        </w:tc>
        <w:tc>
          <w:tcPr>
            <w:tcW w:type="dxa" w:w="4320"/>
          </w:tcPr>
          <w:p>
            <w:r>
              <w:rPr>
                <w:sz w:val="18"/>
              </w:rPr>
              <w:t>Often problematic — usually in sugar syrup</w:t>
            </w:r>
          </w:p>
        </w:tc>
      </w:tr>
      <w:tr>
        <w:tc>
          <w:tcPr>
            <w:tcW w:type="dxa" w:w="4320"/>
          </w:tcPr>
          <w:p>
            <w:r>
              <w:rPr>
                <w:sz w:val="18"/>
              </w:rPr>
              <w:t>Fruit juice / smoothies?</w:t>
            </w:r>
          </w:p>
        </w:tc>
        <w:tc>
          <w:tcPr>
            <w:tcW w:type="dxa" w:w="4320"/>
          </w:tcPr>
          <w:p>
            <w:r>
              <w:rPr>
                <w:sz w:val="18"/>
              </w:rPr>
              <w:t>NOT tooth-friendly — juicing/blending releases free sugars from fruit fibre; limit to mealtimes only</w:t>
            </w:r>
          </w:p>
        </w:tc>
      </w:tr>
      <w:tr>
        <w:tc>
          <w:tcPr>
            <w:tcW w:type="dxa" w:w="4320"/>
          </w:tcPr>
          <w:p>
            <w:r>
              <w:rPr>
                <w:sz w:val="18"/>
              </w:rPr>
              <w:t>Dried fruit?</w:t>
            </w:r>
          </w:p>
        </w:tc>
        <w:tc>
          <w:tcPr>
            <w:tcW w:type="dxa" w:w="4320"/>
          </w:tcPr>
          <w:p>
            <w:r>
              <w:rPr>
                <w:sz w:val="18"/>
              </w:rPr>
              <w:t>Highly sugar-concentrated AND sticky — not a safe snack</w:t>
            </w:r>
          </w:p>
        </w:tc>
      </w:tr>
      <w:tr>
        <w:tc>
          <w:tcPr>
            <w:tcW w:type="dxa" w:w="4320"/>
          </w:tcPr>
          <w:p>
            <w:r>
              <w:rPr>
                <w:sz w:val="18"/>
              </w:rPr>
              <w:t>Milk?</w:t>
            </w:r>
          </w:p>
        </w:tc>
        <w:tc>
          <w:tcPr>
            <w:tcW w:type="dxa" w:w="4320"/>
          </w:tcPr>
          <w:p>
            <w:r>
              <w:rPr>
                <w:sz w:val="18"/>
              </w:rPr>
              <w:t>Lactose = least cariogenic dietary sugar; casein may be protective. Never a bedtime bottle though</w:t>
            </w:r>
          </w:p>
        </w:tc>
      </w:tr>
      <w:tr>
        <w:tc>
          <w:tcPr>
            <w:tcW w:type="dxa" w:w="4320"/>
          </w:tcPr>
          <w:p>
            <w:r>
              <w:rPr>
                <w:sz w:val="18"/>
              </w:rPr>
              <w:t>Honey?</w:t>
            </w:r>
          </w:p>
        </w:tc>
        <w:tc>
          <w:tcPr>
            <w:tcW w:type="dxa" w:w="4320"/>
          </w:tcPr>
          <w:p>
            <w:r>
              <w:rPr>
                <w:sz w:val="18"/>
              </w:rPr>
              <w:t>Discouraged despite antibacterial action — includes stopping the practice of dipping a dummy/pacifier in honey</w:t>
            </w:r>
          </w:p>
        </w:tc>
      </w:tr>
    </w:tbl>
    <w:p>
      <w:r>
        <w:rPr>
          <w:i/>
          <w:sz w:val="18"/>
        </w:rPr>
        <w:t>Source: [1, p.101-102].</w:t>
      </w:r>
    </w:p>
    <w:p/>
    <w:p>
      <w:pPr>
        <w:pStyle w:val="Heading3"/>
      </w:pPr>
      <w:r>
        <w:t>6.3 The WHO 5% Guideline and the Sugar-Industry Caution</w:t>
      </w:r>
    </w:p>
    <w:p>
      <w:pPr>
        <w:spacing w:before="80" w:after="80"/>
      </w:pPr>
      <w:r>
        <w:rPr>
          <w:b/>
        </w:rPr>
        <w:t xml:space="preserve">DEFINITION — WHO free-sugar guideline: </w:t>
      </w:r>
      <w:r>
        <w:rPr>
          <w:b w:val="0"/>
          <w:i w:val="0"/>
        </w:rPr>
        <w:t>restrict free-sugar intake to 5% of total daily energy intake — for an average adult, ~6 teaspoons (25 g)/day, an amount exceeded by a single 330 mL can of regular soft drink (~26 g free sugars).</w:t>
      </w:r>
      <w:r>
        <w:t xml:space="preserve"> [1, p.101]</w:t>
      </w:r>
    </w:p>
    <w:p>
      <w:pPr>
        <w:spacing w:after="120"/>
      </w:pPr>
      <w:r>
        <w:rPr>
          <w:b w:val="0"/>
          <w:i w:val="0"/>
        </w:rPr>
        <w:t>The source cites the Kearns, Glantz &amp; Schmidt (2015) historical analysis alleging the sugar industry (World Sugar Research Organization) influenced the US National Institute of Dental Research's 1971 National Caries Program away from sugar-reduction research — presented explicitly as a caution for dental professionals about commercial influence on the caries evidence base</w:t>
      </w:r>
      <w:r>
        <w:rPr>
          <w:b w:val="0"/>
          <w:i w:val="0"/>
        </w:rPr>
        <w:t xml:space="preserve"> [1, p.103]</w:t>
      </w:r>
      <w:r>
        <w:rPr>
          <w:b w:val="0"/>
          <w:i w:val="0"/>
        </w:rPr>
        <w:t>.</w:t>
      </w:r>
    </w:p>
    <w:p>
      <w:pPr>
        <w:spacing w:after="120"/>
      </w:pPr>
      <w:r>
        <w:rPr>
          <w:b/>
          <w:i w:val="0"/>
        </w:rPr>
        <w:t>Chapter's own summary:</w:t>
      </w:r>
      <w:r>
        <w:rPr>
          <w:b w:val="0"/>
          <w:i w:val="0"/>
        </w:rPr>
        <w:t xml:space="preserve"> plaque control and dietary control “must go together for optimum effect” — caries is </w:t>
      </w:r>
      <w:r>
        <w:rPr>
          <w:b w:val="0"/>
          <w:i/>
        </w:rPr>
        <w:t>not</w:t>
      </w:r>
      <w:r>
        <w:rPr>
          <w:b w:val="0"/>
          <w:i w:val="0"/>
        </w:rPr>
        <w:t xml:space="preserve"> simple “fluoride deficiency”: fluoride only modulates the </w:t>
      </w:r>
      <w:r>
        <w:rPr>
          <w:b w:val="0"/>
          <w:i/>
        </w:rPr>
        <w:t>rate</w:t>
      </w:r>
      <w:r>
        <w:rPr>
          <w:b w:val="0"/>
          <w:i w:val="0"/>
        </w:rPr>
        <w:t xml:space="preserve"> of mineral loss, while sugar frequency drives the underlying biofilm metabolic rate causing that loss</w:t>
      </w:r>
      <w:r>
        <w:rPr>
          <w:b w:val="0"/>
          <w:i w:val="0"/>
        </w:rPr>
        <w:t xml:space="preserve"> [1, p.103-104]</w:t>
      </w:r>
      <w:r>
        <w:rPr>
          <w:b w:val="0"/>
          <w:i w:val="0"/>
        </w:rPr>
        <w:t>.</w:t>
      </w:r>
    </w:p>
    <w:p>
      <w:r>
        <w:br w:type="page"/>
      </w:r>
    </w:p>
    <w:p>
      <w:pPr>
        <w:pStyle w:val="Heading2"/>
      </w:pPr>
      <w:r>
        <w:t>7. Ecological / Biofilm-Targeted Management Strategies (DCNA Supplementary)</w:t>
      </w:r>
    </w:p>
    <w:p>
      <w:pPr>
        <w:spacing w:after="120"/>
      </w:pPr>
      <w:r>
        <w:rPr>
          <w:b w:val="0"/>
          <w:i w:val="0"/>
        </w:rPr>
        <w:t xml:space="preserve">Complementing the classical fluoride/hygiene/diet triad above, Nascimento's 2019 DCNA review surveys strategies that act </w:t>
      </w:r>
      <w:r>
        <w:rPr>
          <w:b w:val="0"/>
          <w:i/>
        </w:rPr>
        <w:t>directly on biofilm ecology</w:t>
      </w:r>
      <w:r>
        <w:rPr>
          <w:b w:val="0"/>
          <w:i w:val="0"/>
        </w:rPr>
        <w:t xml:space="preserve"> rather than only the tooth surface or diet.</w:t>
      </w:r>
    </w:p>
    <w:p>
      <w:pPr>
        <w:spacing w:before="80" w:after="80"/>
      </w:pPr>
      <w:r>
        <w:rPr>
          <w:b/>
        </w:rPr>
        <w:t xml:space="preserve">DEFINITION — Arginine deiminase system (ADS): </w:t>
      </w:r>
      <w:r>
        <w:rPr>
          <w:b w:val="0"/>
          <w:i w:val="0"/>
        </w:rPr>
        <w:t>a bacterial pathway converting arginine → citrulline + ornithine + CO2 + ATP + ammonia; the ammonia raises cytoplasmic and local pH, protecting ADS-positive organisms from acid killing and favouring a health-compatible, pH-neutral microflora.</w:t>
      </w:r>
      <w:r>
        <w:t xml:space="preserve"> [4, p.586]</w:t>
      </w:r>
    </w:p>
    <w:p>
      <w:pPr>
        <w:pStyle w:val="ListBullet"/>
        <w:spacing w:after="60"/>
      </w:pPr>
      <w:r>
        <w:rPr>
          <w:b w:val="0"/>
          <w:i w:val="0"/>
        </w:rPr>
        <w:t>Plaque from caries-free individuals/surfaces shows consistently higher ADS activity and pH than plaque from caries-active individuals/surfaces; salivary free-arginine correlates with caries resistance</w:t>
      </w:r>
      <w:r>
        <w:rPr>
          <w:b w:val="0"/>
          <w:i w:val="0"/>
        </w:rPr>
        <w:t xml:space="preserve"> [4, p.586]</w:t>
      </w:r>
    </w:p>
    <w:p>
      <w:pPr>
        <w:pStyle w:val="ListBullet"/>
        <w:spacing w:after="60"/>
      </w:pPr>
      <w:r>
        <w:rPr>
          <w:b w:val="0"/>
          <w:i w:val="0"/>
        </w:rPr>
        <w:t>Clinical evidence: a 1.5% arginine + insoluble calcium compound + 1450 ppm fluoride dentifrice reduces caries increment in low/moderate-risk children AND arrests/reverses existing lesions more effectively than fluoride alone</w:t>
      </w:r>
      <w:r>
        <w:rPr>
          <w:b w:val="0"/>
          <w:i w:val="0"/>
        </w:rPr>
        <w:t xml:space="preserve"> [4, p.586-587]</w:t>
      </w:r>
    </w:p>
    <w:p>
      <w:pPr>
        <w:pStyle w:val="ListBullet"/>
        <w:spacing w:after="60"/>
      </w:pPr>
      <w:r>
        <w:rPr>
          <w:b w:val="0"/>
          <w:i w:val="0"/>
        </w:rPr>
        <w:t xml:space="preserve">Oral </w:t>
      </w:r>
      <w:r>
        <w:rPr>
          <w:b/>
          <w:i w:val="0"/>
        </w:rPr>
        <w:t>probiotics</w:t>
      </w:r>
      <w:r>
        <w:rPr>
          <w:b w:val="0"/>
          <w:i w:val="0"/>
        </w:rPr>
        <w:t xml:space="preserve"> (</w:t>
      </w:r>
      <w:r>
        <w:rPr>
          <w:b w:val="0"/>
          <w:i/>
        </w:rPr>
        <w:t>Lactobacillus</w:t>
      </w:r>
      <w:r>
        <w:rPr>
          <w:b w:val="0"/>
          <w:i w:val="0"/>
        </w:rPr>
        <w:t>/</w:t>
      </w:r>
      <w:r>
        <w:rPr>
          <w:b w:val="0"/>
          <w:i/>
        </w:rPr>
        <w:t>Bifidobacterium</w:t>
      </w:r>
      <w:r>
        <w:rPr>
          <w:b w:val="0"/>
          <w:i w:val="0"/>
        </w:rPr>
        <w:t xml:space="preserve"> strains): aim to displace cariogenic organisms via competitive adhesion, growth inhibition, organic-acid/bacteriocin production, immune modulation — evidence base less mature than arginine/fluoride approaches</w:t>
      </w:r>
      <w:r>
        <w:rPr>
          <w:b w:val="0"/>
          <w:i w:val="0"/>
        </w:rPr>
        <w:t xml:space="preserve"> [4, p.587]</w:t>
      </w:r>
    </w:p>
    <w:p>
      <w:pPr>
        <w:pStyle w:val="ListBullet"/>
        <w:spacing w:after="60"/>
      </w:pPr>
      <w:r>
        <w:rPr>
          <w:b w:val="0"/>
          <w:i w:val="0"/>
        </w:rPr>
        <w:t xml:space="preserve">Positioned explicitly in contrast to older, </w:t>
      </w:r>
      <w:r>
        <w:rPr>
          <w:b w:val="0"/>
          <w:i/>
        </w:rPr>
        <w:t>broad-spectrum</w:t>
      </w:r>
      <w:r>
        <w:rPr>
          <w:b w:val="0"/>
          <w:i w:val="0"/>
        </w:rPr>
        <w:t xml:space="preserve"> antimicrobial strategies (e.g., chlorhexidine, indiscriminate biofilm elimination), whose effectiveness and ecological side-effects remain debated — the newer approaches aim to </w:t>
      </w:r>
      <w:r>
        <w:rPr>
          <w:b w:val="0"/>
          <w:i/>
        </w:rPr>
        <w:t>restore balance</w:t>
      </w:r>
      <w:r>
        <w:rPr>
          <w:b w:val="0"/>
          <w:i w:val="0"/>
        </w:rPr>
        <w:t>, not eliminate the biofilm outright</w:t>
      </w:r>
      <w:r>
        <w:rPr>
          <w:b w:val="0"/>
          <w:i w:val="0"/>
        </w:rPr>
        <w:t xml:space="preserve"> [4, p.587]</w:t>
      </w:r>
    </w:p>
    <w:p>
      <w:r>
        <w:br w:type="page"/>
      </w:r>
    </w:p>
    <w:p>
      <w:pPr>
        <w:pStyle w:val="Heading2"/>
      </w:pPr>
      <w:r>
        <w:t>8. Summary of Caries Control Principles (Textbook)</w:t>
      </w:r>
    </w:p>
    <w:p>
      <w:pPr>
        <w:spacing w:after="120"/>
      </w:pPr>
      <w:r>
        <w:rPr>
          <w:b/>
          <w:i w:val="0"/>
        </w:rPr>
        <w:t>Three daily, patient-actionable principles</w:t>
      </w:r>
      <w:r>
        <w:rPr>
          <w:b w:val="0"/>
          <w:i w:val="0"/>
        </w:rPr>
        <w:t xml:space="preserve"> [1, p.104]</w:t>
      </w:r>
      <w:r>
        <w:rPr>
          <w:b w:val="0"/>
          <w:i w:val="0"/>
        </w:rPr>
        <w:t>:</w:t>
      </w:r>
    </w:p>
    <w:p>
      <w:pPr>
        <w:pStyle w:val="ListNumber"/>
        <w:spacing w:after="60"/>
      </w:pPr>
      <w:r>
        <w:rPr>
          <w:b w:val="0"/>
          <w:i w:val="0"/>
        </w:rPr>
        <w:t xml:space="preserve">Mechanically disturb the dental biofilm ≥ 2x daily (toothbrush + floss/interdental brush) — </w:t>
      </w:r>
      <w:r>
        <w:rPr>
          <w:b w:val="0"/>
          <w:i/>
        </w:rPr>
        <w:t>all</w:t>
      </w:r>
      <w:r>
        <w:rPr>
          <w:b w:val="0"/>
          <w:i w:val="0"/>
        </w:rPr>
        <w:t xml:space="preserve"> surfaces, not just those visible in a mirror</w:t>
      </w:r>
    </w:p>
    <w:p>
      <w:pPr>
        <w:pStyle w:val="ListNumber"/>
        <w:spacing w:after="60"/>
      </w:pPr>
      <w:r>
        <w:rPr>
          <w:b w:val="0"/>
          <w:i w:val="0"/>
        </w:rPr>
        <w:t>Always use fluoride toothpaste (never below 1000 ppm F); spit, don't rinse</w:t>
      </w:r>
    </w:p>
    <w:p>
      <w:pPr>
        <w:pStyle w:val="ListNumber"/>
        <w:spacing w:after="60"/>
      </w:pPr>
      <w:r>
        <w:rPr>
          <w:b w:val="0"/>
          <w:i w:val="0"/>
        </w:rPr>
        <w:t xml:space="preserve">Reduce daily </w:t>
      </w:r>
      <w:r>
        <w:rPr>
          <w:b w:val="0"/>
          <w:i/>
        </w:rPr>
        <w:t>frequency</w:t>
      </w:r>
      <w:r>
        <w:rPr>
          <w:b w:val="0"/>
          <w:i w:val="0"/>
        </w:rPr>
        <w:t xml:space="preserve"> of fermentable-carbohydrate intake — watch for hidden sugar in snacks, drinks, medicines</w:t>
      </w:r>
    </w:p>
    <w:p>
      <w:pPr>
        <w:spacing w:after="120"/>
      </w:pPr>
      <w:r>
        <w:rPr>
          <w:b w:val="0"/>
          <w:i w:val="0"/>
        </w:rPr>
        <w:t xml:space="preserve">Closing statement of the chapter: caries lesion development is a lifelong, universal biological process wherever a dental biofilm exists, but active demineralization can be arrested at </w:t>
      </w:r>
      <w:r>
        <w:rPr>
          <w:b w:val="0"/>
          <w:i/>
        </w:rPr>
        <w:t>any</w:t>
      </w:r>
      <w:r>
        <w:rPr>
          <w:b w:val="0"/>
          <w:i w:val="0"/>
        </w:rPr>
        <w:t xml:space="preserve"> stage of progression provided these three principles are applied consistently</w:t>
      </w:r>
      <w:r>
        <w:rPr>
          <w:b w:val="0"/>
          <w:i w:val="0"/>
        </w:rPr>
        <w:t xml:space="preserve"> [1, p.104]</w:t>
      </w:r>
      <w:r>
        <w:rPr>
          <w:b w:val="0"/>
          <w:i w:val="0"/>
        </w:rPr>
        <w:t xml:space="preserve"> — which is exactly why Sub-Module 1.2's activity-based diagnosis (Nyvad/ICDAS/ADA CCS) exists: to identify </w:t>
      </w:r>
      <w:r>
        <w:rPr>
          <w:b w:val="0"/>
          <w:i/>
        </w:rPr>
        <w:t>which</w:t>
      </w:r>
      <w:r>
        <w:rPr>
          <w:b w:val="0"/>
          <w:i w:val="0"/>
        </w:rPr>
        <w:t xml:space="preserve"> lesions remain capable of responding to this control regimen.</w:t>
      </w:r>
    </w:p>
    <w:p>
      <w:r>
        <w:br w:type="page"/>
      </w:r>
    </w:p>
    <w:p>
      <w:pPr>
        <w:pStyle w:val="Heading1"/>
      </w:pPr>
      <w:r>
        <w:t>Quick-Revision 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Topic</w:t>
            </w:r>
          </w:p>
        </w:tc>
        <w:tc>
          <w:tcPr>
            <w:tcW w:type="dxa" w:w="2880"/>
          </w:tcPr>
          <w:p>
            <w:r>
              <w:rPr>
                <w:b/>
                <w:sz w:val="18"/>
              </w:rPr>
              <w:t>Key take-away</w:t>
            </w:r>
          </w:p>
        </w:tc>
        <w:tc>
          <w:tcPr>
            <w:tcW w:type="dxa" w:w="2880"/>
          </w:tcPr>
          <w:p>
            <w:r>
              <w:rPr>
                <w:b/>
                <w:sz w:val="18"/>
              </w:rPr>
              <w:t>Source</w:t>
            </w:r>
          </w:p>
        </w:tc>
      </w:tr>
      <w:tr>
        <w:tc>
          <w:tcPr>
            <w:tcW w:type="dxa" w:w="2880"/>
          </w:tcPr>
          <w:p>
            <w:r>
              <w:rPr>
                <w:sz w:val="18"/>
              </w:rPr>
              <w:t>Caries control vs. prevention</w:t>
            </w:r>
          </w:p>
        </w:tc>
        <w:tc>
          <w:tcPr>
            <w:tcW w:type="dxa" w:w="2880"/>
          </w:tcPr>
          <w:p>
            <w:r>
              <w:rPr>
                <w:sz w:val="18"/>
              </w:rPr>
              <w:t>Biofilm formation can't be prevented; only whether it produces visible/progressing lesions can be controlled</w:t>
            </w:r>
          </w:p>
        </w:tc>
        <w:tc>
          <w:tcPr>
            <w:tcW w:type="dxa" w:w="2880"/>
          </w:tcPr>
          <w:p>
            <w:r>
              <w:rPr>
                <w:sz w:val="18"/>
              </w:rPr>
              <w:t>[1, p.75]</w:t>
            </w:r>
          </w:p>
        </w:tc>
      </w:tr>
      <w:tr>
        <w:tc>
          <w:tcPr>
            <w:tcW w:type="dxa" w:w="2880"/>
          </w:tcPr>
          <w:p>
            <w:r>
              <w:rPr>
                <w:sz w:val="18"/>
              </w:rPr>
              <w:t>Oral hygiene</w:t>
            </w:r>
          </w:p>
        </w:tc>
        <w:tc>
          <w:tcPr>
            <w:tcW w:type="dxa" w:w="2880"/>
          </w:tcPr>
          <w:p>
            <w:r>
              <w:rPr>
                <w:sz w:val="18"/>
              </w:rPr>
              <w:t>2x daily brushing, fluoride toothpaste by age-appropriate concentration, spit don't rinse</w:t>
            </w:r>
          </w:p>
        </w:tc>
        <w:tc>
          <w:tcPr>
            <w:tcW w:type="dxa" w:w="2880"/>
          </w:tcPr>
          <w:p>
            <w:r>
              <w:rPr>
                <w:sz w:val="18"/>
              </w:rPr>
              <w:t>[1, p.77]</w:t>
            </w:r>
          </w:p>
        </w:tc>
      </w:tr>
      <w:tr>
        <w:tc>
          <w:tcPr>
            <w:tcW w:type="dxa" w:w="2880"/>
          </w:tcPr>
          <w:p>
            <w:r>
              <w:rPr>
                <w:sz w:val="18"/>
              </w:rPr>
              <w:t>Fluoride mechanism</w:t>
            </w:r>
          </w:p>
        </w:tc>
        <w:tc>
          <w:tcPr>
            <w:tcW w:type="dxa" w:w="2880"/>
          </w:tcPr>
          <w:p>
            <w:r>
              <w:rPr>
                <w:sz w:val="18"/>
              </w:rPr>
              <w:t>Topical (post-1980 model), not “built into” enamel during formation</w:t>
            </w:r>
          </w:p>
        </w:tc>
        <w:tc>
          <w:tcPr>
            <w:tcW w:type="dxa" w:w="2880"/>
          </w:tcPr>
          <w:p>
            <w:r>
              <w:rPr>
                <w:sz w:val="18"/>
              </w:rPr>
              <w:t>[1, p.92-93]</w:t>
            </w:r>
          </w:p>
        </w:tc>
      </w:tr>
      <w:tr>
        <w:tc>
          <w:tcPr>
            <w:tcW w:type="dxa" w:w="2880"/>
          </w:tcPr>
          <w:p>
            <w:r>
              <w:rPr>
                <w:sz w:val="18"/>
              </w:rPr>
              <w:t>ADA topical fluoride guideline</w:t>
            </w:r>
          </w:p>
        </w:tc>
        <w:tc>
          <w:tcPr>
            <w:tcW w:type="dxa" w:w="2880"/>
          </w:tcPr>
          <w:p>
            <w:r>
              <w:rPr>
                <w:sz w:val="18"/>
              </w:rPr>
              <w:t>Only 2.26% varnish recommended &lt; 6 yrs; varnish/APF gel/mouthrinse for ≥ 6 yrs at risk</w:t>
            </w:r>
          </w:p>
        </w:tc>
        <w:tc>
          <w:tcPr>
            <w:tcW w:type="dxa" w:w="2880"/>
          </w:tcPr>
          <w:p>
            <w:r>
              <w:rPr>
                <w:sz w:val="18"/>
              </w:rPr>
              <w:t>ADA Chairside Guide [2]</w:t>
            </w:r>
          </w:p>
        </w:tc>
      </w:tr>
      <w:tr>
        <w:tc>
          <w:tcPr>
            <w:tcW w:type="dxa" w:w="2880"/>
          </w:tcPr>
          <w:p>
            <w:r>
              <w:rPr>
                <w:sz w:val="18"/>
              </w:rPr>
              <w:t>ADA nonrestorative guideline</w:t>
            </w:r>
          </w:p>
        </w:tc>
        <w:tc>
          <w:tcPr>
            <w:tcW w:type="dxa" w:w="2880"/>
          </w:tcPr>
          <w:p>
            <w:r>
              <w:rPr>
                <w:sz w:val="18"/>
              </w:rPr>
              <w:t>SDF prioritized for cavitated lesions; sealants ± varnish first-line for noncavitated occlusal</w:t>
            </w:r>
          </w:p>
        </w:tc>
        <w:tc>
          <w:tcPr>
            <w:tcW w:type="dxa" w:w="2880"/>
          </w:tcPr>
          <w:p>
            <w:r>
              <w:rPr>
                <w:sz w:val="18"/>
              </w:rPr>
              <w:t>ADA Chairside Guide [3]</w:t>
            </w:r>
          </w:p>
        </w:tc>
      </w:tr>
      <w:tr>
        <w:tc>
          <w:tcPr>
            <w:tcW w:type="dxa" w:w="2880"/>
          </w:tcPr>
          <w:p>
            <w:r>
              <w:rPr>
                <w:sz w:val="18"/>
              </w:rPr>
              <w:t>Fluoride toxicity</w:t>
            </w:r>
          </w:p>
        </w:tc>
        <w:tc>
          <w:tcPr>
            <w:tcW w:type="dxa" w:w="2880"/>
          </w:tcPr>
          <w:p>
            <w:r>
              <w:rPr>
                <w:sz w:val="18"/>
              </w:rPr>
              <w:t>Sub-lethal from 1 mg/kg; lethal ~15 mg/kg (as low as 5 mg/kg in children)</w:t>
            </w:r>
          </w:p>
        </w:tc>
        <w:tc>
          <w:tcPr>
            <w:tcW w:type="dxa" w:w="2880"/>
          </w:tcPr>
          <w:p>
            <w:r>
              <w:rPr>
                <w:sz w:val="18"/>
              </w:rPr>
              <w:t>[1, p.97]</w:t>
            </w:r>
          </w:p>
        </w:tc>
      </w:tr>
      <w:tr>
        <w:tc>
          <w:tcPr>
            <w:tcW w:type="dxa" w:w="2880"/>
          </w:tcPr>
          <w:p>
            <w:r>
              <w:rPr>
                <w:sz w:val="18"/>
              </w:rPr>
              <w:t>Diet</w:t>
            </w:r>
          </w:p>
        </w:tc>
        <w:tc>
          <w:tcPr>
            <w:tcW w:type="dxa" w:w="2880"/>
          </w:tcPr>
          <w:p>
            <w:r>
              <w:rPr>
                <w:sz w:val="18"/>
              </w:rPr>
              <w:t>Frequency &gt; quantity; WHO 5% free-sugar guideline; caries-obesity link rejected</w:t>
            </w:r>
          </w:p>
        </w:tc>
        <w:tc>
          <w:tcPr>
            <w:tcW w:type="dxa" w:w="2880"/>
          </w:tcPr>
          <w:p>
            <w:r>
              <w:rPr>
                <w:sz w:val="18"/>
              </w:rPr>
              <w:t>[1, p.98-101]</w:t>
            </w:r>
          </w:p>
        </w:tc>
      </w:tr>
      <w:tr>
        <w:tc>
          <w:tcPr>
            <w:tcW w:type="dxa" w:w="2880"/>
          </w:tcPr>
          <w:p>
            <w:r>
              <w:rPr>
                <w:sz w:val="18"/>
              </w:rPr>
              <w:t>Ecological strategies</w:t>
            </w:r>
          </w:p>
        </w:tc>
        <w:tc>
          <w:tcPr>
            <w:tcW w:type="dxa" w:w="2880"/>
          </w:tcPr>
          <w:p>
            <w:r>
              <w:rPr>
                <w:sz w:val="18"/>
              </w:rPr>
              <w:t>Arginine/ADS-based dentifrices; probiotics; contrast with broad-spectrum antimicrobials</w:t>
            </w:r>
          </w:p>
        </w:tc>
        <w:tc>
          <w:tcPr>
            <w:tcW w:type="dxa" w:w="2880"/>
          </w:tcPr>
          <w:p>
            <w:r>
              <w:rPr>
                <w:sz w:val="18"/>
              </w:rPr>
              <w:t>[4, p.586-587]</w:t>
            </w:r>
          </w:p>
        </w:tc>
      </w:tr>
      <w:tr>
        <w:tc>
          <w:tcPr>
            <w:tcW w:type="dxa" w:w="2880"/>
          </w:tcPr>
          <w:p>
            <w:r>
              <w:rPr>
                <w:sz w:val="18"/>
              </w:rPr>
              <w:t>Core control principles</w:t>
            </w:r>
          </w:p>
        </w:tc>
        <w:tc>
          <w:tcPr>
            <w:tcW w:type="dxa" w:w="2880"/>
          </w:tcPr>
          <w:p>
            <w:r>
              <w:rPr>
                <w:sz w:val="18"/>
              </w:rPr>
              <w:t>Biofilm disruption + fluoride + reduced sugar frequency, applied together</w:t>
            </w:r>
          </w:p>
        </w:tc>
        <w:tc>
          <w:tcPr>
            <w:tcW w:type="dxa" w:w="2880"/>
          </w:tcPr>
          <w:p>
            <w:r>
              <w:rPr>
                <w:sz w:val="18"/>
              </w:rPr>
              <w:t>[1, p.104]</w:t>
            </w:r>
          </w:p>
        </w:tc>
      </w:tr>
    </w:tbl>
    <w:p/>
    <w:p>
      <w:r>
        <w:br w:type="page"/>
      </w:r>
    </w:p>
    <w:p>
      <w:pPr>
        <w:pStyle w:val="Heading1"/>
      </w:pPr>
      <w:r>
        <w:t>References (Vancouver Style)</w:t>
      </w:r>
    </w:p>
    <w:p>
      <w:pPr>
        <w:spacing w:after="120"/>
      </w:pPr>
      <w:r>
        <w:rPr>
          <w:b w:val="0"/>
          <w:i w:val="0"/>
        </w:rPr>
        <w:t>Numbered in citation order as first used in the text. Page numbers refer to the page of the cited source (or, for the two-page ADA Chairside Guide PDFs, page 1 or 2 of that PDF) on which the statement appears.</w:t>
      </w:r>
    </w:p>
    <w:p>
      <w:pPr>
        <w:spacing w:after="120"/>
        <w:ind w:left="432" w:hanging="432"/>
      </w:pPr>
      <w:r>
        <w:rPr>
          <w:sz w:val="20"/>
        </w:rPr>
        <w:t xml:space="preserve">1. </w:t>
      </w:r>
      <w:r>
        <w:rPr>
          <w:sz w:val="20"/>
        </w:rPr>
        <w:t>Kidd E, Fejerskov O. Essentials of Dental Caries. 4th ed. Oxford: Oxford University Press; 2016.</w:t>
      </w:r>
    </w:p>
    <w:p>
      <w:pPr>
        <w:spacing w:after="120"/>
        <w:ind w:left="432" w:hanging="432"/>
      </w:pPr>
      <w:r>
        <w:rPr>
          <w:sz w:val="20"/>
        </w:rPr>
        <w:t xml:space="preserve">2. </w:t>
      </w:r>
      <w:r>
        <w:rPr>
          <w:sz w:val="20"/>
        </w:rPr>
        <w:t>Weyant RJ, Tracy SL, Anselmo TT, Beltrán-Aguilar ED, Donly KJ, Frese WA, et al. Topical fluoride for caries prevention: executive summary of the updated clinical recommendations and supporting systematic review. J Am Dent Assoc. 2013;144(11):1279–1291. [Recommendation tables per the American Dental Association's companion Chairside Guide, © 2013 American Dental Association.]</w:t>
      </w:r>
    </w:p>
    <w:p>
      <w:pPr>
        <w:spacing w:after="120"/>
        <w:ind w:left="432" w:hanging="432"/>
      </w:pPr>
      <w:r>
        <w:rPr>
          <w:sz w:val="20"/>
        </w:rPr>
        <w:t xml:space="preserve">3. </w:t>
      </w:r>
      <w:r>
        <w:rPr>
          <w:sz w:val="20"/>
        </w:rPr>
        <w:t>Slayton RL, Urquhart O, Araujo MWB, Fontana M, Guzmán-Armstrong S, Nascimento MM, et al. Evidence-based clinical practice guideline on nonrestorative treatments for carious lesions: a report from the American Dental Association. J Am Dent Assoc. 2018;149(10):837–849. [Recommendation tables per the American Dental Association's companion Chairside Guide, adapted with permission, © 2018 American Dental Association.]</w:t>
      </w:r>
    </w:p>
    <w:p>
      <w:pPr>
        <w:spacing w:after="120"/>
        <w:ind w:left="432" w:hanging="432"/>
      </w:pPr>
      <w:r>
        <w:rPr>
          <w:sz w:val="20"/>
        </w:rPr>
        <w:t xml:space="preserve">4. </w:t>
      </w:r>
      <w:r>
        <w:rPr>
          <w:sz w:val="20"/>
        </w:rPr>
        <w:t>Nascimento MM. Approaches to modulate biofilm ecology. Dent Clin North Am. 2019;63(4):581–594.</w:t>
      </w:r>
    </w:p>
    <w:p>
      <w:pPr>
        <w:spacing w:after="120"/>
        <w:ind w:left="432" w:hanging="432"/>
      </w:pPr>
      <w:r>
        <w:rPr>
          <w:sz w:val="20"/>
        </w:rPr>
        <w:t xml:space="preserve">5. </w:t>
      </w:r>
      <w:r>
        <w:rPr>
          <w:sz w:val="20"/>
        </w:rPr>
        <w:t>American Academy of Pediatric Dentistry. Caries-risk assessment and management for infants, children, and adolescents. The Reference Manual of Pediatric Dentistry. Chicago, IL: American Academy of Pediatric Dentistry; 2025:325–331.</w:t>
      </w:r>
    </w:p>
    <w:p>
      <w:pPr>
        <w:spacing w:after="120"/>
        <w:ind w:left="432" w:hanging="432"/>
      </w:pPr>
      <w:r>
        <w:rPr>
          <w:sz w:val="20"/>
        </w:rPr>
        <w:t xml:space="preserve">6. </w:t>
      </w:r>
      <w:r>
        <w:rPr>
          <w:sz w:val="20"/>
        </w:rPr>
        <w:t>Greene JC, Vermillion JR. The Simplified Oral Hygiene Index. J Am Dent Assoc. 1964;68:7-13. [Cited from established dental public health consensus description of the index's methodology; not independently verified against a locally available primary-source PDF — see transparency note in text.]</w:t>
      </w:r>
    </w:p>
    <w:p>
      <w:pPr>
        <w:spacing w:after="120"/>
        <w:ind w:left="432" w:hanging="432"/>
      </w:pPr>
      <w:r>
        <w:rPr>
          <w:sz w:val="20"/>
        </w:rPr>
        <w:t xml:space="preserve">7. </w:t>
      </w:r>
      <w:r>
        <w:rPr>
          <w:sz w:val="20"/>
        </w:rPr>
        <w:t>Amin MS, Harrison RL, Benton TS, Roberts M, Weinstein P. Effect of Povidone-iodine on Streptococcus Mutans in Children With Extensive Dental Caries. Pediatr Dent. 2004;26(1):5-10.</w:t>
      </w:r>
    </w:p>
    <w:p>
      <w:pPr>
        <w:spacing w:after="120"/>
        <w:ind w:left="432" w:hanging="432"/>
      </w:pPr>
      <w:r>
        <w:rPr>
          <w:sz w:val="20"/>
        </w:rPr>
        <w:t xml:space="preserve">8. </w:t>
      </w:r>
      <w:r>
        <w:rPr>
          <w:sz w:val="20"/>
        </w:rPr>
        <w:t>Wu Q, Mei ML, Wu X, Shi S, Xu Y, Chu CH, Chen Y. Remineralising effect of 45S5 bioactive glass on artificial caries in dentine. BMC Oral Health. 2020;20:49.</w:t>
      </w:r>
    </w:p>
    <w:p>
      <w:pPr>
        <w:spacing w:after="120"/>
        <w:ind w:left="432" w:hanging="432"/>
      </w:pPr>
      <w:r>
        <w:rPr>
          <w:sz w:val="20"/>
        </w:rPr>
        <w:t xml:space="preserve">9. </w:t>
      </w:r>
      <w:r>
        <w:rPr>
          <w:sz w:val="20"/>
        </w:rPr>
        <w:t>Roberson TM, Heymann HO, Swift EJ Jr, editors. Sturdevant's Art and Science of Operative Dentistry. 5th ed. St. Louis: Mosby (Elsevier); 2006. Chapter 3, “Cariology: The Lesion, Etiology, Prevention, and Control,” p.109, 126.</w:t>
      </w:r>
    </w:p>
    <w:p>
      <w:pPr>
        <w:spacing w:after="120"/>
        <w:ind w:left="432" w:hanging="432"/>
      </w:pPr>
      <w:r>
        <w:rPr>
          <w:sz w:val="20"/>
        </w:rPr>
        <w:t xml:space="preserve">10. </w:t>
      </w:r>
      <w:r>
        <w:rPr>
          <w:sz w:val="20"/>
        </w:rPr>
        <w:t>Amaechi BT, van Amerongen JP, van Loveren C, Kidd EAM. Caries Management: Diagnosis and Treatment Strategies. In: Hilton TJ, Ferracane JL, Broome JC, editors. Summitt's Fundamentals of Operative Dentistry. 4th ed. Chicago: Quintessence Publishing. p.207-208.</w:t>
      </w:r>
    </w:p>
    <w:p>
      <w:r>
        <w:t>11. Ricketts D, ed. Advanced Operative Dentistry: A Practical Approach. Edinburgh: Churchill Livingstone/Elsevier;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