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8"/>
        </w:rPr>
        <w:t>MODULE 1: CONSERVATIVE &amp; RESTORATIVE DENTISTRY</w:t>
      </w:r>
    </w:p>
    <w:p>
      <w:pPr>
        <w:jc w:val="center"/>
      </w:pPr>
      <w:r>
        <w:rPr>
          <w:b/>
          <w:sz w:val="40"/>
        </w:rPr>
        <w:t>SUB-MODULE 2.2: CARIES REMOVAL STRATEGIES</w:t>
      </w:r>
    </w:p>
    <w:p/>
    <w:p>
      <w:pPr>
        <w:jc w:val="center"/>
      </w:pPr>
      <w:r>
        <w:rPr>
          <w:i/>
          <w:sz w:val="26"/>
        </w:rPr>
        <w:t>Compiled Study Notes — Organized by Topic</w:t>
      </w:r>
    </w:p>
    <w:p>
      <w:pPr>
        <w:jc w:val="center"/>
      </w:pPr>
      <w:r>
        <w:rPr>
          <w:i/>
          <w:sz w:val="24"/>
        </w:rPr>
        <w:t>Standardised textbooks + international consensus/guideline terminology (IADR/ORCA, EFCD-ESE-ORCA), each fact page-cited</w:t>
      </w:r>
    </w:p>
    <w:p/>
    <w:p>
      <w:pPr>
        <w:jc w:val="center"/>
      </w:pPr>
      <w:r>
        <w:rPr>
          <w:sz w:val="22"/>
        </w:rPr>
        <w:t>Citation style: Vancouver (numbered, in-text, with page references)</w:t>
      </w:r>
    </w:p>
    <w:p>
      <w:r>
        <w:br w:type="page"/>
      </w:r>
    </w:p>
    <w:p>
      <w:pPr>
        <w:pStyle w:val="Heading1"/>
      </w:pPr>
      <w:r>
        <w:t>A Note on Sources and Referencing</w:t>
      </w:r>
    </w:p>
    <w:p>
      <w:pPr>
        <w:spacing w:after="120"/>
        <w:jc w:val="both"/>
      </w:pPr>
      <w:r>
        <w:rPr>
          <w:b w:val="0"/>
          <w:i w:val="0"/>
        </w:rPr>
        <w:t xml:space="preserve">This document builds directly on </w:t>
      </w:r>
      <w:r>
        <w:rPr>
          <w:b w:val="0"/>
          <w:i/>
        </w:rPr>
        <w:t>Sub-Module 2.1 (Principles of Tooth Preparation)</w:t>
      </w:r>
      <w:r>
        <w:rPr>
          <w:b w:val="0"/>
          <w:i w:val="0"/>
        </w:rPr>
        <w:t xml:space="preserve">, which already covered Fusayama's infected/affected dentin model, the acute-vs-chronic decay comparison, and basic chemomechanical removal (Carisolv). Per the agreed approach, that material is </w:t>
      </w:r>
      <w:r>
        <w:rPr>
          <w:b/>
          <w:i w:val="0"/>
        </w:rPr>
        <w:t>cross-referenced, not repeated</w:t>
      </w:r>
      <w:r>
        <w:rPr>
          <w:b w:val="0"/>
          <w:i w:val="0"/>
        </w:rPr>
        <w:t xml:space="preserve"> — this document's word-count is spent on genuinely new material: two further, more granular histological models of carious dentin; the international consensus terminology for caries removal technique; the detailed rationale, technique, and decision rules for selective/peripheral caries management; and the science underpinning deep caries management and indirect pulp capping.</w:t>
      </w:r>
    </w:p>
    <w:p>
      <w:pPr>
        <w:spacing w:after="120"/>
      </w:pPr>
      <w:r>
        <w:rPr>
          <w:b/>
          <w:i w:val="0"/>
        </w:rPr>
        <w:t>Sources used in this document (new to 2.2, beyond the four already established in 2.1):</w:t>
      </w:r>
    </w:p>
    <w:p>
      <w:pPr>
        <w:pStyle w:val="ListBullet"/>
        <w:spacing w:after="60"/>
      </w:pPr>
      <w:r>
        <w:rPr>
          <w:b w:val="0"/>
          <w:i w:val="0"/>
        </w:rPr>
        <w:t xml:space="preserve">Banerjee A, Watson TF. Pickard's Manual of Operative Dentistry. 9th ed. Oxford: Oxford University Press. </w:t>
      </w:r>
      <w:r>
        <w:rPr>
          <w:b w:val="0"/>
          <w:i/>
        </w:rPr>
        <w:t xml:space="preserve">(standardised textbook — Section 5.9 “Operative management of the carious lesion”; a distinct file/edition from the 10th-edition </w:t>
      </w:r>
      <w:r>
        <w:rPr>
          <w:b w:val="0"/>
          <w:i/>
        </w:rPr>
        <w:t>Pickard's Guide to Minimally Invasive Operative Dentistry</w:t>
      </w:r>
      <w:r>
        <w:rPr>
          <w:b w:val="0"/>
          <w:i/>
        </w:rPr>
        <w:t xml:space="preserve"> already used in 2.1, though both share the same authorship lineage — flagged for transparency since the two editions cover closely related ground)</w:t>
      </w:r>
    </w:p>
    <w:p>
      <w:pPr>
        <w:pStyle w:val="ListBullet"/>
        <w:spacing w:after="60"/>
      </w:pPr>
      <w:r>
        <w:rPr>
          <w:b w:val="0"/>
          <w:i w:val="0"/>
        </w:rPr>
        <w:t xml:space="preserve">Marzouk MA, Simonton AL, Gross RD. Operative Dentistry: Modern Theory and Practice. New Delhi: Ishiyaku EuroAmerica/AITBS; 1985. </w:t>
      </w:r>
      <w:r>
        <w:rPr>
          <w:b w:val="0"/>
          <w:i/>
        </w:rPr>
        <w:t>(standardised textbook — NEW chapter used: Chapter 14, “The Management of Deep Carious Lesions,” p.275–284; Chapter 1 was already used in 2.1 and is cross-referenced, not repeated)</w:t>
      </w:r>
    </w:p>
    <w:p>
      <w:pPr>
        <w:pStyle w:val="ListBullet"/>
        <w:spacing w:after="60"/>
      </w:pPr>
      <w:r>
        <w:rPr>
          <w:b w:val="0"/>
          <w:i w:val="0"/>
        </w:rPr>
        <w:t xml:space="preserve">Innes NPT, Frencken JE, Bjørndal L, et al. Managing Carious Lesions: Consensus Recommendations on Terminology. Adv Dent Res. 2016;28(2):49–57. </w:t>
      </w:r>
      <w:r>
        <w:rPr>
          <w:b w:val="0"/>
          <w:i/>
        </w:rPr>
        <w:t>(International consensus — IADR Cariology Research Group / ORCA)</w:t>
      </w:r>
    </w:p>
    <w:p>
      <w:pPr>
        <w:pStyle w:val="ListBullet"/>
        <w:spacing w:after="60"/>
      </w:pPr>
      <w:r>
        <w:rPr>
          <w:b w:val="0"/>
          <w:i w:val="0"/>
        </w:rPr>
        <w:t xml:space="preserve">Innes NPT, Frencken JE, Bjørndal L, et al. (International Caries Consensus Collaboration). Managing Carious Lesions: Consensus Recommendations on Carious Tissue Removal. Adv Dent Res. 2016;28(2):58–67. </w:t>
      </w:r>
      <w:r>
        <w:rPr>
          <w:b w:val="0"/>
          <w:i/>
        </w:rPr>
        <w:t>(International consensus — IADR/ORCA)</w:t>
      </w:r>
    </w:p>
    <w:p>
      <w:pPr>
        <w:pStyle w:val="ListBullet"/>
        <w:spacing w:after="60"/>
      </w:pPr>
      <w:r>
        <w:rPr>
          <w:b w:val="0"/>
          <w:i w:val="0"/>
        </w:rPr>
        <w:t xml:space="preserve">Schwendicke F, Kosan E, Banerjee A, et al. Deep Caries Management: EFCD-ESE-ORCA S3-Level Clinical Practice Guideline. Caries Res. 2026 Apr 22 [Epub ahead of print]. doi:10.1159/000551659. </w:t>
      </w:r>
      <w:r>
        <w:rPr>
          <w:b w:val="0"/>
          <w:i/>
        </w:rPr>
        <w:t>(Authoritative-body clinical practice guideline — European Federation of Conservative Dentistry / European Society of Endodontology / ORCA)</w:t>
      </w:r>
    </w:p>
    <w:p>
      <w:pPr>
        <w:pStyle w:val="ListBullet"/>
        <w:spacing w:after="60"/>
      </w:pPr>
      <w:r>
        <w:rPr>
          <w:b w:val="0"/>
          <w:i w:val="0"/>
        </w:rPr>
        <w:t xml:space="preserve">Ricketts D. Management of the deep carious lesion and the vital pulp dentine complex. Br Dent J. 2001;191:606–610. </w:t>
      </w:r>
      <w:r>
        <w:rPr>
          <w:b w:val="0"/>
          <w:i/>
        </w:rPr>
        <w:t>(cited via Ricketts, Chadwick, Hall. Management of dental caries. In: Ricketts D, Bartlett D, editors. Advanced Operative Dentistry: A Practical Approach. Edinburgh: Churchill Livingstone/Elsevier; 2011. p.1–14)</w:t>
      </w:r>
    </w:p>
    <w:p>
      <w:pPr>
        <w:pStyle w:val="ListBullet"/>
        <w:spacing w:after="60"/>
      </w:pPr>
      <w:r>
        <w:rPr>
          <w:b w:val="0"/>
          <w:i w:val="0"/>
        </w:rPr>
        <w:t xml:space="preserve">Sikri VK. Indirect Restorations in Dental Practice. 2nd ed. New Delhi: CBS Publishers. </w:t>
      </w:r>
      <w:r>
        <w:rPr>
          <w:b w:val="0"/>
          <w:i/>
        </w:rPr>
        <w:t>(light use — residual caries removal protocol specific to cast-restoration tooth preparation, p.202)</w:t>
      </w:r>
    </w:p>
    <w:p>
      <w:pPr>
        <w:spacing w:after="120"/>
        <w:jc w:val="both"/>
      </w:pPr>
      <w:r>
        <w:rPr>
          <w:b/>
          <w:i w:val="0"/>
        </w:rPr>
        <w:t>Revision note:</w:t>
      </w:r>
      <w:r>
        <w:rPr>
          <w:b w:val="0"/>
          <w:i w:val="0"/>
        </w:rPr>
        <w:t xml:space="preserve"> Section 6 (Chemomechanical Caries Removal) was added after initial delivery, when cross-checking this sub-module against the Module 1 master outline (which specifies Carisolv and Papacarie as a distinct required topic) surfaced that the original delivery had only mentioned chemomechanical removal in passing via cross-reference to 2.1, without its own dedicated, page-cited section. Section 6 draws on </w:t>
      </w:r>
      <w:r>
        <w:rPr>
          <w:b w:val="0"/>
          <w:i/>
        </w:rPr>
        <w:t>Pickard's Guide to Minimally Invasive Operative Dentistry</w:t>
      </w:r>
      <w:r>
        <w:rPr>
          <w:b w:val="0"/>
          <w:i w:val="0"/>
        </w:rPr>
        <w:t>, Table 5.5 and Sections 5.8.5–5.8.6 (p.73, 81–82) — content from the same 10th-edition source already used in 2.1, not previously cited with these specific pages.</w:t>
      </w:r>
    </w:p>
    <w:p>
      <w:pPr>
        <w:spacing w:after="120"/>
        <w:jc w:val="both"/>
      </w:pPr>
      <w:r>
        <w:rPr>
          <w:b w:val="0"/>
          <w:i w:val="0"/>
        </w:rPr>
        <w:t xml:space="preserve">A note on the two Pickard's texts used: </w:t>
      </w:r>
      <w:r>
        <w:rPr>
          <w:b w:val="0"/>
          <w:i/>
        </w:rPr>
        <w:t>Pickard's Manual</w:t>
      </w:r>
      <w:r>
        <w:rPr>
          <w:b w:val="0"/>
          <w:i w:val="0"/>
        </w:rPr>
        <w:t xml:space="preserve"> (9th ed.) and </w:t>
      </w:r>
      <w:r>
        <w:rPr>
          <w:b w:val="0"/>
          <w:i/>
        </w:rPr>
        <w:t>Pickard's Guide to Minimally Invasive Operative Dentistry</w:t>
      </w:r>
      <w:r>
        <w:rPr>
          <w:b w:val="0"/>
          <w:i w:val="0"/>
        </w:rPr>
        <w:t xml:space="preserve"> (10th ed., used in 2.1) are consecutive editions of the same underlying textbook, the latter explicitly renamed and revised from the former per its own preface. Both were confirmed as genuinely different files (different content, different file hashes) and are cited separately by edition where their content differs.</w:t>
      </w:r>
    </w:p>
    <w:p>
      <w:pPr>
        <w:spacing w:after="120"/>
        <w:jc w:val="both"/>
      </w:pPr>
      <w:r>
        <w:rPr>
          <w:b/>
          <w:i w:val="0"/>
        </w:rPr>
        <w:t>Library note:</w:t>
      </w:r>
      <w:r>
        <w:rPr>
          <w:b w:val="0"/>
          <w:i w:val="0"/>
        </w:rPr>
        <w:t xml:space="preserve"> the user's textbook library has moved from a local </w:t>
      </w:r>
      <w:r>
        <w:rPr>
          <w:b w:val="0"/>
          <w:i/>
        </w:rPr>
        <w:t>~/Downloads</w:t>
      </w:r>
      <w:r>
        <w:rPr>
          <w:b w:val="0"/>
          <w:i w:val="0"/>
        </w:rPr>
        <w:t xml:space="preserve"> folder (used for Sub-Modules 1.x and the initial 2.1 build) to a OneDrive-synced </w:t>
      </w:r>
      <w:r>
        <w:rPr>
          <w:b w:val="0"/>
          <w:i/>
        </w:rPr>
        <w:t>MDS III/Textbooks</w:t>
      </w:r>
      <w:r>
        <w:rPr>
          <w:b w:val="0"/>
          <w:i w:val="0"/>
        </w:rPr>
        <w:t xml:space="preserve"> folder, which is now the canonical source location and was used for all new extractions in this document.</w:t>
      </w:r>
    </w:p>
    <w:p>
      <w:r>
        <w:br w:type="page"/>
      </w:r>
    </w:p>
    <w:p>
      <w:pPr>
        <w:pStyle w:val="Heading1"/>
      </w:pPr>
      <w:r>
        <w:t>Sub-Module 2.2: Caries Removal Strategies</w:t>
      </w:r>
    </w:p>
    <w:p>
      <w:pPr>
        <w:pStyle w:val="Heading2"/>
      </w:pPr>
      <w:r>
        <w:t>1. Carious Dentin Characteristics — Three Complementary Histological Models</w:t>
      </w:r>
    </w:p>
    <w:p>
      <w:pPr>
        <w:spacing w:after="120"/>
      </w:pPr>
      <w:r>
        <w:rPr>
          <w:b w:val="0"/>
          <w:i w:val="0"/>
        </w:rPr>
        <w:t xml:space="preserve">Sub-Module 2.1 already covered Fusayama's widely used two-layer clinical model (infected dentin: bacterially contaminated, irreversibly denatured, must be removed; affected dentin: sterile, reversibly denatured, remineralizable, should be preserved) — see Sub-Module 2.1, Section 3.1. This section adds two further, more granular models used by other standardised sources, plus the shared modern conclusion on what should </w:t>
      </w:r>
      <w:r>
        <w:rPr>
          <w:b w:val="0"/>
          <w:i/>
        </w:rPr>
        <w:t>not</w:t>
      </w:r>
      <w:r>
        <w:rPr>
          <w:b w:val="0"/>
          <w:i w:val="0"/>
        </w:rPr>
        <w:t xml:space="preserve"> be used to judge dentin.</w:t>
      </w:r>
    </w:p>
    <w:p>
      <w:pPr>
        <w:pStyle w:val="Heading3"/>
      </w:pPr>
      <w:r>
        <w:t>1.1 Pickard's Clinical Discrimination Table (Three Zones, Multiple Discrimination Methods)</w:t>
      </w:r>
    </w:p>
    <w:p>
      <w:pPr>
        <w:spacing w:after="120"/>
      </w:pPr>
      <w:r>
        <w:rPr>
          <w:b w:val="0"/>
          <w:i w:val="0"/>
        </w:rPr>
        <w:t xml:space="preserve">Pickard's frames the same infected/affected/sound distinction but is explicit that </w:t>
      </w:r>
      <w:r>
        <w:rPr>
          <w:b w:val="0"/>
          <w:i/>
        </w:rPr>
        <w:t>“these zones do not have distinct boundaries but have a gradient of histological/bacterial change through them from the enamel-dentine junction (EDJ) to the pulp”</w:t>
      </w:r>
      <w:r>
        <w:rPr>
          <w:b w:val="0"/>
          <w:i w:val="0"/>
        </w:rPr>
        <w:t xml:space="preserve"> [5, p.87]</w:t>
      </w:r>
      <w:r>
        <w:rPr>
          <w:b w:val="0"/>
          <w:i w:val="0"/>
        </w:rPr>
        <w:t xml:space="preserve"> — i.e., a continuum, not discrete steps. It tabulates the available discrimination methods directly:</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Method</w:t>
            </w:r>
          </w:p>
        </w:tc>
        <w:tc>
          <w:tcPr>
            <w:tcW w:type="dxa" w:w="4320"/>
          </w:tcPr>
          <w:p>
            <w:r>
              <w:rPr>
                <w:b/>
                <w:sz w:val="18"/>
              </w:rPr>
              <w:t>What it shows / limitation</w:t>
            </w:r>
          </w:p>
        </w:tc>
      </w:tr>
      <w:tr>
        <w:tc>
          <w:tcPr>
            <w:tcW w:type="dxa" w:w="4320"/>
          </w:tcPr>
          <w:p>
            <w:r>
              <w:rPr>
                <w:sz w:val="18"/>
              </w:rPr>
              <w:t>Visual</w:t>
            </w:r>
          </w:p>
        </w:tc>
        <w:tc>
          <w:tcPr>
            <w:tcW w:type="dxa" w:w="4320"/>
          </w:tcPr>
          <w:p>
            <w:r>
              <w:rPr>
                <w:sz w:val="18"/>
              </w:rPr>
              <w:t>Colour gradient: dark brown → paler brown/translucent → yellow/white. Very difficult to judge clinically; easier on a sectioned (research) specimen</w:t>
            </w:r>
          </w:p>
        </w:tc>
      </w:tr>
      <w:tr>
        <w:tc>
          <w:tcPr>
            <w:tcW w:type="dxa" w:w="4320"/>
          </w:tcPr>
          <w:p>
            <w:r>
              <w:rPr>
                <w:sz w:val="18"/>
              </w:rPr>
              <w:t>Tactile</w:t>
            </w:r>
          </w:p>
        </w:tc>
        <w:tc>
          <w:tcPr>
            <w:tcW w:type="dxa" w:w="4320"/>
          </w:tcPr>
          <w:p>
            <w:r>
              <w:rPr>
                <w:sz w:val="18"/>
              </w:rPr>
              <w:t>Infected: soft/sticky feel to a sharp probe. Affected: sticky/flaky AND scratchy. Sound: scratchy feel only</w:t>
            </w:r>
          </w:p>
        </w:tc>
      </w:tr>
      <w:tr>
        <w:tc>
          <w:tcPr>
            <w:tcW w:type="dxa" w:w="4320"/>
          </w:tcPr>
          <w:p>
            <w:r>
              <w:rPr>
                <w:sz w:val="18"/>
              </w:rPr>
              <w:t>Caries detector dyes (Fusayama-type)</w:t>
            </w:r>
          </w:p>
        </w:tc>
        <w:tc>
          <w:tcPr>
            <w:tcW w:type="dxa" w:w="4320"/>
          </w:tcPr>
          <w:p>
            <w:r>
              <w:rPr>
                <w:sz w:val="18"/>
              </w:rPr>
              <w:t>Propylene-glycol, collagen-based stains. Research has shown these stain deeper into affected/sound dentine zones than intended, often leading to cavity OVER-preparation</w:t>
            </w:r>
          </w:p>
        </w:tc>
      </w:tr>
      <w:tr>
        <w:tc>
          <w:tcPr>
            <w:tcW w:type="dxa" w:w="4320"/>
          </w:tcPr>
          <w:p>
            <w:r>
              <w:rPr>
                <w:sz w:val="18"/>
              </w:rPr>
              <w:t>Bacterial dyes (research)</w:t>
            </w:r>
          </w:p>
        </w:tc>
        <w:tc>
          <w:tcPr>
            <w:tcW w:type="dxa" w:w="4320"/>
          </w:tcPr>
          <w:p>
            <w:r>
              <w:rPr>
                <w:sz w:val="18"/>
              </w:rPr>
              <w:t>React to bacterial redox by-products; use the concentration-gradient drop from infected through affected to sound dentine. Potential to be zone-selective, but still under development</w:t>
            </w:r>
          </w:p>
        </w:tc>
      </w:tr>
      <w:tr>
        <w:tc>
          <w:tcPr>
            <w:tcW w:type="dxa" w:w="4320"/>
          </w:tcPr>
          <w:p>
            <w:r>
              <w:rPr>
                <w:sz w:val="18"/>
              </w:rPr>
              <w:t>Fluorescence (research)</w:t>
            </w:r>
          </w:p>
        </w:tc>
        <w:tc>
          <w:tcPr>
            <w:tcW w:type="dxa" w:w="4320"/>
          </w:tcPr>
          <w:p>
            <w:r>
              <w:rPr>
                <w:sz w:val="18"/>
              </w:rPr>
              <w:t>Confocal fibre-optic microendoscopy shows a discriminating level of natural dentine fluorescence in infected dentine; a possible future in-vivo technique</w:t>
            </w:r>
          </w:p>
        </w:tc>
      </w:tr>
    </w:tbl>
    <w:p>
      <w:r>
        <w:rPr>
          <w:i/>
          <w:sz w:val="18"/>
        </w:rPr>
        <w:t>Source: [5, p.87-88]. Overall conclusion: 'none are truly objective' — interpretation is always required.</w:t>
      </w:r>
    </w:p>
    <w:p/>
    <w:p>
      <w:pPr>
        <w:spacing w:before="80" w:after="80"/>
      </w:pPr>
      <w:r>
        <w:rPr>
          <w:b/>
        </w:rPr>
        <w:t xml:space="preserve">DEFINITION — Peripheral caries / EDJ rule (Pickard's): </w:t>
      </w:r>
      <w:r>
        <w:rPr>
          <w:b w:val="0"/>
          <w:i w:val="0"/>
        </w:rPr>
        <w:t>in no clinical situation should caries-infected dentine be retained at the enamel-dentine junction, as this dentine is essentially necrotic and cannot be adhered to. If sound enamel lines the entire cavity periphery and moisture control is optimal, limited brown-discoloured affected dentine MAY be retained at the EDJ — but should still be selectively removed if its discolouration risks showing through the final restoration aesthetically.</w:t>
      </w:r>
      <w:r>
        <w:t xml:space="preserve"> [5, p.88]</w:t>
      </w:r>
    </w:p>
    <w:p>
      <w:pPr>
        <w:pStyle w:val="Heading3"/>
      </w:pPr>
      <w:r>
        <w:t>1.2 Marzouk's Five-Zone Histological Model</w:t>
      </w:r>
    </w:p>
    <w:p>
      <w:pPr>
        <w:spacing w:after="120"/>
      </w:pPr>
      <w:r>
        <w:rPr>
          <w:b w:val="0"/>
          <w:i w:val="0"/>
        </w:rPr>
        <w:t xml:space="preserve">Marzouk's presents a more granular, purely histological model based on ground-section microscopy, distinguishing five zones from the most superficial to the deepest, and explicitly comparing acute vs. chronic presentation </w:t>
      </w:r>
      <w:r>
        <w:rPr>
          <w:b w:val="0"/>
          <w:i/>
        </w:rPr>
        <w:t>within each zone</w:t>
      </w:r>
      <w:r>
        <w:rPr>
          <w:b w:val="0"/>
          <w:i w:val="0"/>
        </w:rPr>
        <w:t xml:space="preserve"> [4, p.275]</w:t>
      </w:r>
      <w:r>
        <w:rPr>
          <w:b w:val="0"/>
          <w:i w:val="0"/>
        </w:rP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Zone (superficial → deep)</w:t>
            </w:r>
          </w:p>
        </w:tc>
        <w:tc>
          <w:tcPr>
            <w:tcW w:type="dxa" w:w="2880"/>
          </w:tcPr>
          <w:p>
            <w:r>
              <w:rPr>
                <w:b/>
                <w:sz w:val="18"/>
              </w:rPr>
              <w:t>Key features</w:t>
            </w:r>
          </w:p>
        </w:tc>
        <w:tc>
          <w:tcPr>
            <w:tcW w:type="dxa" w:w="2880"/>
          </w:tcPr>
          <w:p>
            <w:r>
              <w:rPr>
                <w:b/>
                <w:sz w:val="18"/>
              </w:rPr>
              <w:t>Acute vs. chronic difference</w:t>
            </w:r>
          </w:p>
        </w:tc>
      </w:tr>
      <w:tr>
        <w:tc>
          <w:tcPr>
            <w:tcW w:type="dxa" w:w="2880"/>
          </w:tcPr>
          <w:p>
            <w:r>
              <w:rPr>
                <w:sz w:val="18"/>
              </w:rPr>
              <w:t>A. Decayed zone</w:t>
            </w:r>
          </w:p>
        </w:tc>
        <w:tc>
          <w:tcPr>
            <w:tcW w:type="dxa" w:w="2880"/>
          </w:tcPr>
          <w:p>
            <w:r>
              <w:rPr>
                <w:sz w:val="18"/>
              </w:rPr>
              <w:t>Almost completely devoid of minerals; organic matrix completely decomposed; collagen unrecognizable; high microbial concentration; activity is purely microbial</w:t>
            </w:r>
          </w:p>
        </w:tc>
        <w:tc>
          <w:tcPr>
            <w:tcW w:type="dxa" w:w="2880"/>
          </w:tcPr>
          <w:p>
            <w:r>
              <w:rPr>
                <w:sz w:val="18"/>
              </w:rPr>
              <w:t>Clinically similar in both; chronic tends to be more odiferous (extensive lysis) and darker (longer chromogenic bacterial activity)</w:t>
            </w:r>
          </w:p>
        </w:tc>
      </w:tr>
      <w:tr>
        <w:tc>
          <w:tcPr>
            <w:tcW w:type="dxa" w:w="2880"/>
          </w:tcPr>
          <w:p>
            <w:r>
              <w:rPr>
                <w:sz w:val="18"/>
              </w:rPr>
              <w:t>B. Septic zone</w:t>
            </w:r>
          </w:p>
        </w:tc>
        <w:tc>
          <w:tcPr>
            <w:tcW w:type="dxa" w:w="2880"/>
          </w:tcPr>
          <w:p>
            <w:r>
              <w:rPr>
                <w:sz w:val="18"/>
              </w:rPr>
              <w:t>Highest microorganism concentration; framework still recognizable but collagen cross-banding lost; tubules extremely widened/cavitated; softest zone of all</w:t>
            </w:r>
          </w:p>
        </w:tc>
        <w:tc>
          <w:tcPr>
            <w:tcW w:type="dxa" w:w="2880"/>
          </w:tcPr>
          <w:p>
            <w:r>
              <w:rPr>
                <w:sz w:val="18"/>
              </w:rPr>
              <w:t>Slightly greater dimension in chronic; colour light yellow to dark reddish-brown depending on chromogenic activity duration</w:t>
            </w:r>
          </w:p>
        </w:tc>
      </w:tr>
      <w:tr>
        <w:tc>
          <w:tcPr>
            <w:tcW w:type="dxa" w:w="2880"/>
          </w:tcPr>
          <w:p>
            <w:r>
              <w:rPr>
                <w:sz w:val="18"/>
              </w:rPr>
              <w:t>C. Demineralized zone</w:t>
            </w:r>
          </w:p>
        </w:tc>
        <w:tc>
          <w:tcPr>
            <w:tcW w:type="dxa" w:w="2880"/>
          </w:tcPr>
          <w:p>
            <w:r>
              <w:rPr>
                <w:sz w:val="18"/>
              </w:rPr>
              <w:t>Matrix still intact; collagen retains normal cross-banding; mineral crystals still attached to collagen; BOTH destructive (decalcification) and reparative (remineralization) activity occurs here</w:t>
            </w:r>
          </w:p>
        </w:tc>
        <w:tc>
          <w:tcPr>
            <w:tcW w:type="dxa" w:w="2880"/>
          </w:tcPr>
          <w:p>
            <w:r>
              <w:rPr>
                <w:sz w:val="18"/>
              </w:rPr>
              <w:t>Width up to 1750 µm in acute vs. as little as 50 µm in chronic (per Fusayama). Colour: straw yellow (acute) vs. yellow-brown/dark brown (chronic). Consistency: much softer in acute (possibly &gt;15x less hard) than chronic</w:t>
            </w:r>
          </w:p>
        </w:tc>
      </w:tr>
      <w:tr>
        <w:tc>
          <w:tcPr>
            <w:tcW w:type="dxa" w:w="2880"/>
          </w:tcPr>
          <w:p>
            <w:r>
              <w:rPr>
                <w:sz w:val="18"/>
              </w:rPr>
              <w:t>D. Transparent zone</w:t>
            </w:r>
          </w:p>
        </w:tc>
        <w:tc>
          <w:tcPr>
            <w:tcW w:type="dxa" w:w="2880"/>
          </w:tcPr>
          <w:p>
            <w:r>
              <w:rPr>
                <w:sz w:val="18"/>
              </w:rPr>
              <w:t>Radiopaque on radiograph; zone of dentinal sclerosis and the calcific barrier — the two most impermeable/impenetrable dentine types; more pronounced in chronic decay</w:t>
            </w:r>
          </w:p>
        </w:tc>
        <w:tc>
          <w:tcPr>
            <w:tcW w:type="dxa" w:w="2880"/>
          </w:tcPr>
          <w:p>
            <w:r>
              <w:rPr>
                <w:sz w:val="18"/>
              </w:rPr>
              <w:t>Present but smaller/occasionally interrupted in acute decay; dentine here is ~19x harder than normal dentine on average, and harder still in chronic lesions</w:t>
            </w:r>
          </w:p>
        </w:tc>
      </w:tr>
      <w:tr>
        <w:tc>
          <w:tcPr>
            <w:tcW w:type="dxa" w:w="2880"/>
          </w:tcPr>
          <w:p>
            <w:r>
              <w:rPr>
                <w:sz w:val="18"/>
              </w:rPr>
              <w:t>E. Opaque zone</w:t>
            </w:r>
          </w:p>
        </w:tc>
        <w:tc>
          <w:tcPr>
            <w:tcW w:type="dxa" w:w="2880"/>
          </w:tcPr>
          <w:p>
            <w:r>
              <w:rPr>
                <w:sz w:val="18"/>
              </w:rPr>
              <w:t>Pulpal to the transparent zone; intratubular fatty degeneration with lipid deposits, predisposing to further tubular sclerosis; radiolucent on radiograph</w:t>
            </w:r>
          </w:p>
        </w:tc>
        <w:tc>
          <w:tcPr>
            <w:tcW w:type="dxa" w:w="2880"/>
          </w:tcPr>
          <w:p>
            <w:r>
              <w:rPr>
                <w:sz w:val="18"/>
              </w:rPr>
              <w:t>More pronounced in acute lesions</w:t>
            </w:r>
          </w:p>
        </w:tc>
      </w:tr>
    </w:tbl>
    <w:p>
      <w:r>
        <w:rPr>
          <w:i/>
          <w:sz w:val="18"/>
        </w:rPr>
        <w:t>Source: [4, p.275-276]. Decay advances until each zone, starting with the opaque zone, reaches the pulp; maximum resistance to pulpal penetration occurs at the transparent/demineralized zone boundary, but if the SEPTIC zone itself reaches the pulp chamber, the pulp-dentin organ offers no resistance and suffers complete collapse.</w:t>
      </w:r>
    </w:p>
    <w:p/>
    <w:p>
      <w:pPr>
        <w:spacing w:after="120"/>
      </w:pPr>
      <w:r>
        <w:rPr>
          <w:b w:val="0"/>
          <w:i w:val="0"/>
        </w:rPr>
        <w:t xml:space="preserve">Marzouk's stresses that acute/chronic status is not fixed: </w:t>
      </w:r>
      <w:r>
        <w:rPr>
          <w:b w:val="0"/>
          <w:i/>
        </w:rPr>
        <w:t>“by diminishing or eliminating the presence of bacterial substrates, an acute lesion may become chronic in nature. Conversely, by increasing the presence of bacterial substrates, a chronic lesion may become acute in nature”</w:t>
      </w:r>
      <w:r>
        <w:rPr>
          <w:b w:val="0"/>
          <w:i w:val="0"/>
        </w:rPr>
        <w:t xml:space="preserve"> [4, p.276]</w:t>
      </w:r>
      <w:r>
        <w:rPr>
          <w:b w:val="0"/>
          <w:i w:val="0"/>
        </w:rPr>
        <w:t xml:space="preserve"> — i.e., the histological pattern reflects the current disease trajectory, not a fixed lesion type.</w:t>
      </w:r>
    </w:p>
    <w:p>
      <w:pPr>
        <w:pStyle w:val="Heading3"/>
      </w:pPr>
      <w:r>
        <w:t>1.3 The Shared Modern Conclusion: Colour Is Not a Reliable Removal Criterion</w:t>
      </w:r>
    </w:p>
    <w:p>
      <w:pPr>
        <w:spacing w:after="120"/>
      </w:pPr>
      <w:r>
        <w:rPr>
          <w:b w:val="0"/>
          <w:i w:val="0"/>
        </w:rPr>
        <w:t xml:space="preserve">Two independent standardised sources reach the identical conclusion by different routes. Marzouk's states directly: </w:t>
      </w:r>
      <w:r>
        <w:rPr>
          <w:b w:val="0"/>
          <w:i/>
        </w:rPr>
        <w:t>“the traditional philosophy of establishing dentinal walls and floors of uniform colour should be abandoned. It should not be the colour, but rather the soundness and reparability of the dentin that determines the removal or inclusion of that dentin”</w:t>
      </w:r>
      <w:r>
        <w:rPr>
          <w:b w:val="0"/>
          <w:i w:val="0"/>
        </w:rPr>
        <w:t xml:space="preserve">, citing specific counter-examples — chronic-decay sclerotic/calcific-barrier dentin is often </w:t>
      </w:r>
      <w:r>
        <w:rPr>
          <w:b w:val="0"/>
          <w:i/>
        </w:rPr>
        <w:t>darker</w:t>
      </w:r>
      <w:r>
        <w:rPr>
          <w:b w:val="0"/>
          <w:i w:val="0"/>
        </w:rPr>
        <w:t xml:space="preserve"> than sound dentin despite being maximally reparable, while some acutely-demineralized, irreparable dentin can retain a colour indistinguishable from sound dentine</w:t>
      </w:r>
      <w:r>
        <w:rPr>
          <w:b w:val="0"/>
          <w:i w:val="0"/>
        </w:rPr>
        <w:t xml:space="preserve"> [4, p.277]</w:t>
      </w:r>
      <w:r>
        <w:rPr>
          <w:b w:val="0"/>
          <w:i w:val="0"/>
        </w:rPr>
        <w:t xml:space="preserve">. Pickard's reaches the same position independently: </w:t>
      </w:r>
      <w:r>
        <w:rPr>
          <w:b w:val="0"/>
          <w:i/>
        </w:rPr>
        <w:t>“Brown discoloration of the dentine at the EDJ is neither an indicator of its infectivity nor for its removal (unless in the aesthetic zone)”</w:t>
      </w:r>
      <w:r>
        <w:rPr>
          <w:b w:val="0"/>
          <w:i w:val="0"/>
        </w:rPr>
        <w:t xml:space="preserve"> [5, p.88]</w:t>
      </w:r>
      <w:r>
        <w:rPr>
          <w:b w:val="0"/>
          <w:i w:val="0"/>
        </w:rPr>
        <w:t xml:space="preserve">. Marzouk's further notes that hardness/abrasive-resistance testing (the usual clinical proxy) is itself unreliable, citing Fusayama's own Knoop Hardness Number (KHN) data: sound dentin measures </w:t>
      </w:r>
      <w:r>
        <w:rPr>
          <w:b/>
          <w:i w:val="0"/>
        </w:rPr>
        <w:t>69 KHN</w:t>
      </w:r>
      <w:r>
        <w:rPr>
          <w:b w:val="0"/>
          <w:i w:val="0"/>
        </w:rPr>
        <w:t xml:space="preserve">, but dentin remaining after clinical spoon-excavator removal measured only </w:t>
      </w:r>
      <w:r>
        <w:rPr>
          <w:b/>
          <w:i w:val="0"/>
        </w:rPr>
        <w:t>22.8 ± 9.95 KHN</w:t>
      </w:r>
      <w:r>
        <w:rPr>
          <w:b w:val="0"/>
          <w:i w:val="0"/>
        </w:rPr>
        <w:t xml:space="preserve">, and after round-bur removal </w:t>
      </w:r>
      <w:r>
        <w:rPr>
          <w:b/>
          <w:i w:val="0"/>
        </w:rPr>
        <w:t>28.4 ± 16.36 KHN</w:t>
      </w:r>
      <w:r>
        <w:rPr>
          <w:b w:val="0"/>
          <w:i w:val="0"/>
        </w:rPr>
        <w:t xml:space="preserve"> — both far softer than “sound,” and neither method reliably distinguishing remineralizable from non-remineralizable dentin</w:t>
      </w:r>
      <w:r>
        <w:rPr>
          <w:b w:val="0"/>
          <w:i w:val="0"/>
        </w:rPr>
        <w:t xml:space="preserve"> [4, p.278]</w:t>
      </w:r>
      <w:r>
        <w:rPr>
          <w:b w:val="0"/>
          <w:i w:val="0"/>
        </w:rPr>
        <w:t>.</w:t>
      </w:r>
    </w:p>
    <w:p>
      <w:r>
        <w:br w:type="page"/>
      </w:r>
    </w:p>
    <w:p>
      <w:pPr>
        <w:pStyle w:val="Heading2"/>
      </w:pPr>
      <w:r>
        <w:t>2. International Consensus Terminology for Caries Removal Technique</w:t>
      </w:r>
    </w:p>
    <w:p>
      <w:pPr>
        <w:spacing w:after="120"/>
      </w:pPr>
      <w:r>
        <w:rPr>
          <w:b w:val="0"/>
          <w:i w:val="0"/>
        </w:rPr>
        <w:t>Rather than leaving “selective,” “stepwise,” and “complete” removal as loosely-used textbook terms, the International Caries Consensus Collaboration (a joint IADR Cariology Research Group / ORCA initiative) published a formal terminology consensus in 2016, since adopted into a full clinical practice guideline in 2026. These are given precise, standardised definitions</w:t>
      </w:r>
      <w:r>
        <w:rPr>
          <w:b w:val="0"/>
          <w:i w:val="0"/>
        </w:rPr>
        <w:t xml:space="preserve"> [6, p.1]</w:t>
      </w:r>
      <w:r>
        <w:rPr>
          <w:b w:val="0"/>
          <w:i w:val="0"/>
        </w:rPr>
        <w: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Term</w:t>
            </w:r>
          </w:p>
        </w:tc>
        <w:tc>
          <w:tcPr>
            <w:tcW w:type="dxa" w:w="4320"/>
          </w:tcPr>
          <w:p>
            <w:r>
              <w:rPr>
                <w:b/>
                <w:sz w:val="18"/>
              </w:rPr>
              <w:t>Precise definition</w:t>
            </w:r>
          </w:p>
        </w:tc>
      </w:tr>
      <w:tr>
        <w:tc>
          <w:tcPr>
            <w:tcW w:type="dxa" w:w="4320"/>
          </w:tcPr>
          <w:p>
            <w:r>
              <w:rPr>
                <w:sz w:val="18"/>
              </w:rPr>
              <w:t>Selective removal to soft dentine</w:t>
            </w:r>
          </w:p>
        </w:tc>
        <w:tc>
          <w:tcPr>
            <w:tcW w:type="dxa" w:w="4320"/>
          </w:tcPr>
          <w:p>
            <w:r>
              <w:rPr>
                <w:sz w:val="18"/>
              </w:rPr>
              <w:t>Soft carious tissue is deliberately preserved near/over the pulp to minimize exposure risk, WHILE peripheral dentine (at the cavity margin) is prepared to a hard consistency to secure a sound restoration</w:t>
            </w:r>
          </w:p>
        </w:tc>
      </w:tr>
      <w:tr>
        <w:tc>
          <w:tcPr>
            <w:tcW w:type="dxa" w:w="4320"/>
          </w:tcPr>
          <w:p>
            <w:r>
              <w:rPr>
                <w:sz w:val="18"/>
              </w:rPr>
              <w:t>Selective removal to firm dentine</w:t>
            </w:r>
          </w:p>
        </w:tc>
        <w:tc>
          <w:tcPr>
            <w:tcW w:type="dxa" w:w="4320"/>
          </w:tcPr>
          <w:p>
            <w:r>
              <w:rPr>
                <w:sz w:val="18"/>
              </w:rPr>
              <w:t>Firm (leathery) dentine is retained over the pulp; peripheral dentine is prepared to hard consistency, maintaining resistance to hand excavation</w:t>
            </w:r>
          </w:p>
        </w:tc>
      </w:tr>
      <w:tr>
        <w:tc>
          <w:tcPr>
            <w:tcW w:type="dxa" w:w="4320"/>
          </w:tcPr>
          <w:p>
            <w:r>
              <w:rPr>
                <w:sz w:val="18"/>
              </w:rPr>
              <w:t>Stepwise removal — stage 1</w:t>
            </w:r>
          </w:p>
        </w:tc>
        <w:tc>
          <w:tcPr>
            <w:tcW w:type="dxa" w:w="4320"/>
          </w:tcPr>
          <w:p>
            <w:r>
              <w:rPr>
                <w:sz w:val="18"/>
              </w:rPr>
              <w:t>Soft carious tissue is retained over the pulp while peripheral dentine is prepared to hard consistency; a provisional restoration is then placed for 6–12+ months</w:t>
            </w:r>
          </w:p>
        </w:tc>
      </w:tr>
      <w:tr>
        <w:tc>
          <w:tcPr>
            <w:tcW w:type="dxa" w:w="4320"/>
          </w:tcPr>
          <w:p>
            <w:r>
              <w:rPr>
                <w:sz w:val="18"/>
              </w:rPr>
              <w:t>Stepwise removal — stage 2</w:t>
            </w:r>
          </w:p>
        </w:tc>
        <w:tc>
          <w:tcPr>
            <w:tcW w:type="dxa" w:w="4320"/>
          </w:tcPr>
          <w:p>
            <w:r>
              <w:rPr>
                <w:sz w:val="18"/>
              </w:rPr>
              <w:t>The provisional restoration is removed; lesion colour/hardness changes are reassessed; caries removal continues until firm dentine remains over the pulp, then a permanent restoration is placed</w:t>
            </w:r>
          </w:p>
        </w:tc>
      </w:tr>
      <w:tr>
        <w:tc>
          <w:tcPr>
            <w:tcW w:type="dxa" w:w="4320"/>
          </w:tcPr>
          <w:p>
            <w:r>
              <w:rPr>
                <w:sz w:val="18"/>
              </w:rPr>
              <w:t>Non-selective removal to hard dentine</w:t>
            </w:r>
          </w:p>
        </w:tc>
        <w:tc>
          <w:tcPr>
            <w:tcW w:type="dxa" w:w="4320"/>
          </w:tcPr>
          <w:p>
            <w:r>
              <w:rPr>
                <w:sz w:val="18"/>
              </w:rPr>
              <w:t>A uniform standard is applied throughout the cavity so that only hard dentine remains everywhere, eliminating all demineralized tissue — this is what was formerly termed ‘complete caries removal’ and per current guidance is NO LONGER RECOMMENDED for deep lesions</w:t>
            </w:r>
          </w:p>
        </w:tc>
      </w:tr>
    </w:tbl>
    <w:p>
      <w:r>
        <w:rPr>
          <w:i/>
          <w:sz w:val="18"/>
        </w:rPr>
        <w:t>Source: [6, p.1] (terminology); [8] (2026 guideline, confirming NSE is no longer recommended for deep caries).</w:t>
      </w:r>
    </w:p>
    <w:p/>
    <w:p>
      <w:pPr>
        <w:spacing w:before="80" w:after="80"/>
      </w:pPr>
      <w:r>
        <w:rPr>
          <w:b/>
        </w:rPr>
        <w:t xml:space="preserve">DEFINITION — Deep caries lesion (as used in this consensus): </w:t>
      </w:r>
      <w:r>
        <w:rPr>
          <w:b w:val="0"/>
          <w:i w:val="0"/>
        </w:rPr>
        <w:t>a cavitated lesion in which, on radiograph, demineralization extends to or beyond the inner third/quarter of the dentine and is close to the pulp — the specific depth threshold at which selective/stepwise (rather than non-selective) removal becomes the recommended approach.</w:t>
      </w:r>
      <w:r>
        <w:t xml:space="preserve"> [7, p.1]</w:t>
      </w:r>
    </w:p>
    <w:p>
      <w:pPr>
        <w:pStyle w:val="Heading3"/>
      </w:pPr>
      <w:r>
        <w:t>2.1 Formal Recommendations for Deep Caries (2026 EFCD-ESE-ORCA Guideline)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Recommendation</w:t>
            </w:r>
          </w:p>
        </w:tc>
        <w:tc>
          <w:tcPr>
            <w:tcW w:type="dxa" w:w="2160"/>
          </w:tcPr>
          <w:p>
            <w:r>
              <w:rPr>
                <w:b/>
                <w:sz w:val="18"/>
              </w:rPr>
              <w:t>Comparison</w:t>
            </w:r>
          </w:p>
        </w:tc>
        <w:tc>
          <w:tcPr>
            <w:tcW w:type="dxa" w:w="2160"/>
          </w:tcPr>
          <w:p>
            <w:r>
              <w:rPr>
                <w:b/>
                <w:sz w:val="18"/>
              </w:rPr>
              <w:t>Grade</w:t>
            </w:r>
          </w:p>
        </w:tc>
        <w:tc>
          <w:tcPr>
            <w:tcW w:type="dxa" w:w="2160"/>
          </w:tcPr>
          <w:p>
            <w:r>
              <w:rPr>
                <w:b/>
                <w:sz w:val="18"/>
              </w:rPr>
              <w:t>Certainty of evidence</w:t>
            </w:r>
          </w:p>
        </w:tc>
      </w:tr>
      <w:tr>
        <w:tc>
          <w:tcPr>
            <w:tcW w:type="dxa" w:w="2160"/>
          </w:tcPr>
          <w:p>
            <w:r>
              <w:rPr>
                <w:sz w:val="18"/>
              </w:rPr>
              <w:t>R1.1: “We suggest selective removal to soft dentine (SE) as opposed to non-selective removal to hard dentine (NSE)”</w:t>
            </w:r>
          </w:p>
        </w:tc>
        <w:tc>
          <w:tcPr>
            <w:tcW w:type="dxa" w:w="2160"/>
          </w:tcPr>
          <w:p>
            <w:r>
              <w:rPr>
                <w:sz w:val="18"/>
              </w:rPr>
              <w:t>SE vs. NSE</w:t>
            </w:r>
          </w:p>
        </w:tc>
        <w:tc>
          <w:tcPr>
            <w:tcW w:type="dxa" w:w="2160"/>
          </w:tcPr>
          <w:p>
            <w:r>
              <w:rPr>
                <w:sz w:val="18"/>
              </w:rPr>
              <w:t>B (conditional/suggested)</w:t>
            </w:r>
          </w:p>
        </w:tc>
        <w:tc>
          <w:tcPr>
            <w:tcW w:type="dxa" w:w="2160"/>
          </w:tcPr>
          <w:p>
            <w:r>
              <w:rPr>
                <w:sz w:val="18"/>
              </w:rPr>
              <w:t>Very low to low</w:t>
            </w:r>
          </w:p>
        </w:tc>
      </w:tr>
      <w:tr>
        <w:tc>
          <w:tcPr>
            <w:tcW w:type="dxa" w:w="2160"/>
          </w:tcPr>
          <w:p>
            <w:r>
              <w:rPr>
                <w:sz w:val="18"/>
              </w:rPr>
              <w:t>R1.2: “We suggest stepwise removal (SW) as opposed to non-selective removal to hard dentine (NSE)”</w:t>
            </w:r>
          </w:p>
        </w:tc>
        <w:tc>
          <w:tcPr>
            <w:tcW w:type="dxa" w:w="2160"/>
          </w:tcPr>
          <w:p>
            <w:r>
              <w:rPr>
                <w:sz w:val="18"/>
              </w:rPr>
              <w:t>SW vs. NSE</w:t>
            </w:r>
          </w:p>
        </w:tc>
        <w:tc>
          <w:tcPr>
            <w:tcW w:type="dxa" w:w="2160"/>
          </w:tcPr>
          <w:p>
            <w:r>
              <w:rPr>
                <w:sz w:val="18"/>
              </w:rPr>
              <w:t>B (conditional/suggested)</w:t>
            </w:r>
          </w:p>
        </w:tc>
        <w:tc>
          <w:tcPr>
            <w:tcW w:type="dxa" w:w="2160"/>
          </w:tcPr>
          <w:p>
            <w:r>
              <w:rPr>
                <w:sz w:val="18"/>
              </w:rPr>
              <w:t>Very low to low</w:t>
            </w:r>
          </w:p>
        </w:tc>
      </w:tr>
    </w:tbl>
    <w:p>
      <w:r>
        <w:rPr>
          <w:i/>
          <w:sz w:val="18"/>
        </w:rPr>
        <w:t>Source: [8]. Summary evidence statement: risk of pulp exposure can be reduced by performing selective removal to soft dentine OR stepwise removal, compared with non-selective removal. Grade B = a 'suggestion' rather than a strong directive, reflecting the low-to-very-low certainty of the underlying evidence base — not a weak clinical rationale, but an honest rating of trial quality/consistency.</w:t>
      </w:r>
    </w:p>
    <w:p/>
    <w:p>
      <w:pPr>
        <w:spacing w:after="120"/>
      </w:pPr>
      <w:r>
        <w:rPr>
          <w:b w:val="0"/>
          <w:i w:val="0"/>
        </w:rPr>
        <w:t>The parallel, procedure-focused 2016 consensus paper gives the practical decision rule by lesion depth</w:t>
      </w:r>
      <w:r>
        <w:rPr>
          <w:b w:val="0"/>
          <w:i w:val="0"/>
        </w:rPr>
        <w:t xml:space="preserve"> [7, p.1]</w:t>
      </w:r>
      <w:r>
        <w:rPr>
          <w:b w:val="0"/>
          <w:i w:val="0"/>
        </w:rPr>
        <w:t xml:space="preserve">: for </w:t>
      </w:r>
      <w:r>
        <w:rPr>
          <w:b/>
          <w:i w:val="0"/>
        </w:rPr>
        <w:t>shallow or moderately deep</w:t>
      </w:r>
      <w:r>
        <w:rPr>
          <w:b w:val="0"/>
          <w:i w:val="0"/>
        </w:rPr>
        <w:t xml:space="preserve"> cavitated lesions, selective removal to </w:t>
      </w:r>
      <w:r>
        <w:rPr>
          <w:b w:val="0"/>
          <w:i/>
        </w:rPr>
        <w:t>firm</w:t>
      </w:r>
      <w:r>
        <w:rPr>
          <w:b w:val="0"/>
          <w:i w:val="0"/>
        </w:rPr>
        <w:t xml:space="preserve"> dentine is recommended; for </w:t>
      </w:r>
      <w:r>
        <w:rPr>
          <w:b/>
          <w:i w:val="0"/>
        </w:rPr>
        <w:t>deep</w:t>
      </w:r>
      <w:r>
        <w:rPr>
          <w:b w:val="0"/>
          <w:i w:val="0"/>
        </w:rPr>
        <w:t xml:space="preserve"> cavitated lesions specifically, selective removal to </w:t>
      </w:r>
      <w:r>
        <w:rPr>
          <w:b w:val="0"/>
          <w:i/>
        </w:rPr>
        <w:t>soft</w:t>
      </w:r>
      <w:r>
        <w:rPr>
          <w:b w:val="0"/>
          <w:i w:val="0"/>
        </w:rPr>
        <w:t xml:space="preserve"> dentine is recommended instead — i.e., the deeper/closer to the pulp the lesion, the </w:t>
      </w:r>
      <w:r>
        <w:rPr>
          <w:b w:val="0"/>
          <w:i/>
        </w:rPr>
        <w:t>more</w:t>
      </w:r>
      <w:r>
        <w:rPr>
          <w:b w:val="0"/>
          <w:i w:val="0"/>
        </w:rPr>
        <w:t xml:space="preserve"> carious tissue is deliberately left behind, not less. It also frames the broader clinical sequence: disease control (biofilm removal/control) should be attempted first, with restorative intervention reserved for lesions that are either non-cleansable or can no longer be sealed</w:t>
      </w:r>
      <w:r>
        <w:rPr>
          <w:b w:val="0"/>
          <w:i w:val="0"/>
        </w:rPr>
        <w:t xml:space="preserve"> [7, p.1]</w:t>
      </w:r>
      <w:r>
        <w:rPr>
          <w:b w:val="0"/>
          <w:i w:val="0"/>
        </w:rPr>
        <w:t>.</w:t>
      </w:r>
    </w:p>
    <w:p>
      <w:pPr>
        <w:pStyle w:val="Heading3"/>
      </w:pPr>
      <w:r>
        <w:t>2.2 Cross-Reference: How This Maps onto the Textbook Sources</w:t>
      </w:r>
    </w:p>
    <w:p>
      <w:pPr>
        <w:spacing w:after="120"/>
      </w:pPr>
      <w:r>
        <w:rPr>
          <w:b w:val="0"/>
          <w:i w:val="0"/>
        </w:rPr>
        <w:t xml:space="preserve">The consensus terminology gives formal, standardized names to what Pickard's describes more descriptively as different “excavation endpoints” along the same infected→affected→sound gradient (Section 1.1 above) — Pickard's own Figure 5.45 illustrates exactly three potential excavation endpoints (excavate fully to sound dentine at both EDJ and pulpal aspect; a less-invasive endpoint retaining stained EDJ dentine and affected pulpal dentine; and a minimally-invasive endpoint retaining infected/affected dentine pulpally while still finishing on sound enamel peripherally), explicitly stating </w:t>
      </w:r>
      <w:r>
        <w:rPr>
          <w:b w:val="0"/>
          <w:i/>
        </w:rPr>
        <w:t>“none of these endpoints are right or wrong”</w:t>
      </w:r>
      <w:r>
        <w:rPr>
          <w:b w:val="0"/>
          <w:i w:val="0"/>
        </w:rPr>
        <w:t xml:space="preserve"> provided the histology at each level is understood</w:t>
      </w:r>
      <w:r>
        <w:rPr>
          <w:b w:val="0"/>
          <w:i w:val="0"/>
        </w:rPr>
        <w:t xml:space="preserve"> [5, p.88]</w:t>
      </w:r>
      <w:r>
        <w:rPr>
          <w:b w:val="0"/>
          <w:i w:val="0"/>
        </w:rPr>
        <w:t>. This maps directly onto the consensus's selective-to-firm vs. selective-to-soft distinction, giving the older descriptive account a precise, internationally standardized vocabulary.</w:t>
      </w:r>
    </w:p>
    <w:p>
      <w:r>
        <w:br w:type="page"/>
      </w:r>
    </w:p>
    <w:p>
      <w:pPr>
        <w:pStyle w:val="Heading2"/>
      </w:pPr>
      <w:r>
        <w:t>3. Clinical Decision Rules for Caries Removal (Pickard's Manual)</w:t>
      </w:r>
    </w:p>
    <w:p>
      <w:pPr>
        <w:pStyle w:val="Heading3"/>
      </w:pPr>
      <w:r>
        <w:t>3.1 Rationale for Operative Intervention</w:t>
      </w:r>
    </w:p>
    <w:p>
      <w:pPr>
        <w:spacing w:after="120"/>
      </w:pPr>
      <w:r>
        <w:rPr>
          <w:b w:val="0"/>
          <w:i w:val="0"/>
        </w:rPr>
        <w:t>Four factors specifically justify surgical (operative) rather than purely preventive management of a carious lesion</w:t>
      </w:r>
      <w:r>
        <w:rPr>
          <w:b w:val="0"/>
          <w:i w:val="0"/>
        </w:rPr>
        <w:t xml:space="preserve"> [5, p.83]</w:t>
      </w:r>
      <w:r>
        <w:rPr>
          <w:b w:val="0"/>
          <w:i w:val="0"/>
        </w:rPr>
        <w:t>:</w:t>
      </w:r>
    </w:p>
    <w:p>
      <w:pPr>
        <w:pStyle w:val="ListBullet"/>
        <w:spacing w:after="60"/>
      </w:pPr>
      <w:r>
        <w:rPr>
          <w:b w:val="0"/>
          <w:i w:val="0"/>
        </w:rPr>
        <w:t>Aid plaque control — rough/cavitated surfaces may be unmanageable for a high-risk patient with poor plaque control</w:t>
      </w:r>
    </w:p>
    <w:p>
      <w:pPr>
        <w:pStyle w:val="ListBullet"/>
        <w:spacing w:after="60"/>
      </w:pPr>
      <w:r>
        <w:rPr>
          <w:b w:val="0"/>
          <w:i w:val="0"/>
        </w:rPr>
        <w:t>Caries risk context — a small/early lesion may need operative treatment in a high-risk patient (especially if prior preventive regimens have already failed) but not in a low-risk patient</w:t>
      </w:r>
    </w:p>
    <w:p>
      <w:pPr>
        <w:pStyle w:val="ListBullet"/>
        <w:spacing w:after="60"/>
      </w:pPr>
      <w:r>
        <w:rPr>
          <w:b w:val="0"/>
          <w:i w:val="0"/>
        </w:rPr>
        <w:t>Restore form, function, appearance — including anterior aesthetic lesions where appearance itself affects the patient's willingness to smile</w:t>
      </w:r>
    </w:p>
    <w:p>
      <w:pPr>
        <w:pStyle w:val="ListBullet"/>
        <w:spacing w:after="60"/>
      </w:pPr>
      <w:r>
        <w:rPr>
          <w:b w:val="0"/>
          <w:i w:val="0"/>
        </w:rPr>
        <w:t>Alleviate pain / protect the pulp — removal plus a sedative dressing can resolve symptoms of reversible pulpitis and allow dentine-pulp healing</w:t>
      </w:r>
    </w:p>
    <w:p>
      <w:pPr>
        <w:pStyle w:val="Heading3"/>
      </w:pPr>
      <w:r>
        <w:t>3.2 Proximal Access Options (Including Tunnel Preparation)</w:t>
      </w:r>
    </w:p>
    <w:p>
      <w:pPr>
        <w:spacing w:after="120"/>
      </w:pPr>
      <w:r>
        <w:rPr>
          <w:b/>
          <w:i w:val="0"/>
        </w:rPr>
        <w:t>This section directly fills a gap explicitly flagged in Sub-Module 2.1</w:t>
      </w:r>
      <w:r>
        <w:rPr>
          <w:b w:val="0"/>
          <w:i w:val="0"/>
        </w:rPr>
        <w:t>, where “slot” and “tunnel” preparation terminology was searched for and not found in the Sturdevant's/Pickard's-MI/Summitt's/Marzouk's material used at that time. Pickard's Manual gives four named proximal-access approaches for a lesion not directly reachable</w:t>
      </w:r>
      <w:r>
        <w:rPr>
          <w:b w:val="0"/>
          <w:i w:val="0"/>
        </w:rPr>
        <w:t xml:space="preserve"> [5, p.85]</w:t>
      </w:r>
      <w:r>
        <w:rPr>
          <w:b w:val="0"/>
          <w:i w:val="0"/>
        </w:rP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Approach</w:t>
            </w:r>
          </w:p>
        </w:tc>
        <w:tc>
          <w:tcPr>
            <w:tcW w:type="dxa" w:w="2880"/>
          </w:tcPr>
          <w:p>
            <w:r>
              <w:rPr>
                <w:b/>
                <w:sz w:val="18"/>
              </w:rPr>
              <w:t>Technique</w:t>
            </w:r>
          </w:p>
        </w:tc>
        <w:tc>
          <w:tcPr>
            <w:tcW w:type="dxa" w:w="2880"/>
          </w:tcPr>
          <w:p>
            <w:r>
              <w:rPr>
                <w:b/>
                <w:sz w:val="18"/>
              </w:rPr>
              <w:t>Trade-off</w:t>
            </w:r>
          </w:p>
        </w:tc>
      </w:tr>
      <w:tr>
        <w:tc>
          <w:tcPr>
            <w:tcW w:type="dxa" w:w="2880"/>
          </w:tcPr>
          <w:p>
            <w:r>
              <w:rPr>
                <w:sz w:val="18"/>
              </w:rPr>
              <w:t>Standard proximal box</w:t>
            </w:r>
          </w:p>
        </w:tc>
        <w:tc>
          <w:tcPr>
            <w:tcW w:type="dxa" w:w="2880"/>
          </w:tcPr>
          <w:p>
            <w:r>
              <w:rPr>
                <w:sz w:val="18"/>
              </w:rPr>
              <w:t>Access initially just medial to the affected marginal ridge, eventually sacrificing the ridge entirely to create a proximal box</w:t>
            </w:r>
          </w:p>
        </w:tc>
        <w:tc>
          <w:tcPr>
            <w:tcW w:type="dxa" w:w="2880"/>
          </w:tcPr>
          <w:p>
            <w:r>
              <w:rPr>
                <w:sz w:val="18"/>
              </w:rPr>
              <w:t>Most predictable; sacrifices the marginal ridge</w:t>
            </w:r>
          </w:p>
        </w:tc>
      </w:tr>
      <w:tr>
        <w:tc>
          <w:tcPr>
            <w:tcW w:type="dxa" w:w="2880"/>
          </w:tcPr>
          <w:p>
            <w:r>
              <w:rPr>
                <w:sz w:val="18"/>
              </w:rPr>
              <w:t>Tunnel preparation (occlusal approach)</w:t>
            </w:r>
          </w:p>
        </w:tc>
        <w:tc>
          <w:tcPr>
            <w:tcW w:type="dxa" w:w="2880"/>
          </w:tcPr>
          <w:p>
            <w:r>
              <w:rPr>
                <w:sz w:val="18"/>
              </w:rPr>
              <w:t>Access medial to the marginal ridge, direct the bur toward the proximal lesion, tunnel BENEATH the marginal ridge, conserving it</w:t>
            </w:r>
          </w:p>
        </w:tc>
        <w:tc>
          <w:tcPr>
            <w:tcW w:type="dxa" w:w="2880"/>
          </w:tcPr>
          <w:p>
            <w:r>
              <w:rPr>
                <w:sz w:val="18"/>
              </w:rPr>
              <w:t>Only successful for sufficiently small lesions; debatable whether operative intervention is even appropriate at that size; good chance of marginal-ridge fracture in service after restoration</w:t>
            </w:r>
          </w:p>
        </w:tc>
      </w:tr>
      <w:tr>
        <w:tc>
          <w:tcPr>
            <w:tcW w:type="dxa" w:w="2880"/>
          </w:tcPr>
          <w:p>
            <w:r>
              <w:rPr>
                <w:sz w:val="18"/>
              </w:rPr>
              <w:t>Tunnel preparation (buccal/lingual approach)</w:t>
            </w:r>
          </w:p>
        </w:tc>
        <w:tc>
          <w:tcPr>
            <w:tcW w:type="dxa" w:w="2880"/>
          </w:tcPr>
          <w:p>
            <w:r>
              <w:rPr>
                <w:sz w:val="18"/>
              </w:rPr>
              <w:t>Access from the buccal, lingual, or palatal aspect, especially useful if the tooth is rotated or has undergone gingival recession</w:t>
            </w:r>
          </w:p>
        </w:tc>
        <w:tc>
          <w:tcPr>
            <w:tcW w:type="dxa" w:w="2880"/>
          </w:tcPr>
          <w:p>
            <w:r>
              <w:rPr>
                <w:sz w:val="18"/>
              </w:rPr>
              <w:t>Only successful for non-extensive lesions with effective moisture and cavity-margin control</w:t>
            </w:r>
          </w:p>
        </w:tc>
      </w:tr>
      <w:tr>
        <w:tc>
          <w:tcPr>
            <w:tcW w:type="dxa" w:w="2880"/>
          </w:tcPr>
          <w:p>
            <w:r>
              <w:rPr>
                <w:sz w:val="18"/>
              </w:rPr>
              <w:t>Direct mesial/distal access</w:t>
            </w:r>
          </w:p>
        </w:tc>
        <w:tc>
          <w:tcPr>
            <w:tcW w:type="dxa" w:w="2880"/>
          </w:tcPr>
          <w:p>
            <w:r>
              <w:rPr>
                <w:sz w:val="18"/>
              </w:rPr>
              <w:t>Directly mesial or distal, only possible if the adjacent tooth is missing and space permits</w:t>
            </w:r>
          </w:p>
        </w:tc>
        <w:tc>
          <w:tcPr>
            <w:tcW w:type="dxa" w:w="2880"/>
          </w:tcPr>
          <w:p>
            <w:r>
              <w:rPr>
                <w:sz w:val="18"/>
              </w:rPr>
              <w:t>Rarely applicable clinically</w:t>
            </w:r>
          </w:p>
        </w:tc>
      </w:tr>
    </w:tbl>
    <w:p/>
    <w:p>
      <w:pPr>
        <w:pStyle w:val="Heading3"/>
      </w:pPr>
      <w:r>
        <w:t>3.3 Enamel Preparation — Three Aims</w:t>
      </w:r>
    </w:p>
    <w:p>
      <w:pPr>
        <w:pStyle w:val="ListNumber"/>
        <w:spacing w:after="60"/>
      </w:pPr>
      <w:r>
        <w:rPr>
          <w:b w:val="0"/>
          <w:i w:val="0"/>
        </w:rPr>
        <w:t>Gain visual/instrumentation access to the full extent of deeper carious dentine requiring removal</w:t>
      </w:r>
    </w:p>
    <w:p>
      <w:pPr>
        <w:pStyle w:val="ListNumber"/>
        <w:spacing w:after="60"/>
      </w:pPr>
      <w:r>
        <w:rPr>
          <w:b w:val="0"/>
          <w:i w:val="0"/>
        </w:rPr>
        <w:t>Remove demineralized, weakened (and often unsightly) carious enamel</w:t>
      </w:r>
    </w:p>
    <w:p>
      <w:pPr>
        <w:pStyle w:val="ListNumber"/>
        <w:spacing w:after="60"/>
      </w:pPr>
      <w:r>
        <w:rPr>
          <w:b w:val="0"/>
          <w:i w:val="0"/>
        </w:rPr>
        <w:t>Create a sound peripheral enamel margin capable of forming an adhesive seal</w:t>
      </w:r>
    </w:p>
    <w:p>
      <w:pPr>
        <w:spacing w:after="120"/>
      </w:pPr>
      <w:r>
        <w:rPr>
          <w:b w:val="0"/>
          <w:i w:val="0"/>
        </w:rPr>
        <w:t>Enamel margins may be lightly bevelled to increase surface area for adhesion; cutting should use only gentle pressure and avoid coarse-grit diamond burs, to prevent chipping/cracking of the remaining tooth</w:t>
      </w:r>
      <w:r>
        <w:rPr>
          <w:b w:val="0"/>
          <w:i w:val="0"/>
        </w:rPr>
        <w:t xml:space="preserve"> [5, p.85]</w:t>
      </w:r>
      <w:r>
        <w:rPr>
          <w:b w:val="0"/>
          <w:i w:val="0"/>
        </w:rPr>
        <w:t>.</w:t>
      </w:r>
    </w:p>
    <w:p>
      <w:pPr>
        <w:pStyle w:val="Heading3"/>
      </w:pPr>
      <w:r>
        <w:t>3.4 Caries Overlying the Pulp — Decision Rules</w:t>
      </w:r>
    </w:p>
    <w:p>
      <w:pPr>
        <w:pStyle w:val="ListBullet"/>
        <w:spacing w:after="60"/>
      </w:pPr>
      <w:r>
        <w:rPr>
          <w:b w:val="0"/>
          <w:i w:val="0"/>
        </w:rPr>
        <w:t xml:space="preserve">Where a peripheral seal is achievable (intact enamel margins) and no pulpal symptoms are present, </w:t>
      </w:r>
      <w:r>
        <w:rPr>
          <w:b/>
          <w:i w:val="0"/>
        </w:rPr>
        <w:t>small quantities of caries-affected dentine may be deliberately retained overlying the pulp</w:t>
      </w:r>
      <w:r>
        <w:rPr>
          <w:b w:val="0"/>
          <w:i w:val="0"/>
        </w:rPr>
        <w:t xml:space="preserve"> specifically to reduce pulp exposure risk</w:t>
      </w:r>
    </w:p>
    <w:p>
      <w:pPr>
        <w:pStyle w:val="ListBullet"/>
        <w:spacing w:after="60"/>
      </w:pPr>
      <w:r>
        <w:rPr>
          <w:b w:val="0"/>
          <w:i w:val="0"/>
        </w:rPr>
        <w:t xml:space="preserve">If the lesion has only reached the </w:t>
      </w:r>
      <w:r>
        <w:rPr>
          <w:b w:val="0"/>
          <w:i/>
        </w:rPr>
        <w:t>middle third</w:t>
      </w:r>
      <w:r>
        <w:rPr>
          <w:b w:val="0"/>
          <w:i w:val="0"/>
        </w:rPr>
        <w:t xml:space="preserve"> of dentine radiographically (tertiary dentine already forming at the dentine-pulp border), excavation to fully sound dentine may still be achievable to improve the adhesive bond — especially if enamel margins are not intact</w:t>
      </w:r>
    </w:p>
    <w:p>
      <w:pPr>
        <w:pStyle w:val="ListBullet"/>
        <w:spacing w:after="60"/>
      </w:pPr>
      <w:r>
        <w:rPr>
          <w:b w:val="0"/>
          <w:i w:val="0"/>
        </w:rPr>
        <w:t xml:space="preserve">Where </w:t>
      </w:r>
      <w:r>
        <w:rPr>
          <w:b w:val="0"/>
          <w:i/>
        </w:rPr>
        <w:t>chronic pulpal symptoms persist</w:t>
      </w:r>
      <w:r>
        <w:rPr>
          <w:b w:val="0"/>
          <w:i w:val="0"/>
        </w:rPr>
        <w:t xml:space="preserve"> with radiographic apical change, excavation must be COMPLETE, exposing the pulp chamber and its necrotic contents if necessary, with a view to endodontic treatment</w:t>
      </w:r>
    </w:p>
    <w:p>
      <w:pPr>
        <w:spacing w:after="120"/>
      </w:pPr>
      <w:r>
        <w:rPr>
          <w:b/>
          <w:i w:val="0"/>
        </w:rPr>
        <w:t>Overall principle:</w:t>
      </w:r>
      <w:r>
        <w:rPr>
          <w:b w:val="0"/>
          <w:i w:val="0"/>
        </w:rPr>
        <w:t xml:space="preserve"> “there is no absolute correct or incorrect amount of caries that should be excavated, but whatever decision is made by the operator, it should be made for sensible, justifiable, and documented reasons” — and different amounts may legitimately be removed from different parts of the </w:t>
      </w:r>
      <w:r>
        <w:rPr>
          <w:b w:val="0"/>
          <w:i/>
        </w:rPr>
        <w:t>same</w:t>
      </w:r>
      <w:r>
        <w:rPr>
          <w:b w:val="0"/>
          <w:i w:val="0"/>
        </w:rPr>
        <w:t xml:space="preserve"> cavity</w:t>
      </w:r>
      <w:r>
        <w:rPr>
          <w:b w:val="0"/>
          <w:i w:val="0"/>
        </w:rPr>
        <w:t xml:space="preserve"> [5, p.88]</w:t>
      </w:r>
      <w:r>
        <w:rPr>
          <w:b w:val="0"/>
          <w:i w:val="0"/>
        </w:rPr>
        <w:t>.</w:t>
      </w:r>
    </w:p>
    <w:p>
      <w:pPr>
        <w:pStyle w:val="Heading3"/>
      </w:pPr>
      <w:r>
        <w:t>3.5 The Inter-Relating Factors Governing How Much to Remove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Factor</w:t>
            </w:r>
          </w:p>
        </w:tc>
        <w:tc>
          <w:tcPr>
            <w:tcW w:type="dxa" w:w="4320"/>
          </w:tcPr>
          <w:p>
            <w:r>
              <w:rPr>
                <w:b/>
                <w:sz w:val="18"/>
              </w:rPr>
              <w:t>Effect on the removal decision</w:t>
            </w:r>
          </w:p>
        </w:tc>
      </w:tr>
      <w:tr>
        <w:tc>
          <w:tcPr>
            <w:tcW w:type="dxa" w:w="4320"/>
          </w:tcPr>
          <w:p>
            <w:r>
              <w:rPr>
                <w:sz w:val="18"/>
              </w:rPr>
              <w:t>Patient's caries risk</w:t>
            </w:r>
          </w:p>
        </w:tc>
        <w:tc>
          <w:tcPr>
            <w:tcW w:type="dxa" w:w="4320"/>
          </w:tcPr>
          <w:p>
            <w:r>
              <w:rPr>
                <w:sz w:val="18"/>
              </w:rPr>
              <w:t>High risk, uncontrolled progression: earlier-stage lesions may be excavated to sound dentine where possible</w:t>
            </w:r>
          </w:p>
        </w:tc>
      </w:tr>
      <w:tr>
        <w:tc>
          <w:tcPr>
            <w:tcW w:type="dxa" w:w="4320"/>
          </w:tcPr>
          <w:p>
            <w:r>
              <w:rPr>
                <w:sz w:val="18"/>
              </w:rPr>
              <w:t>Patient/oral factors</w:t>
            </w:r>
          </w:p>
        </w:tc>
        <w:tc>
          <w:tcPr>
            <w:tcW w:type="dxa" w:w="4320"/>
          </w:tcPr>
          <w:p>
            <w:r>
              <w:rPr>
                <w:sz w:val="18"/>
              </w:rPr>
              <w:t>Limited opening, physical/mental disability, broken-down/rotated/partially-erupted teeth (hindering rubber dam) may necessitate sedation/GA and affect access</w:t>
            </w:r>
          </w:p>
        </w:tc>
      </w:tr>
      <w:tr>
        <w:tc>
          <w:tcPr>
            <w:tcW w:type="dxa" w:w="4320"/>
          </w:tcPr>
          <w:p>
            <w:r>
              <w:rPr>
                <w:sz w:val="18"/>
              </w:rPr>
              <w:t>Pulp vitality (sensibility)</w:t>
            </w:r>
          </w:p>
        </w:tc>
        <w:tc>
          <w:tcPr>
            <w:tcW w:type="dxa" w:w="4320"/>
          </w:tcPr>
          <w:p>
            <w:r>
              <w:rPr>
                <w:sz w:val="18"/>
              </w:rPr>
              <w:t>Chronic irreversible pulpitis symptoms mean pulp extirpation is needed after complete removal to sound dentine anyway</w:t>
            </w:r>
          </w:p>
        </w:tc>
      </w:tr>
      <w:tr>
        <w:tc>
          <w:tcPr>
            <w:tcW w:type="dxa" w:w="4320"/>
          </w:tcPr>
          <w:p>
            <w:r>
              <w:rPr>
                <w:sz w:val="18"/>
              </w:rPr>
              <w:t>Pulp proximity</w:t>
            </w:r>
          </w:p>
        </w:tc>
        <w:tc>
          <w:tcPr>
            <w:tcW w:type="dxa" w:w="4320"/>
          </w:tcPr>
          <w:p>
            <w:r>
              <w:rPr>
                <w:sz w:val="18"/>
              </w:rPr>
              <w:t>If no/limited symptoms, caries-affected dentine can be retained over the pulpal depth of the cavity specifically to allow remineralization from the dentine-pulp complex — i.e., this IS indirect pulp capping</w:t>
            </w:r>
          </w:p>
        </w:tc>
      </w:tr>
      <w:tr>
        <w:tc>
          <w:tcPr>
            <w:tcW w:type="dxa" w:w="4320"/>
          </w:tcPr>
          <w:p>
            <w:r>
              <w:rPr>
                <w:sz w:val="18"/>
              </w:rPr>
              <w:t>Remaining coronal tooth structure</w:t>
            </w:r>
          </w:p>
        </w:tc>
        <w:tc>
          <w:tcPr>
            <w:tcW w:type="dxa" w:w="4320"/>
          </w:tcPr>
          <w:p>
            <w:r>
              <w:rPr>
                <w:sz w:val="18"/>
              </w:rPr>
              <w:t>Sufficient supragingival structure must remain to support the restoration long-term</w:t>
            </w:r>
          </w:p>
        </w:tc>
      </w:tr>
      <w:tr>
        <w:tc>
          <w:tcPr>
            <w:tcW w:type="dxa" w:w="4320"/>
          </w:tcPr>
          <w:p>
            <w:r>
              <w:rPr>
                <w:sz w:val="18"/>
              </w:rPr>
              <w:t>Material factors</w:t>
            </w:r>
          </w:p>
        </w:tc>
        <w:tc>
          <w:tcPr>
            <w:tcW w:type="dxa" w:w="4320"/>
          </w:tcPr>
          <w:p>
            <w:r>
              <w:rPr>
                <w:sz w:val="18"/>
              </w:rPr>
              <w:t>Excavation to sound dentine should not compromise the material's physical/adhesive properties — e.g., deep peripheral excavation resulting in a margin &gt;2 mm subgingivally compromises moisture control and marginal adaptation despite achieving 'sound' dentine</w:t>
            </w:r>
          </w:p>
        </w:tc>
      </w:tr>
    </w:tbl>
    <w:p>
      <w:r>
        <w:rPr>
          <w:i/>
          <w:sz w:val="18"/>
        </w:rPr>
        <w:t>Source: [5, p.87], Table 5.6.</w:t>
      </w:r>
    </w:p>
    <w:p/>
    <w:p>
      <w:r>
        <w:br w:type="page"/>
      </w:r>
    </w:p>
    <w:p>
      <w:pPr>
        <w:pStyle w:val="Heading2"/>
      </w:pPr>
      <w:r>
        <w:t>4. Stepwise Excavation and the Atraumatic Restorative Technique (ART)</w:t>
      </w:r>
    </w:p>
    <w:p>
      <w:pPr>
        <w:pStyle w:val="Heading3"/>
      </w:pPr>
      <w:r>
        <w:t>4.1 Classic Protocol</w:t>
      </w:r>
    </w:p>
    <w:p>
      <w:pPr>
        <w:spacing w:after="120"/>
      </w:pPr>
      <w:r>
        <w:rPr>
          <w:b w:val="0"/>
          <w:i w:val="0"/>
        </w:rPr>
        <w:t>Both techniques are, respectively, the original and more modern application of the minimally invasive approach to larger cavitated lesions, both using simple hand instrumentation (spoon excavators) to remove the necrotic, superficial infected-dentine layer (and some affected dentine if required)</w:t>
      </w:r>
      <w:r>
        <w:rPr>
          <w:b w:val="0"/>
          <w:i w:val="0"/>
        </w:rPr>
        <w:t xml:space="preserve"> [5, p.88]</w:t>
      </w:r>
      <w:r>
        <w:rPr>
          <w:b w:val="0"/>
          <w:i w:val="0"/>
        </w:rPr>
        <w:t xml:space="preserve">. The </w:t>
      </w:r>
      <w:r>
        <w:rPr>
          <w:b/>
          <w:i w:val="0"/>
        </w:rPr>
        <w:t>original stepwise excavation protocol</w:t>
      </w:r>
      <w:r>
        <w:rPr>
          <w:b w:val="0"/>
          <w:i w:val="0"/>
        </w:rPr>
        <w:t xml:space="preserve"> (the technique whose modern evidence base is formalized in the 2001 Ricketts paper cited above) used a calcium hydroxide lining plus a temporary zinc polycarboxylate cement restoration; between 6 and 9 months later the restoration was removed, exposing now-arrested caries-affected dentine (darker, harder, drier) and newly-deposited tertiary dentine, with the stained dentine then removed using a steel rose-head bur before a final amalgam restoration was placed</w:t>
      </w:r>
      <w:r>
        <w:rPr>
          <w:b w:val="0"/>
          <w:i w:val="0"/>
        </w:rPr>
        <w:t xml:space="preserve"> [5, p.88]</w:t>
      </w:r>
      <w:r>
        <w:rPr>
          <w:b w:val="0"/>
          <w:i w:val="0"/>
        </w:rPr>
        <w:t>.</w:t>
      </w:r>
    </w:p>
    <w:p>
      <w:pPr>
        <w:spacing w:after="120"/>
      </w:pPr>
      <w:r>
        <w:rPr>
          <w:b/>
          <w:i w:val="0"/>
        </w:rPr>
        <w:t>ART</w:t>
      </w:r>
      <w:r>
        <w:rPr>
          <w:b w:val="0"/>
          <w:i w:val="0"/>
        </w:rPr>
        <w:t xml:space="preserve"> (Atraumatic Restorative Treatment) is the modern evolution: simple hand excavators remove infected dentine only, and the cavity is restored directly with a chemically adhesive, high-viscosity glass ionomer cement (GIC), which forms an adhesive seal to the remaining tooth structure without necessarily requiring complete replacement later, because the arrested caries-affected dentine is sealed off from its nutrient supply. Occlusal resurfacing with a composite layer (a laminate/“sandwich” restoration) may be needed after 2–3 years as the GIC surface wears</w:t>
      </w:r>
      <w:r>
        <w:rPr>
          <w:b w:val="0"/>
          <w:i w:val="0"/>
        </w:rPr>
        <w:t xml:space="preserve"> [5, p.88]</w:t>
      </w:r>
      <w:r>
        <w:rPr>
          <w:b w:val="0"/>
          <w:i w:val="0"/>
        </w:rPr>
        <w:t>.</w:t>
      </w:r>
    </w:p>
    <w:p>
      <w:pPr>
        <w:pStyle w:val="Heading3"/>
      </w:pPr>
      <w:r>
        <w:t>4.2 A Genuine Tension: Is Stepwise Excavation Still Relevant?</w:t>
      </w:r>
    </w:p>
    <w:p>
      <w:pPr>
        <w:spacing w:after="120"/>
      </w:pPr>
      <w:r>
        <w:rPr>
          <w:b w:val="0"/>
          <w:i w:val="0"/>
        </w:rPr>
        <w:t xml:space="preserve">This is a real disagreement worth flagging explicitly rather than smoothing over, per the sourcing discipline. Pickard's Manual (9th ed.) takes a </w:t>
      </w:r>
      <w:r>
        <w:rPr>
          <w:b w:val="0"/>
          <w:i/>
        </w:rPr>
        <w:t>skeptical, superseding</w:t>
      </w:r>
      <w:r>
        <w:rPr>
          <w:b w:val="0"/>
          <w:i w:val="0"/>
        </w:rPr>
        <w:t xml:space="preserve"> position: </w:t>
      </w:r>
      <w:r>
        <w:rPr>
          <w:b w:val="0"/>
          <w:i/>
        </w:rPr>
        <w:t>“Both stepwise excavation and ART follow the principles of minimally invasive dentistry. As this is an accepted rationale for operative caries management, these terminologies are now rather redundant as current adhesive dental materials are more capable of sealing in and potentially rehabilitating diseased tissue”</w:t>
      </w:r>
      <w:r>
        <w:rPr>
          <w:b w:val="0"/>
          <w:i w:val="0"/>
        </w:rPr>
        <w:t xml:space="preserve"> [5, p.88]</w:t>
      </w:r>
      <w:r>
        <w:rPr>
          <w:b w:val="0"/>
          <w:i w:val="0"/>
        </w:rPr>
        <w:t xml:space="preserve"> — i.e., the named, staged techniques are framed as a historical stepping-stone now largely absorbed into general adhesive-dentistry practice.</w:t>
      </w:r>
    </w:p>
    <w:p>
      <w:pPr>
        <w:spacing w:after="120"/>
      </w:pPr>
      <w:r>
        <w:rPr>
          <w:b w:val="0"/>
          <w:i w:val="0"/>
        </w:rPr>
        <w:t xml:space="preserve">The much more recent (2026) EFCD-ESE-ORCA formal guideline takes the </w:t>
      </w:r>
      <w:r>
        <w:rPr>
          <w:b w:val="0"/>
          <w:i/>
        </w:rPr>
        <w:t>opposite</w:t>
      </w:r>
      <w:r>
        <w:rPr>
          <w:b w:val="0"/>
          <w:i w:val="0"/>
        </w:rPr>
        <w:t xml:space="preserve"> position: it issues an active, current Grade B recommendation </w:t>
      </w:r>
      <w:r>
        <w:rPr>
          <w:b w:val="0"/>
          <w:i/>
        </w:rPr>
        <w:t>specifically for</w:t>
      </w:r>
      <w:r>
        <w:rPr>
          <w:b w:val="0"/>
          <w:i w:val="0"/>
        </w:rPr>
        <w:t xml:space="preserve"> stepwise removal over non-selective removal in deep caries (Section 2.1 above), treating it as a distinct, still-relevant, separately evidenced technique rather than a redundant historical label</w:t>
      </w:r>
      <w:r>
        <w:rPr>
          <w:b w:val="0"/>
          <w:i w:val="0"/>
        </w:rPr>
        <w:t xml:space="preserve"> [8]</w:t>
      </w:r>
      <w:r>
        <w:rPr>
          <w:b w:val="0"/>
          <w:i w:val="0"/>
        </w:rPr>
        <w:t xml:space="preserve">. </w:t>
      </w:r>
      <w:r>
        <w:rPr>
          <w:b/>
          <w:i w:val="0"/>
        </w:rPr>
        <w:t>Read together:</w:t>
      </w:r>
      <w:r>
        <w:rPr>
          <w:b w:val="0"/>
          <w:i w:val="0"/>
        </w:rPr>
        <w:t xml:space="preserve"> both sources agree that non-selective (“complete”) removal to hard dentine throughout is now the </w:t>
      </w:r>
      <w:r>
        <w:rPr>
          <w:b w:val="0"/>
          <w:i/>
        </w:rPr>
        <w:t>least</w:t>
      </w:r>
      <w:r>
        <w:rPr>
          <w:b w:val="0"/>
          <w:i w:val="0"/>
        </w:rPr>
        <w:t xml:space="preserve"> favoured option for deep lesions; where they differ is whether “stepwise” deserves to survive as a named, distinct protocol or has effectively merged into general selective-removal/adhesive practice. This likely reflects the difference between a clinical textbook's practical framing (9th ed., pre-dating the 2026 guideline) and a systematically-reviewed guideline's formal evidence categorization — both are legitimate perspectives, and a student should be able to name both positions rather than assume the terminology question is settled.</w:t>
      </w:r>
    </w:p>
    <w:p>
      <w:r>
        <w:br w:type="page"/>
      </w:r>
    </w:p>
    <w:p>
      <w:pPr>
        <w:pStyle w:val="Heading2"/>
      </w:pPr>
      <w:r>
        <w:t>5. Deep Caries Management and the Science of Indirect Pulp Capping</w:t>
      </w:r>
    </w:p>
    <w:p>
      <w:pPr>
        <w:pStyle w:val="Heading3"/>
      </w:pPr>
      <w:r>
        <w:t>5.1 Effective Depth — A Quantified Threshold for Expected Pulpal Outcome</w:t>
      </w:r>
    </w:p>
    <w:p>
      <w:pPr>
        <w:spacing w:before="80" w:after="80"/>
      </w:pPr>
      <w:r>
        <w:rPr>
          <w:b/>
        </w:rPr>
        <w:t xml:space="preserve">DEFINITION — Effective depth (Marzouk's): </w:t>
      </w:r>
      <w:r>
        <w:rPr>
          <w:b w:val="0"/>
          <w:i w:val="0"/>
        </w:rPr>
        <w:t>the area of minimum thickness of sound dentin separating the pulpal tissues from the carious lesion, usually found at the deepest portion of the caries activity.</w:t>
      </w:r>
      <w:r>
        <w:t xml:space="preserve"> [4, p.277]</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Effective depth</w:t>
            </w:r>
          </w:p>
        </w:tc>
        <w:tc>
          <w:tcPr>
            <w:tcW w:type="dxa" w:w="4320"/>
          </w:tcPr>
          <w:p>
            <w:r>
              <w:rPr>
                <w:b/>
                <w:sz w:val="18"/>
              </w:rPr>
              <w:t>Expected pulpal reaction</w:t>
            </w:r>
          </w:p>
        </w:tc>
      </w:tr>
      <w:tr>
        <w:tc>
          <w:tcPr>
            <w:tcW w:type="dxa" w:w="4320"/>
          </w:tcPr>
          <w:p>
            <w:r>
              <w:rPr>
                <w:sz w:val="18"/>
              </w:rPr>
              <w:t>≥ 2 mm</w:t>
            </w:r>
          </w:p>
        </w:tc>
        <w:tc>
          <w:tcPr>
            <w:tcW w:type="dxa" w:w="4320"/>
          </w:tcPr>
          <w:p>
            <w:r>
              <w:rPr>
                <w:sz w:val="18"/>
              </w:rPr>
              <w:t>Healthy reparative reaction expected</w:t>
            </w:r>
          </w:p>
        </w:tc>
      </w:tr>
      <w:tr>
        <w:tc>
          <w:tcPr>
            <w:tcW w:type="dxa" w:w="4320"/>
          </w:tcPr>
          <w:p>
            <w:r>
              <w:rPr>
                <w:sz w:val="18"/>
              </w:rPr>
              <w:t>0.8–2 mm</w:t>
            </w:r>
          </w:p>
        </w:tc>
        <w:tc>
          <w:tcPr>
            <w:tcW w:type="dxa" w:w="4320"/>
          </w:tcPr>
          <w:p>
            <w:r>
              <w:rPr>
                <w:sz w:val="18"/>
              </w:rPr>
              <w:t>Unhealthy reparative reaction expected</w:t>
            </w:r>
          </w:p>
        </w:tc>
      </w:tr>
      <w:tr>
        <w:tc>
          <w:tcPr>
            <w:tcW w:type="dxa" w:w="4320"/>
          </w:tcPr>
          <w:p>
            <w:r>
              <w:rPr>
                <w:sz w:val="18"/>
              </w:rPr>
              <w:t>0.3–0.8 mm (or less)</w:t>
            </w:r>
          </w:p>
        </w:tc>
        <w:tc>
          <w:tcPr>
            <w:tcW w:type="dxa" w:w="4320"/>
          </w:tcPr>
          <w:p>
            <w:r>
              <w:rPr>
                <w:sz w:val="18"/>
              </w:rPr>
              <w:t>Pulpal destruction expected</w:t>
            </w:r>
          </w:p>
        </w:tc>
      </w:tr>
    </w:tbl>
    <w:p>
      <w:r>
        <w:rPr>
          <w:i/>
          <w:sz w:val="18"/>
        </w:rPr>
        <w:t>Source: [4, p.277]. Presented explicitly as average, guideline figures from 'well documented investigations' — individual cases vary according to tooth resistance and individual pulp-dentin organ reaction (patient age, tooth age, cellularity/vascularity, population differences).</w:t>
      </w:r>
    </w:p>
    <w:p/>
    <w:p>
      <w:pPr>
        <w:spacing w:after="120"/>
      </w:pPr>
      <w:r>
        <w:rPr>
          <w:b w:val="0"/>
          <w:i w:val="0"/>
        </w:rPr>
        <w:t xml:space="preserve">A separate, specific clinical data point: when a carious lesion extends 3–4 mm pulpally or axially to the DEJ, visible perforation into the pulp chamber can be expected in </w:t>
      </w:r>
      <w:r>
        <w:rPr>
          <w:b/>
          <w:i w:val="0"/>
        </w:rPr>
        <w:t>75% of cases</w:t>
      </w:r>
      <w:r>
        <w:rPr>
          <w:b w:val="0"/>
          <w:i w:val="0"/>
        </w:rPr>
        <w:t xml:space="preserve"> — a figure that rises further the younger the tooth's chronological/physiological age, and is more likely the more apically the lesion sits on the axial wall</w:t>
      </w:r>
      <w:r>
        <w:rPr>
          <w:b w:val="0"/>
          <w:i w:val="0"/>
        </w:rPr>
        <w:t xml:space="preserve"> [4, p.278]</w:t>
      </w:r>
      <w:r>
        <w:rPr>
          <w:b w:val="0"/>
          <w:i w:val="0"/>
        </w:rPr>
        <w:t xml:space="preserve">. Separately, microscopic (undetectable to the naked eye) pulp exposures are argued to occur </w:t>
      </w:r>
      <w:r>
        <w:rPr>
          <w:b w:val="0"/>
          <w:i/>
        </w:rPr>
        <w:t>far more frequently</w:t>
      </w:r>
      <w:r>
        <w:rPr>
          <w:b w:val="0"/>
          <w:i w:val="0"/>
        </w:rPr>
        <w:t xml:space="preserve"> than clinically appreciated, because the peripheral pulp layers (odontoblastic layer, subodontoblastic layer, layer of Weil) have very narrow, tortuous vasculature — a true microscopic perforation may show no visible haemorrhage at all, only an undetectable ooze of colourless pulp fluid</w:t>
      </w:r>
      <w:r>
        <w:rPr>
          <w:b w:val="0"/>
          <w:i w:val="0"/>
        </w:rPr>
        <w:t xml:space="preserve"> [4, p.278]</w:t>
      </w:r>
      <w:r>
        <w:rPr>
          <w:b w:val="0"/>
          <w:i w:val="0"/>
        </w:rPr>
        <w:t>.</w:t>
      </w:r>
    </w:p>
    <w:p>
      <w:pPr>
        <w:pStyle w:val="Heading3"/>
      </w:pPr>
      <w:r>
        <w:t>5.2 The Besic Experiment — Historical Evidence Base for Sealing Rather than Removing</w:t>
      </w:r>
    </w:p>
    <w:p>
      <w:pPr>
        <w:spacing w:after="120"/>
      </w:pPr>
      <w:r>
        <w:rPr>
          <w:b w:val="0"/>
          <w:i w:val="0"/>
        </w:rPr>
        <w:t xml:space="preserve">A classic, specifically-cited body of experiments (Besic) tested what happens to microorganisms deliberately </w:t>
      </w:r>
      <w:r>
        <w:rPr>
          <w:b w:val="0"/>
          <w:i/>
        </w:rPr>
        <w:t>sealed in</w:t>
      </w:r>
      <w:r>
        <w:rPr>
          <w:b w:val="0"/>
          <w:i w:val="0"/>
        </w:rPr>
        <w:t xml:space="preserve"> rather than removed: superficial/peripheral carious dentine was excavated, but carious dentine was deliberately LEFT in the deepest (pulpal and axial) portions of the cavity, the microbial population characterized, and the cavity then sealed with a material that was totally inert to both pulp and microorganisms. Cavities were reopened after varying intervals and the residual microorganisms re-characterized</w:t>
      </w:r>
      <w:r>
        <w:rPr>
          <w:b w:val="0"/>
          <w:i w:val="0"/>
        </w:rPr>
        <w:t xml:space="preserve"> [4, p.277]</w:t>
      </w:r>
      <w:r>
        <w:rPr>
          <w:b w:val="0"/>
          <w:i w:val="0"/>
        </w:rPr>
        <w:t>. Findings</w:t>
      </w:r>
      <w:r>
        <w:rPr>
          <w:b w:val="0"/>
          <w:i w:val="0"/>
        </w:rPr>
        <w:t xml:space="preserve"> [4, p.277]</w:t>
      </w:r>
      <w:r>
        <w:rPr>
          <w:b w:val="0"/>
          <w:i w:val="0"/>
        </w:rPr>
        <w:t>:</w:t>
      </w:r>
    </w:p>
    <w:p>
      <w:pPr>
        <w:pStyle w:val="ListBullet"/>
        <w:spacing w:after="60"/>
      </w:pPr>
      <w:r>
        <w:rPr>
          <w:b w:val="0"/>
          <w:i w:val="0"/>
        </w:rPr>
        <w:t>A sharp decrease in the total number of microorganisms</w:t>
      </w:r>
    </w:p>
    <w:p>
      <w:pPr>
        <w:pStyle w:val="ListBullet"/>
        <w:spacing w:after="60"/>
      </w:pPr>
      <w:r>
        <w:rPr>
          <w:b w:val="0"/>
          <w:i w:val="0"/>
        </w:rPr>
        <w:t>No traces of lactobacilli or spirochetes remained</w:t>
      </w:r>
    </w:p>
    <w:p>
      <w:pPr>
        <w:pStyle w:val="ListBullet"/>
        <w:spacing w:after="60"/>
      </w:pPr>
      <w:r>
        <w:rPr>
          <w:b w:val="0"/>
          <w:i w:val="0"/>
        </w:rPr>
        <w:t>The residual organisms (mainly staphylococci and streptococci) had undergone morphological change</w:t>
      </w:r>
    </w:p>
    <w:p>
      <w:pPr>
        <w:pStyle w:val="ListBullet"/>
        <w:spacing w:after="60"/>
      </w:pPr>
      <w:r>
        <w:rPr>
          <w:b w:val="0"/>
          <w:i w:val="0"/>
        </w:rPr>
        <w:t>No further demineralization was observed — on the contrary, some cases showed early signs of remineralization</w:t>
      </w:r>
    </w:p>
    <w:p>
      <w:pPr>
        <w:spacing w:after="120"/>
      </w:pPr>
      <w:r>
        <w:rPr>
          <w:b w:val="0"/>
          <w:i w:val="0"/>
        </w:rPr>
        <w:t>This is presented as the historical evidence base underpinning the entire modern rationale for deliberately sealing (rather than chasing and removing) deep carious dentine — directly consistent with, and pre-dating by decades, the 2016/2026 international consensus recommendations in Section 2 above.</w:t>
      </w:r>
    </w:p>
    <w:p>
      <w:pPr>
        <w:pStyle w:val="Heading3"/>
      </w:pPr>
      <w:r>
        <w:t>5.3 A Debated Position: Is Cavity Disinfection Necessary?</w:t>
      </w:r>
    </w:p>
    <w:p>
      <w:pPr>
        <w:spacing w:after="120"/>
      </w:pPr>
      <w:r>
        <w:rPr>
          <w:b w:val="0"/>
          <w:i w:val="0"/>
        </w:rPr>
        <w:t xml:space="preserve">Marzouk's explicitly argues </w:t>
      </w:r>
      <w:r>
        <w:rPr>
          <w:b w:val="0"/>
          <w:i/>
        </w:rPr>
        <w:t>against</w:t>
      </w:r>
      <w:r>
        <w:rPr>
          <w:b w:val="0"/>
          <w:i w:val="0"/>
        </w:rPr>
        <w:t xml:space="preserve"> routine chemical disinfection of preparation walls/floors before restoration, on three grounds</w:t>
      </w:r>
      <w:r>
        <w:rPr>
          <w:b w:val="0"/>
          <w:i w:val="0"/>
        </w:rPr>
        <w:t xml:space="preserve"> [4, p.278]</w:t>
      </w:r>
      <w:r>
        <w:rPr>
          <w:b w:val="0"/>
          <w:i w:val="0"/>
        </w:rPr>
        <w:t xml:space="preserve">: (1) any sterilizing effect is not permanent — leakage around a restoration will eventually let oral microbes reach any portion of the preparation regardless; (2) effective disinfectants can themselves interfere with the pulp-dentin organ's own physiologic repair function, which is needed both to repair attacked dentine and to maintain defence against remaining microbes; (3) impregnation of microbes into sound/repaired dentine occurs mainly in </w:t>
      </w:r>
      <w:r>
        <w:rPr>
          <w:b w:val="0"/>
          <w:i/>
        </w:rPr>
        <w:t>chronic</w:t>
      </w:r>
      <w:r>
        <w:rPr>
          <w:b w:val="0"/>
          <w:i w:val="0"/>
        </w:rPr>
        <w:t xml:space="preserve"> decay, where a well-established transparent zone has already walled them off from the pulp — in acute decay, the reparable dentine areas are described as “almost totally devoid of microorganisms” in the first place, so there is little for a disinfectant to actually address. </w:t>
      </w:r>
      <w:r>
        <w:rPr>
          <w:b/>
          <w:i w:val="0"/>
        </w:rPr>
        <w:t>This is presented as one author's position, not an international consensus</w:t>
      </w:r>
      <w:r>
        <w:rPr>
          <w:b w:val="0"/>
          <w:i w:val="0"/>
        </w:rPr>
        <w:t>, and should be weighed against current infection-control practice rather than taken as settled guidance.</w:t>
      </w:r>
    </w:p>
    <w:p>
      <w:pPr>
        <w:pStyle w:val="Heading3"/>
      </w:pPr>
      <w:r>
        <w:t>5.4 Radiographic Diagnostic Criteria for Deep Caries</w:t>
      </w:r>
    </w:p>
    <w:p>
      <w:pPr>
        <w:spacing w:after="120"/>
      </w:pPr>
      <w:r>
        <w:rPr>
          <w:b w:val="0"/>
          <w:i w:val="0"/>
        </w:rPr>
        <w:t>Beyond directly measuring the effective depth, radiographs can indicate several further prognostic signs for the pulp-dentin organ</w:t>
      </w:r>
      <w:r>
        <w:rPr>
          <w:b w:val="0"/>
          <w:i w:val="0"/>
        </w:rPr>
        <w:t xml:space="preserve"> [4, p.279]</w:t>
      </w:r>
      <w:r>
        <w:rPr>
          <w:b w:val="0"/>
          <w:i w:val="0"/>
        </w:rPr>
        <w:t>:</w:t>
      </w:r>
    </w:p>
    <w:p>
      <w:pPr>
        <w:pStyle w:val="ListBullet"/>
        <w:spacing w:after="60"/>
      </w:pPr>
      <w:r>
        <w:rPr>
          <w:b w:val="0"/>
          <w:i w:val="0"/>
        </w:rPr>
        <w:t>Radiopaque deposits pulpal to the lesion may represent reparative/irregular secondary dentine (a positive reparative sign) OR pulpal calcification (which, if positioned to restrict fluid flow, indicates reduced reparative capacity)</w:t>
      </w:r>
    </w:p>
    <w:p>
      <w:pPr>
        <w:pStyle w:val="ListBullet"/>
        <w:spacing w:after="60"/>
      </w:pPr>
      <w:r>
        <w:rPr>
          <w:b w:val="0"/>
          <w:i w:val="0"/>
        </w:rPr>
        <w:t>An intact lamina dura with a thickened periodontal ligament space suggests increased vascularity/activity of the pulp-dentin organ; DIScontinuity of the lamina dura suggests more advanced, possibly destructive activity</w:t>
      </w:r>
    </w:p>
    <w:p>
      <w:pPr>
        <w:pStyle w:val="ListBullet"/>
        <w:spacing w:after="60"/>
      </w:pPr>
      <w:r>
        <w:rPr>
          <w:b w:val="0"/>
          <w:i w:val="0"/>
        </w:rPr>
        <w:t>A higher pulp-chamber-size-to-tooth-size ratio generally indicates better reparative capacity — though an UNUSUALLY high ratio versus adjacent/contralateral teeth may instead indicate the pulp has already ceased reparative activity</w:t>
      </w:r>
    </w:p>
    <w:p>
      <w:pPr>
        <w:pStyle w:val="ListBullet"/>
        <w:spacing w:after="60"/>
      </w:pPr>
      <w:r>
        <w:rPr>
          <w:b w:val="0"/>
          <w:i w:val="0"/>
        </w:rPr>
        <w:t>The position of the caries-cone tip relative to pulp chamber/root canal anatomy directly affects cavity design and choice of base material</w:t>
      </w:r>
    </w:p>
    <w:p>
      <w:pPr>
        <w:pStyle w:val="Heading3"/>
      </w:pPr>
      <w:r>
        <w:t>5.5 A Note from Indirect Restoration Practice</w:t>
      </w:r>
    </w:p>
    <w:p>
      <w:pPr>
        <w:spacing w:after="120"/>
      </w:pPr>
      <w:r>
        <w:rPr>
          <w:b w:val="0"/>
          <w:i w:val="0"/>
        </w:rPr>
        <w:t xml:space="preserve">For teeth being prepared for cast (indirect) restorations specifically, Sikri's gives a concrete depth-based protocol consistent with the effective-depth principle above: </w:t>
      </w:r>
      <w:r>
        <w:rPr>
          <w:b w:val="0"/>
          <w:i/>
        </w:rPr>
        <w:t>“Deep caries with residual dentin thickness of less than 1.0 mm should be excavated slowly. Only ‘infected dentin’ and not the ‘affected dentin’ should be removed. Calcium hydroxide is preferred as sub-base followed by a base of suitable cement. The cement base should be thick enough to protect the underlying dentin and calcium hydroxide liner from functional stresses”</w:t>
      </w:r>
      <w:r>
        <w:rPr>
          <w:b w:val="0"/>
          <w:i w:val="0"/>
        </w:rPr>
        <w:t xml:space="preserve"> [9, p.202]</w:t>
      </w:r>
      <w:r>
        <w:rPr>
          <w:b w:val="0"/>
          <w:i w:val="0"/>
        </w:rPr>
        <w:t xml:space="preserve"> — a direct, practical restatement of the affected/infected distinction and indirect-pulp-capping logic covered above, specifically adapted for the additional functional stresses a cast restoration preparation places on the base material.</w:t>
      </w:r>
    </w:p>
    <w:p>
      <w:pPr>
        <w:spacing w:after="120"/>
      </w:pPr>
      <w:r>
        <w:rPr>
          <w:b w:val="0"/>
          <w:i w:val="0"/>
        </w:rPr>
        <w:t>Materials-specific detail on calcium hydroxide, MTA/bioceramics, and glass ionomer/RMGI liners and bases (composition, setting reactions, and comparative properties) is deferred to Module 3 (Dental Materials &amp; Material Science), where it can be treated in full alongside the other basing/lining materials rather than partially here.</w:t>
      </w:r>
    </w:p>
    <w:p>
      <w:r>
        <w:br w:type="page"/>
      </w:r>
    </w:p>
    <w:p>
      <w:pPr>
        <w:pStyle w:val="Heading2"/>
      </w:pPr>
      <w:r>
        <w:t>6. Chemomechanical Caries Removal</w:t>
      </w:r>
    </w:p>
    <w:p>
      <w:pPr>
        <w:spacing w:after="120"/>
      </w:pPr>
      <w:r>
        <w:rPr>
          <w:b w:val="0"/>
          <w:i w:val="0"/>
        </w:rPr>
        <w:t xml:space="preserve">Chemomechanical removal is a distinct instrumentation category from the hand/rotary techniques covered above: a chemical agent first selectively softens/degrades already-denatured carious dentine collagen, after which the softened tissue is removed with slow-speed, non-cutting hand instruments rather than burs. Pickard's Guide to Minimally Invasive Operative Dentistry tabulates it as one of five distinct tooth-cutting/caries-removal mechanisms (alongside mechanical-rotary, mechanical-non-rotary, photo-ablation, and “other”/antibacterial methods), specifically noting it acts </w:t>
      </w:r>
      <w:r>
        <w:rPr>
          <w:b/>
          <w:i w:val="0"/>
        </w:rPr>
        <w:t>only on carious dentine</w:t>
      </w:r>
      <w:r>
        <w:rPr>
          <w:b w:val="0"/>
          <w:i w:val="0"/>
        </w:rPr>
        <w:t>, not sound tissue — the basis of its self-limiting character</w:t>
      </w:r>
      <w:r>
        <w:rPr>
          <w:b w:val="0"/>
          <w:i w:val="0"/>
        </w:rPr>
        <w:t xml:space="preserve"> [2, p.73]</w:t>
      </w:r>
      <w:r>
        <w:rPr>
          <w:b w:val="0"/>
          <w:i w:val="0"/>
        </w:rP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Agent</w:t>
            </w:r>
          </w:p>
        </w:tc>
        <w:tc>
          <w:tcPr>
            <w:tcW w:type="dxa" w:w="2880"/>
          </w:tcPr>
          <w:p>
            <w:r>
              <w:rPr>
                <w:b/>
                <w:sz w:val="18"/>
              </w:rPr>
              <w:t>Chemical basis</w:t>
            </w:r>
          </w:p>
        </w:tc>
        <w:tc>
          <w:tcPr>
            <w:tcW w:type="dxa" w:w="2880"/>
          </w:tcPr>
          <w:p>
            <w:r>
              <w:rPr>
                <w:b/>
                <w:sz w:val="18"/>
              </w:rPr>
              <w:t>Status</w:t>
            </w:r>
          </w:p>
        </w:tc>
      </w:tr>
      <w:tr>
        <w:tc>
          <w:tcPr>
            <w:tcW w:type="dxa" w:w="2880"/>
          </w:tcPr>
          <w:p>
            <w:r>
              <w:rPr>
                <w:sz w:val="18"/>
              </w:rPr>
              <w:t>Caridex</w:t>
            </w:r>
          </w:p>
        </w:tc>
        <w:tc>
          <w:tcPr>
            <w:tcW w:type="dxa" w:w="2880"/>
          </w:tcPr>
          <w:p>
            <w:r>
              <w:rPr>
                <w:sz w:val="18"/>
              </w:rPr>
              <w:t>Sodium hypochlorite-based</w:t>
            </w:r>
          </w:p>
        </w:tc>
        <w:tc>
          <w:tcPr>
            <w:tcW w:type="dxa" w:w="2880"/>
          </w:tcPr>
          <w:p>
            <w:r>
              <w:rPr>
                <w:sz w:val="18"/>
              </w:rPr>
              <w:t>Of historical value only — no longer available for clinical use</w:t>
            </w:r>
          </w:p>
        </w:tc>
      </w:tr>
      <w:tr>
        <w:tc>
          <w:tcPr>
            <w:tcW w:type="dxa" w:w="2880"/>
          </w:tcPr>
          <w:p>
            <w:r>
              <w:rPr>
                <w:sz w:val="18"/>
              </w:rPr>
              <w:t>Carisolv™ gel</w:t>
            </w:r>
          </w:p>
        </w:tc>
        <w:tc>
          <w:tcPr>
            <w:tcW w:type="dxa" w:w="2880"/>
          </w:tcPr>
          <w:p>
            <w:r>
              <w:rPr>
                <w:sz w:val="18"/>
              </w:rPr>
              <w:t>Amino-acid based</w:t>
            </w:r>
          </w:p>
        </w:tc>
        <w:tc>
          <w:tcPr>
            <w:tcW w:type="dxa" w:w="2880"/>
          </w:tcPr>
          <w:p>
            <w:r>
              <w:rPr>
                <w:sz w:val="18"/>
              </w:rPr>
              <w:t>Established, currently used</w:t>
            </w:r>
          </w:p>
        </w:tc>
      </w:tr>
      <w:tr>
        <w:tc>
          <w:tcPr>
            <w:tcW w:type="dxa" w:w="2880"/>
          </w:tcPr>
          <w:p>
            <w:r>
              <w:rPr>
                <w:sz w:val="18"/>
              </w:rPr>
              <w:t>Papacarie® gel</w:t>
            </w:r>
          </w:p>
        </w:tc>
        <w:tc>
          <w:tcPr>
            <w:tcW w:type="dxa" w:w="2880"/>
          </w:tcPr>
          <w:p>
            <w:r>
              <w:rPr>
                <w:sz w:val="18"/>
              </w:rPr>
              <w:t>Papain based (a proteolytic plant enzyme)</w:t>
            </w:r>
          </w:p>
        </w:tc>
        <w:tc>
          <w:tcPr>
            <w:tcW w:type="dxa" w:w="2880"/>
          </w:tcPr>
          <w:p>
            <w:r>
              <w:rPr>
                <w:sz w:val="18"/>
              </w:rPr>
              <w:t>Established, currently used</w:t>
            </w:r>
          </w:p>
        </w:tc>
      </w:tr>
      <w:tr>
        <w:tc>
          <w:tcPr>
            <w:tcW w:type="dxa" w:w="2880"/>
          </w:tcPr>
          <w:p>
            <w:r>
              <w:rPr>
                <w:sz w:val="18"/>
              </w:rPr>
              <w:t>Experimental pepsin-based solutions/gels</w:t>
            </w:r>
          </w:p>
        </w:tc>
        <w:tc>
          <w:tcPr>
            <w:tcW w:type="dxa" w:w="2880"/>
          </w:tcPr>
          <w:p>
            <w:r>
              <w:rPr>
                <w:sz w:val="18"/>
              </w:rPr>
              <w:t>Pepsin based (a proteolytic animal enzyme)</w:t>
            </w:r>
          </w:p>
        </w:tc>
        <w:tc>
          <w:tcPr>
            <w:tcW w:type="dxa" w:w="2880"/>
          </w:tcPr>
          <w:p>
            <w:r>
              <w:rPr>
                <w:sz w:val="18"/>
              </w:rPr>
              <w:t>Experimental / research stage</w:t>
            </w:r>
          </w:p>
        </w:tc>
      </w:tr>
    </w:tbl>
    <w:p>
      <w:r>
        <w:rPr>
          <w:i/>
          <w:sz w:val="18"/>
        </w:rPr>
        <w:t>Source: [2, p.73], Table 5.5.</w:t>
      </w:r>
    </w:p>
    <w:p/>
    <w:p>
      <w:pPr>
        <w:pStyle w:val="Heading3"/>
      </w:pPr>
      <w:r>
        <w:t>6.1 Carisolv™ Gel — Mechanism and Technique</w:t>
      </w:r>
    </w:p>
    <w:p>
      <w:pPr>
        <w:spacing w:after="120"/>
      </w:pPr>
      <w:r>
        <w:rPr>
          <w:b w:val="0"/>
          <w:i w:val="0"/>
        </w:rPr>
        <w:t xml:space="preserve">Carisolv is a 0.1% hypochlorite-based alkaline gel (pH 11) formulated with amino acids that specifically prevent breakdown of </w:t>
      </w:r>
      <w:r>
        <w:rPr>
          <w:b w:val="0"/>
          <w:i/>
        </w:rPr>
        <w:t>sound</w:t>
      </w:r>
      <w:r>
        <w:rPr>
          <w:b w:val="0"/>
          <w:i w:val="0"/>
        </w:rPr>
        <w:t xml:space="preserve"> collagen fibrils while reacting with carious dentine that has already undergone proteolytic collagen breakdown, causing further collapse of that already-degraded collagen network for easy removal. This chemistry is what confers Carisolv's self-limiting caries-removal ability — it continues acting only where the collagen matrix is already denatured</w:t>
      </w:r>
      <w:r>
        <w:rPr>
          <w:b w:val="0"/>
          <w:i w:val="0"/>
        </w:rPr>
        <w:t xml:space="preserve"> [2, p.81]</w:t>
      </w:r>
      <w:r>
        <w:rPr>
          <w:b w:val="0"/>
          <w:i w:val="0"/>
        </w:rPr>
        <w:t xml:space="preserve">. The gel is applied to a </w:t>
      </w:r>
      <w:r>
        <w:rPr>
          <w:b/>
          <w:i w:val="0"/>
        </w:rPr>
        <w:t>cavitated</w:t>
      </w:r>
      <w:r>
        <w:rPr>
          <w:b w:val="0"/>
          <w:i w:val="0"/>
        </w:rPr>
        <w:t xml:space="preserve"> lesion (direct physical access to the carious dentine is required; it cannot be used through intact enamel), left in place briefly (approximately 30 seconds in a documented clinical example) before mechanical agitation, then removed together with the emulsified carious dentine using stainless-steel, abrasive, </w:t>
      </w:r>
      <w:r>
        <w:rPr>
          <w:b w:val="0"/>
          <w:i/>
        </w:rPr>
        <w:t>non-cutting</w:t>
      </w:r>
      <w:r>
        <w:rPr>
          <w:b w:val="0"/>
          <w:i w:val="0"/>
        </w:rPr>
        <w:t xml:space="preserve"> hand instruments (or, alternatively, ceramic/plastic burs in a speed-reducing handpiece)</w:t>
      </w:r>
      <w:r>
        <w:rPr>
          <w:b w:val="0"/>
          <w:i w:val="0"/>
        </w:rPr>
        <w:t xml:space="preserve"> [2, p.81]</w:t>
      </w:r>
      <w:r>
        <w:rPr>
          <w:b w:val="0"/>
          <w:i w:val="0"/>
        </w:rPr>
        <w:t>.</w:t>
      </w:r>
    </w:p>
    <w:p>
      <w:pPr>
        <w:spacing w:after="120"/>
      </w:pPr>
      <w:r>
        <w:rPr>
          <w:b w:val="0"/>
          <w:i w:val="0"/>
        </w:rPr>
        <w:t xml:space="preserve">A specific, clinically useful feature: because excavation is chemically concentrated within caries-infected dentine, </w:t>
      </w:r>
      <w:r>
        <w:rPr>
          <w:b/>
          <w:i w:val="0"/>
        </w:rPr>
        <w:t>patients do not always require local anaesthesia</w:t>
      </w:r>
      <w:r>
        <w:rPr>
          <w:b w:val="0"/>
          <w:i w:val="0"/>
        </w:rPr>
        <w:t>, and only gentle hand-instrumentation pressure — comparable to normal tooth-brushing force — is needed, improving patient comfort, particularly relevant for anxious or needle-phobic patients</w:t>
      </w:r>
      <w:r>
        <w:rPr>
          <w:b w:val="0"/>
          <w:i w:val="0"/>
        </w:rPr>
        <w:t xml:space="preserve"> [2, p.81]</w:t>
      </w:r>
      <w:r>
        <w:rPr>
          <w:b w:val="0"/>
          <w:i w:val="0"/>
        </w:rPr>
        <w:t xml:space="preserve">. A documented clinical example illustrates this directly: a buccal cavitated lesion was excavated using Carisolv with a mace-tip hand instrument at tooth-brushing force, requiring a repeat gel application to achieve adequate removal, with </w:t>
      </w:r>
      <w:r>
        <w:rPr>
          <w:b w:val="0"/>
          <w:i/>
        </w:rPr>
        <w:t>no local anaesthetic or rubber dam required</w:t>
      </w:r>
      <w:r>
        <w:rPr>
          <w:b w:val="0"/>
          <w:i w:val="0"/>
        </w:rPr>
        <w:t>, no direct pulp exposure despite deep excavation, and caries-affected (not caries-infected) dentine deliberately retained at the gingival periphery — directly consistent with the selective-removal principles established in Sections 2–3 above</w:t>
      </w:r>
      <w:r>
        <w:rPr>
          <w:b w:val="0"/>
          <w:i w:val="0"/>
        </w:rPr>
        <w:t xml:space="preserve"> [2, p.82]</w:t>
      </w:r>
      <w:r>
        <w:rPr>
          <w:b w:val="0"/>
          <w:i w:val="0"/>
        </w:rPr>
        <w:t>.</w:t>
      </w:r>
    </w:p>
    <w:p>
      <w:pPr>
        <w:pStyle w:val="Heading3"/>
      </w:pPr>
      <w:r>
        <w:t>6.2 Papacarie® and Enzymatic Methods — A More Limited Evidence Base</w:t>
      </w:r>
    </w:p>
    <w:p>
      <w:pPr>
        <w:spacing w:after="120"/>
      </w:pPr>
      <w:r>
        <w:rPr>
          <w:b w:val="0"/>
          <w:i w:val="0"/>
        </w:rPr>
        <w:t xml:space="preserve">Beyond naming Papacarie as a papain-based gel in Table 5.5, Pickard's own running text discusses it only within a broader, more tentative category of “other instrumentation technologies” still under investigation: </w:t>
      </w:r>
      <w:r>
        <w:rPr>
          <w:b w:val="0"/>
          <w:i/>
        </w:rPr>
        <w:t>“Enzymatic (including pepsin-based and papain-based) solutions are being investigated to help further breakdown of collagen in already softened carious dentine, in the hope of developing a more self-limiting technique for removing caries-infected dentine alone”</w:t>
      </w:r>
      <w:r>
        <w:rPr>
          <w:b w:val="0"/>
          <w:i w:val="0"/>
        </w:rPr>
        <w:t xml:space="preserve"> [2, p.81]</w:t>
      </w:r>
      <w:r>
        <w:rPr>
          <w:b w:val="0"/>
          <w:i w:val="0"/>
        </w:rPr>
        <w:t>. Unlike Carisolv, which the same source treats as an established, named clinical system with its own documented technique and clinical photograph, papain-based products (of which Papacarie is the commercially available example) are grouped with experimental, pepsin-based solutions as still-emerging research, sharing the same underlying logic — enzymatic proteolytic breakdown of already-denatured collagen — as Carisolv's amino-acid/hypochlorite chemistry, but without the same volume of established clinical evidence behind it in this source.</w:t>
      </w:r>
    </w:p>
    <w:p>
      <w:pPr>
        <w:spacing w:after="120"/>
      </w:pPr>
      <w:r>
        <w:rPr>
          <w:b w:val="0"/>
          <w:i w:val="0"/>
        </w:rPr>
        <w:t xml:space="preserve">The source's own overall verdict on this entire technology category, including both chemomechanical agents, is an honest one rather than a promotional one: </w:t>
      </w:r>
      <w:r>
        <w:rPr>
          <w:b w:val="0"/>
          <w:i/>
        </w:rPr>
        <w:t>“These technologies currently suffer from a lack of clinical research to validate them for routine evidence-based clinical use”</w:t>
      </w:r>
      <w:r>
        <w:rPr>
          <w:b w:val="0"/>
          <w:i w:val="0"/>
        </w:rPr>
        <w:t xml:space="preserve"> [2, p.81]</w:t>
      </w:r>
      <w:r>
        <w:rPr>
          <w:b w:val="0"/>
          <w:i w:val="0"/>
        </w:rPr>
        <w:t xml:space="preserve">, and, more broadly, </w:t>
      </w:r>
      <w:r>
        <w:rPr>
          <w:b w:val="0"/>
          <w:i/>
        </w:rPr>
        <w:t>“no perfect instrument exists”</w:t>
      </w:r>
      <w:r>
        <w:rPr>
          <w:b w:val="0"/>
          <w:i w:val="0"/>
        </w:rPr>
        <w:t xml:space="preserve"> for minimally invasive caries removal — clinical success depends on combining knowledge of dentine histology, adhesion chemistry, and material/instrument handling, not on any single removal technology being definitively superior</w:t>
      </w:r>
      <w:r>
        <w:rPr>
          <w:b w:val="0"/>
          <w:i w:val="0"/>
        </w:rPr>
        <w:t xml:space="preserve"> [2, p.81]</w:t>
      </w:r>
      <w:r>
        <w:rPr>
          <w:b w:val="0"/>
          <w:i w:val="0"/>
        </w:rPr>
        <w:t>.</w:t>
      </w:r>
    </w:p>
    <w:p>
      <w:pPr>
        <w:spacing w:after="120"/>
      </w:pPr>
      <w:r>
        <w:rPr>
          <w:b/>
          <w:i w:val="0"/>
        </w:rPr>
        <w:t>Comparison with the consensus terminology (Section 2):</w:t>
      </w:r>
      <w:r>
        <w:rPr>
          <w:b w:val="0"/>
          <w:i w:val="0"/>
        </w:rPr>
        <w:t xml:space="preserve"> chemomechanical removal is not itself a named category in the IADR/ORCA or EFCD-ESE-ORCA consensus terminology (selective-to-soft, selective-to-firm, stepwise, non-selective) — those terms describe </w:t>
      </w:r>
      <w:r>
        <w:rPr>
          <w:b w:val="0"/>
          <w:i/>
        </w:rPr>
        <w:t>how much</w:t>
      </w:r>
      <w:r>
        <w:rPr>
          <w:b w:val="0"/>
          <w:i w:val="0"/>
        </w:rPr>
        <w:t xml:space="preserve"> tissue is removed and where the removal endpoint is set, while Carisolv/Papacarie describe </w:t>
      </w:r>
      <w:r>
        <w:rPr>
          <w:b w:val="0"/>
          <w:i/>
        </w:rPr>
        <w:t>what instrument/chemistry</w:t>
      </w:r>
      <w:r>
        <w:rPr>
          <w:b w:val="0"/>
          <w:i w:val="0"/>
        </w:rPr>
        <w:t xml:space="preserve"> performs the removal. In principle, a chemomechanical agent could be used to carry out any of the four consensus removal strategies (e.g., stopping gel application and excavation once firm rather than fully hard dentine is reached would constitute a chemomechanically-performed selective-to-firm removal), though none of the sources used in this document explicitly make that connection, and it should be treated as a reasonable inference rather than a directly cited claim.</w:t>
      </w:r>
    </w:p>
    <w:p>
      <w:pPr>
        <w:pStyle w:val="Heading1"/>
      </w:pPr>
      <w:r>
        <w:t>Quick-Revision Summary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Topic</w:t>
            </w:r>
          </w:p>
        </w:tc>
        <w:tc>
          <w:tcPr>
            <w:tcW w:type="dxa" w:w="2880"/>
          </w:tcPr>
          <w:p>
            <w:r>
              <w:rPr>
                <w:b/>
                <w:sz w:val="18"/>
              </w:rPr>
              <w:t>Key take-away</w:t>
            </w:r>
          </w:p>
        </w:tc>
        <w:tc>
          <w:tcPr>
            <w:tcW w:type="dxa" w:w="2880"/>
          </w:tcPr>
          <w:p>
            <w:r>
              <w:rPr>
                <w:b/>
                <w:sz w:val="18"/>
              </w:rPr>
              <w:t>Source</w:t>
            </w:r>
          </w:p>
        </w:tc>
      </w:tr>
      <w:tr>
        <w:tc>
          <w:tcPr>
            <w:tcW w:type="dxa" w:w="2880"/>
          </w:tcPr>
          <w:p>
            <w:r>
              <w:rPr>
                <w:sz w:val="18"/>
              </w:rPr>
              <w:t>Three histological models</w:t>
            </w:r>
          </w:p>
        </w:tc>
        <w:tc>
          <w:tcPr>
            <w:tcW w:type="dxa" w:w="2880"/>
          </w:tcPr>
          <w:p>
            <w:r>
              <w:rPr>
                <w:sz w:val="18"/>
              </w:rPr>
              <w:t>Fusayama 2-layer (2.1) / Pickard's 3-zone clinical / Marzouk's 5-zone (decayed→septic→demineralized→transparent→opaque)</w:t>
            </w:r>
          </w:p>
        </w:tc>
        <w:tc>
          <w:tcPr>
            <w:tcW w:type="dxa" w:w="2880"/>
          </w:tcPr>
          <w:p>
            <w:r>
              <w:rPr>
                <w:sz w:val="18"/>
              </w:rPr>
              <w:t>[4, p.275]; [5, p.87]</w:t>
            </w:r>
          </w:p>
        </w:tc>
      </w:tr>
      <w:tr>
        <w:tc>
          <w:tcPr>
            <w:tcW w:type="dxa" w:w="2880"/>
          </w:tcPr>
          <w:p>
            <w:r>
              <w:rPr>
                <w:sz w:val="18"/>
              </w:rPr>
              <w:t>Colour is NOT reliable</w:t>
            </w:r>
          </w:p>
        </w:tc>
        <w:tc>
          <w:tcPr>
            <w:tcW w:type="dxa" w:w="2880"/>
          </w:tcPr>
          <w:p>
            <w:r>
              <w:rPr>
                <w:sz w:val="18"/>
              </w:rPr>
              <w:t>Two independent sources agree: soundness/reparability, not colour, should guide removal</w:t>
            </w:r>
          </w:p>
        </w:tc>
        <w:tc>
          <w:tcPr>
            <w:tcW w:type="dxa" w:w="2880"/>
          </w:tcPr>
          <w:p>
            <w:r>
              <w:rPr>
                <w:sz w:val="18"/>
              </w:rPr>
              <w:t>[4, p.277]; [5, p.88]</w:t>
            </w:r>
          </w:p>
        </w:tc>
      </w:tr>
      <w:tr>
        <w:tc>
          <w:tcPr>
            <w:tcW w:type="dxa" w:w="2880"/>
          </w:tcPr>
          <w:p>
            <w:r>
              <w:rPr>
                <w:sz w:val="18"/>
              </w:rPr>
              <w:t>KHN data</w:t>
            </w:r>
          </w:p>
        </w:tc>
        <w:tc>
          <w:tcPr>
            <w:tcW w:type="dxa" w:w="2880"/>
          </w:tcPr>
          <w:p>
            <w:r>
              <w:rPr>
                <w:sz w:val="18"/>
              </w:rPr>
              <w:t>Sound dentin 69 KHN; post-excavation remaining dentin only 22.8-28.4 KHN (spoon vs. bur) — neither method leaves truly 'sound' dentin</w:t>
            </w:r>
          </w:p>
        </w:tc>
        <w:tc>
          <w:tcPr>
            <w:tcW w:type="dxa" w:w="2880"/>
          </w:tcPr>
          <w:p>
            <w:r>
              <w:rPr>
                <w:sz w:val="18"/>
              </w:rPr>
              <w:t>[4, p.278]</w:t>
            </w:r>
          </w:p>
        </w:tc>
      </w:tr>
      <w:tr>
        <w:tc>
          <w:tcPr>
            <w:tcW w:type="dxa" w:w="2880"/>
          </w:tcPr>
          <w:p>
            <w:r>
              <w:rPr>
                <w:sz w:val="18"/>
              </w:rPr>
              <w:t>Consensus terminology</w:t>
            </w:r>
          </w:p>
        </w:tc>
        <w:tc>
          <w:tcPr>
            <w:tcW w:type="dxa" w:w="2880"/>
          </w:tcPr>
          <w:p>
            <w:r>
              <w:rPr>
                <w:sz w:val="18"/>
              </w:rPr>
              <w:t>Selective-to-soft, selective-to-firm, stepwise (2 stages), non-selective — precisely defined by IADR/ORCA 2016</w:t>
            </w:r>
          </w:p>
        </w:tc>
        <w:tc>
          <w:tcPr>
            <w:tcW w:type="dxa" w:w="2880"/>
          </w:tcPr>
          <w:p>
            <w:r>
              <w:rPr>
                <w:sz w:val="18"/>
              </w:rPr>
              <w:t>[6, p.1]; [7, p.1]</w:t>
            </w:r>
          </w:p>
        </w:tc>
      </w:tr>
      <w:tr>
        <w:tc>
          <w:tcPr>
            <w:tcW w:type="dxa" w:w="2880"/>
          </w:tcPr>
          <w:p>
            <w:r>
              <w:rPr>
                <w:sz w:val="18"/>
              </w:rPr>
              <w:t>Deep caries: SE vs. NSE</w:t>
            </w:r>
          </w:p>
        </w:tc>
        <w:tc>
          <w:tcPr>
            <w:tcW w:type="dxa" w:w="2880"/>
          </w:tcPr>
          <w:p>
            <w:r>
              <w:rPr>
                <w:sz w:val="18"/>
              </w:rPr>
              <w:t>2026 guideline Grade B: prefer selective-to-soft OR stepwise removal over non-selective removal for deep lesions</w:t>
            </w:r>
          </w:p>
        </w:tc>
        <w:tc>
          <w:tcPr>
            <w:tcW w:type="dxa" w:w="2880"/>
          </w:tcPr>
          <w:p>
            <w:r>
              <w:rPr>
                <w:sz w:val="18"/>
              </w:rPr>
              <w:t>[8]</w:t>
            </w:r>
          </w:p>
        </w:tc>
      </w:tr>
      <w:tr>
        <w:tc>
          <w:tcPr>
            <w:tcW w:type="dxa" w:w="2880"/>
          </w:tcPr>
          <w:p>
            <w:r>
              <w:rPr>
                <w:sz w:val="18"/>
              </w:rPr>
              <w:t>Depth-based removal rule</w:t>
            </w:r>
          </w:p>
        </w:tc>
        <w:tc>
          <w:tcPr>
            <w:tcW w:type="dxa" w:w="2880"/>
          </w:tcPr>
          <w:p>
            <w:r>
              <w:rPr>
                <w:sz w:val="18"/>
              </w:rPr>
              <w:t>Shallow/moderate → selective to FIRM dentine; deep → selective to SOFT dentine</w:t>
            </w:r>
          </w:p>
        </w:tc>
        <w:tc>
          <w:tcPr>
            <w:tcW w:type="dxa" w:w="2880"/>
          </w:tcPr>
          <w:p>
            <w:r>
              <w:rPr>
                <w:sz w:val="18"/>
              </w:rPr>
              <w:t>[7, p.1]</w:t>
            </w:r>
          </w:p>
        </w:tc>
      </w:tr>
      <w:tr>
        <w:tc>
          <w:tcPr>
            <w:tcW w:type="dxa" w:w="2880"/>
          </w:tcPr>
          <w:p>
            <w:r>
              <w:rPr>
                <w:sz w:val="18"/>
              </w:rPr>
              <w:t>Tunnel preparation</w:t>
            </w:r>
          </w:p>
        </w:tc>
        <w:tc>
          <w:tcPr>
            <w:tcW w:type="dxa" w:w="2880"/>
          </w:tcPr>
          <w:p>
            <w:r>
              <w:rPr>
                <w:sz w:val="18"/>
              </w:rPr>
              <w:t>4 proximal access options incl. occlusal and buccal/lingual tunnelling that conserve the marginal ridge — fills the gap flagged in 2.1</w:t>
            </w:r>
          </w:p>
        </w:tc>
        <w:tc>
          <w:tcPr>
            <w:tcW w:type="dxa" w:w="2880"/>
          </w:tcPr>
          <w:p>
            <w:r>
              <w:rPr>
                <w:sz w:val="18"/>
              </w:rPr>
              <w:t>[5, p.85]</w:t>
            </w:r>
          </w:p>
        </w:tc>
      </w:tr>
      <w:tr>
        <w:tc>
          <w:tcPr>
            <w:tcW w:type="dxa" w:w="2880"/>
          </w:tcPr>
          <w:p>
            <w:r>
              <w:rPr>
                <w:sz w:val="18"/>
              </w:rPr>
              <w:t>Effective depth thresholds</w:t>
            </w:r>
          </w:p>
        </w:tc>
        <w:tc>
          <w:tcPr>
            <w:tcW w:type="dxa" w:w="2880"/>
          </w:tcPr>
          <w:p>
            <w:r>
              <w:rPr>
                <w:sz w:val="18"/>
              </w:rPr>
              <w:t>≥2mm = healthy repair; 0.8-2mm = unhealthy repair; &lt;0.3-0.8mm = pulpal destruction expected</w:t>
            </w:r>
          </w:p>
        </w:tc>
        <w:tc>
          <w:tcPr>
            <w:tcW w:type="dxa" w:w="2880"/>
          </w:tcPr>
          <w:p>
            <w:r>
              <w:rPr>
                <w:sz w:val="18"/>
              </w:rPr>
              <w:t>[4, p.277]</w:t>
            </w:r>
          </w:p>
        </w:tc>
      </w:tr>
      <w:tr>
        <w:tc>
          <w:tcPr>
            <w:tcW w:type="dxa" w:w="2880"/>
          </w:tcPr>
          <w:p>
            <w:r>
              <w:rPr>
                <w:sz w:val="18"/>
              </w:rPr>
              <w:t>3-4mm from DEJ rule</w:t>
            </w:r>
          </w:p>
        </w:tc>
        <w:tc>
          <w:tcPr>
            <w:tcW w:type="dxa" w:w="2880"/>
          </w:tcPr>
          <w:p>
            <w:r>
              <w:rPr>
                <w:sz w:val="18"/>
              </w:rPr>
              <w:t>75% chance of visible pulp perforation once a lesion reaches 3-4mm pulpally/axially to the DEJ</w:t>
            </w:r>
          </w:p>
        </w:tc>
        <w:tc>
          <w:tcPr>
            <w:tcW w:type="dxa" w:w="2880"/>
          </w:tcPr>
          <w:p>
            <w:r>
              <w:rPr>
                <w:sz w:val="18"/>
              </w:rPr>
              <w:t>[4, p.278]</w:t>
            </w:r>
          </w:p>
        </w:tc>
      </w:tr>
      <w:tr>
        <w:tc>
          <w:tcPr>
            <w:tcW w:type="dxa" w:w="2880"/>
          </w:tcPr>
          <w:p>
            <w:r>
              <w:rPr>
                <w:sz w:val="18"/>
              </w:rPr>
              <w:t>Besic experiment</w:t>
            </w:r>
          </w:p>
        </w:tc>
        <w:tc>
          <w:tcPr>
            <w:tcW w:type="dxa" w:w="2880"/>
          </w:tcPr>
          <w:p>
            <w:r>
              <w:rPr>
                <w:sz w:val="18"/>
              </w:rPr>
              <w:t>Sealing carious dentin (not removing it) sharply reduced bacterial counts, eliminated lactobacilli/spirochetes, and allowed remineralization — the historical evidence base for modern selective removal</w:t>
            </w:r>
          </w:p>
        </w:tc>
        <w:tc>
          <w:tcPr>
            <w:tcW w:type="dxa" w:w="2880"/>
          </w:tcPr>
          <w:p>
            <w:r>
              <w:rPr>
                <w:sz w:val="18"/>
              </w:rPr>
              <w:t>[4, p.277]</w:t>
            </w:r>
          </w:p>
        </w:tc>
      </w:tr>
      <w:tr>
        <w:tc>
          <w:tcPr>
            <w:tcW w:type="dxa" w:w="2880"/>
          </w:tcPr>
          <w:p>
            <w:r>
              <w:rPr>
                <w:sz w:val="18"/>
              </w:rPr>
              <w:t>Chemomechanical removal</w:t>
            </w:r>
          </w:p>
        </w:tc>
        <w:tc>
          <w:tcPr>
            <w:tcW w:type="dxa" w:w="2880"/>
          </w:tcPr>
          <w:p>
            <w:r>
              <w:rPr>
                <w:sz w:val="18"/>
              </w:rPr>
              <w:t>Carisolv (amino-acid/hypochlorite gel, established) vs. Papacarie (papain-based, grouped with experimental enzymatic methods) — both act only on already-denatured carious dentine, giving a self-limiting removal character</w:t>
            </w:r>
          </w:p>
        </w:tc>
        <w:tc>
          <w:tcPr>
            <w:tcW w:type="dxa" w:w="2880"/>
          </w:tcPr>
          <w:p>
            <w:r>
              <w:rPr>
                <w:sz w:val="18"/>
              </w:rPr>
              <w:t>[2, p.73, 81]</w:t>
            </w:r>
          </w:p>
        </w:tc>
      </w:tr>
      <w:tr>
        <w:tc>
          <w:tcPr>
            <w:tcW w:type="dxa" w:w="2880"/>
          </w:tcPr>
          <w:p>
            <w:r>
              <w:rPr>
                <w:sz w:val="18"/>
              </w:rPr>
              <w:t>Stepwise excavation: still relevant?</w:t>
            </w:r>
          </w:p>
        </w:tc>
        <w:tc>
          <w:tcPr>
            <w:tcW w:type="dxa" w:w="2880"/>
          </w:tcPr>
          <w:p>
            <w:r>
              <w:rPr>
                <w:sz w:val="18"/>
              </w:rPr>
              <w:t>Genuine tension: Pickard's 9th ed. calls the terminology 'redundant'; the 2026 guideline actively recommends it (Grade B) — both cited, not resolved</w:t>
            </w:r>
          </w:p>
        </w:tc>
        <w:tc>
          <w:tcPr>
            <w:tcW w:type="dxa" w:w="2880"/>
          </w:tcPr>
          <w:p>
            <w:r>
              <w:rPr>
                <w:sz w:val="18"/>
              </w:rPr>
              <w:t>[5, p.88]; [8]</w:t>
            </w:r>
          </w:p>
        </w:tc>
      </w:tr>
    </w:tbl>
    <w:p/>
    <w:p>
      <w:r>
        <w:br w:type="page"/>
      </w:r>
    </w:p>
    <w:p>
      <w:pPr>
        <w:pStyle w:val="Heading1"/>
      </w:pPr>
      <w:r>
        <w:t>References (Vancouver Style)</w:t>
      </w:r>
    </w:p>
    <w:p>
      <w:pPr>
        <w:spacing w:after="120"/>
      </w:pPr>
      <w:r>
        <w:rPr>
          <w:b w:val="0"/>
          <w:i w:val="0"/>
        </w:rPr>
        <w:t>Page numbers refer to the page of the cited source, as printed in that source, on which the statement appears, except where a source is an epub-ahead-of-print journal article without final page numbers (noted individually).</w:t>
      </w:r>
    </w:p>
    <w:p>
      <w:pPr>
        <w:spacing w:after="120"/>
        <w:ind w:left="432" w:hanging="432"/>
      </w:pPr>
      <w:r>
        <w:rPr>
          <w:sz w:val="20"/>
        </w:rPr>
        <w:t xml:space="preserve">1. </w:t>
      </w:r>
      <w:r>
        <w:rPr>
          <w:sz w:val="20"/>
        </w:rPr>
        <w:t>Roberson TM, Heymann HO, Swift EJ Jr, editors. Sturdevant's Art and Science of Operative Dentistry. 5th ed. St. Louis: Mosby (Elsevier); 2006. [Used in Sub-Module 2.1; cross-referenced here, not re-cited with new page numbers.]</w:t>
      </w:r>
    </w:p>
    <w:p>
      <w:pPr>
        <w:spacing w:after="120"/>
        <w:ind w:left="432" w:hanging="432"/>
      </w:pPr>
      <w:r>
        <w:rPr>
          <w:sz w:val="20"/>
        </w:rPr>
        <w:t xml:space="preserve">2. </w:t>
      </w:r>
      <w:r>
        <w:rPr>
          <w:sz w:val="20"/>
        </w:rPr>
        <w:t>Banerjee A, Watson TF. Pickard's Guide to Minimally Invasive Operative Dentistry. 10th ed. Oxford: Oxford University Press. [Chapter 5 used generically in Sub-Module 2.1; this document additionally cites Table 5.5 and Section 5.8.5-5.8.6 (p.73, 81-82) on chemomechanical caries removal, not previously cited.]</w:t>
      </w:r>
    </w:p>
    <w:p>
      <w:pPr>
        <w:spacing w:after="120"/>
        <w:ind w:left="432" w:hanging="432"/>
      </w:pPr>
      <w:r>
        <w:rPr>
          <w:sz w:val="20"/>
        </w:rPr>
        <w:t xml:space="preserve">3. </w:t>
      </w:r>
      <w:r>
        <w:rPr>
          <w:sz w:val="20"/>
        </w:rPr>
        <w:t>Summitt JB. Nomenclature and instrumentation. In: Hilton TJ, Summitt JB, et al., editors. Summitt's Fundamentals of Operative Dentistry: A Contemporary Approach. 4th ed. Chicago: Quintessence Publishing. Chapter 7. [Used in Sub-Module 2.1; cross-referenced here, not re-cited with new page numbers.]</w:t>
      </w:r>
    </w:p>
    <w:p>
      <w:pPr>
        <w:spacing w:after="120"/>
        <w:ind w:left="432" w:hanging="432"/>
      </w:pPr>
      <w:r>
        <w:rPr>
          <w:sz w:val="20"/>
        </w:rPr>
        <w:t xml:space="preserve">4. </w:t>
      </w:r>
      <w:r>
        <w:rPr>
          <w:sz w:val="20"/>
        </w:rPr>
        <w:t>Marzouk MA, Simonton AL, Gross RD. Operative Dentistry: Modern Theory and Practice. New Delhi: Ishiyaku EuroAmerica/AITBS; 1985. Chapter 14, “The Management of Deep Carious Lesions,” p.275–284. [Chapter 1 used in Sub-Module 2.1 is cited there; this document uses Chapter 14, a new chapter of the same source.]</w:t>
      </w:r>
    </w:p>
    <w:p>
      <w:pPr>
        <w:spacing w:after="120"/>
        <w:ind w:left="432" w:hanging="432"/>
      </w:pPr>
      <w:r>
        <w:rPr>
          <w:sz w:val="20"/>
        </w:rPr>
        <w:t xml:space="preserve">5. </w:t>
      </w:r>
      <w:r>
        <w:rPr>
          <w:sz w:val="20"/>
        </w:rPr>
        <w:t>Banerjee A, Watson TF. Pickard's Manual of Operative Dentistry. 9th ed. Oxford: Oxford University Press. Section 5.9, “Operative management of the carious lesion,” p.83–88 (PDF pagination cross-checked against printed folios visible in source).</w:t>
      </w:r>
    </w:p>
    <w:p>
      <w:pPr>
        <w:spacing w:after="120"/>
        <w:ind w:left="432" w:hanging="432"/>
      </w:pPr>
      <w:r>
        <w:rPr>
          <w:sz w:val="20"/>
        </w:rPr>
        <w:t xml:space="preserve">6. </w:t>
      </w:r>
      <w:r>
        <w:rPr>
          <w:sz w:val="20"/>
        </w:rPr>
        <w:t>Innes NPT, Frencken JE, Bjørndal L, Maltz M, Manton DJ, Ricketts D, et al. Managing Carious Lesions: Consensus Recommendations on Terminology. Adv Dent Res. 2016;28(2):49–57.</w:t>
      </w:r>
    </w:p>
    <w:p>
      <w:pPr>
        <w:spacing w:after="120"/>
        <w:ind w:left="432" w:hanging="432"/>
      </w:pPr>
      <w:r>
        <w:rPr>
          <w:sz w:val="20"/>
        </w:rPr>
        <w:t xml:space="preserve">7. </w:t>
      </w:r>
      <w:r>
        <w:rPr>
          <w:sz w:val="20"/>
        </w:rPr>
        <w:t>Innes NPT, Frencken JE, Bjørndal L, Maltz M, Manton DJ, Ricketts D, et al. (International Caries Consensus Collaboration). Managing Carious Lesions: Consensus Recommendations on Carious Tissue Removal. Adv Dent Res. 2016;28(2):58–67.</w:t>
      </w:r>
    </w:p>
    <w:p>
      <w:pPr>
        <w:spacing w:after="120"/>
        <w:ind w:left="432" w:hanging="432"/>
      </w:pPr>
      <w:r>
        <w:rPr>
          <w:sz w:val="20"/>
        </w:rPr>
        <w:t xml:space="preserve">8. </w:t>
      </w:r>
      <w:r>
        <w:rPr>
          <w:sz w:val="20"/>
        </w:rPr>
        <w:t>Schwendicke F, Kosan E, Banerjee A, et al. Deep Caries Management: EFCD-ESE-ORCA S3-Level Clinical Practice Guideline. Caries Res. 2026 Apr 22 [Epub ahead of print]. doi:10.1159/000551659.</w:t>
      </w:r>
    </w:p>
    <w:p>
      <w:pPr>
        <w:spacing w:after="120"/>
        <w:ind w:left="432" w:hanging="432"/>
      </w:pPr>
      <w:r>
        <w:rPr>
          <w:sz w:val="20"/>
        </w:rPr>
        <w:t xml:space="preserve">9. </w:t>
      </w:r>
      <w:r>
        <w:rPr>
          <w:sz w:val="20"/>
        </w:rPr>
        <w:t>Sikri VK. Indirect Restorations in Dental Practice. 2nd ed. New Delhi: CBS Publishers.</w:t>
      </w:r>
    </w:p>
    <w:p>
      <w:pPr>
        <w:spacing w:after="120"/>
        <w:ind w:left="432" w:hanging="432"/>
      </w:pPr>
      <w:r>
        <w:rPr>
          <w:sz w:val="20"/>
        </w:rPr>
        <w:t xml:space="preserve">10. </w:t>
      </w:r>
      <w:r>
        <w:rPr>
          <w:sz w:val="20"/>
        </w:rPr>
        <w:t>Ricketts D, Chadwick G, Hall A. Management of dental caries. In: Ricketts D, Bartlett D, editors. Advanced Operative Dentistry: A Practical Approach. Edinburgh: Churchill Livingstone/Elsevier; 2011. p.1–14 (citing Ricketts D. Management of the deep carious lesion and the vital pulp dentine complex. Br Dent J. 2001;191:606–610).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