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8"/>
        </w:rPr>
        <w:t>MODULE 1: CONSERVATIVE &amp; RESTORATIVE DENTISTRY</w:t>
      </w:r>
    </w:p>
    <w:p>
      <w:pPr>
        <w:jc w:val="center"/>
      </w:pPr>
      <w:r>
        <w:rPr>
          <w:b/>
          <w:sz w:val="40"/>
        </w:rPr>
        <w:t>SUB-MODULE 2.3: CAVITY CLASSIFICATION &amp; DESIGN BY TYPE</w:t>
      </w:r>
    </w:p>
    <w:p/>
    <w:p>
      <w:pPr>
        <w:jc w:val="center"/>
      </w:pPr>
      <w:r>
        <w:rPr>
          <w:i/>
          <w:sz w:val="26"/>
        </w:rPr>
        <w:t>Compiled Study Notes — Organized by Topic</w:t>
      </w:r>
    </w:p>
    <w:p>
      <w:pPr>
        <w:jc w:val="center"/>
      </w:pPr>
      <w:r>
        <w:rPr>
          <w:i/>
          <w:sz w:val="24"/>
        </w:rPr>
        <w:t>Black's classification (cross-referenced) vs. modern Site-and-Size and ICDAS/ICCMS systems, each fact page-cited</w:t>
      </w:r>
    </w:p>
    <w:p/>
    <w:p>
      <w:pPr>
        <w:jc w:val="center"/>
      </w:pPr>
      <w:r>
        <w:rPr>
          <w:sz w:val="22"/>
        </w:rPr>
        <w:t>Citation style: Vancouver (numbered, in-text, with page references)</w:t>
      </w:r>
    </w:p>
    <w:p>
      <w:r>
        <w:br w:type="page"/>
      </w:r>
    </w:p>
    <w:p>
      <w:pPr>
        <w:pStyle w:val="Heading1"/>
      </w:pPr>
      <w:r>
        <w:t>A Note on Sources and Referencing</w:t>
      </w:r>
    </w:p>
    <w:p>
      <w:pPr>
        <w:spacing w:after="120"/>
        <w:jc w:val="both"/>
      </w:pPr>
      <w:r>
        <w:rPr>
          <w:b w:val="0"/>
          <w:i w:val="0"/>
        </w:rPr>
        <w:t xml:space="preserve">This document completes the three-part split of Sub-Module 2 (Sub-Module 2.1: Principles of Tooth Preparation; Sub-Module 2.2: Caries Removal Strategies; Sub-Module 2.3: this document). </w:t>
      </w:r>
      <w:r>
        <w:rPr>
          <w:b/>
          <w:i w:val="0"/>
        </w:rPr>
        <w:t>Black's classification itself (Class I–VI definitions) and the conventional/beveled-conventional/modified preparation-design taxonomy were already covered in full in Sub-Module 2.1, Section 5, and are cross-referenced here rather than repeated.</w:t>
      </w:r>
      <w:r>
        <w:rPr>
          <w:b w:val="0"/>
          <w:i w:val="0"/>
        </w:rPr>
        <w:t xml:space="preserve"> This document's new content is: (a) class-specific outline-form/resistance-form design detail not covered generically in 2.1, and (b) the modern alternative classification systems — principally G.J. Mount and W.R. Hume's Site-and-Size system, and the ICDAS/ICCMS visual-scoring system — which were not covered in 2.1 or 2.2 at all.</w:t>
      </w:r>
    </w:p>
    <w:p>
      <w:pPr>
        <w:spacing w:after="120"/>
      </w:pPr>
      <w:r>
        <w:rPr>
          <w:b/>
          <w:i w:val="0"/>
        </w:rPr>
        <w:t>New source used in this document:</w:t>
      </w:r>
    </w:p>
    <w:p>
      <w:pPr>
        <w:pStyle w:val="ListBullet"/>
        <w:spacing w:after="60"/>
      </w:pPr>
      <w:r>
        <w:rPr>
          <w:b w:val="0"/>
          <w:i w:val="0"/>
        </w:rPr>
        <w:t xml:space="preserve">Mount GJ, Hume WR, Ngo HC, Wolff MS, editors. Preservation and Restoration of Tooth Structure. 3rd ed. Chichester: John Wiley &amp; Sons; 2016. Chapter 6, “Systems for Classifying Defects of the Exposed Tooth Surface,” p.81–86, and Chapter 7, “Principles of Cavity Design for the Restoration of Advanced Lesions,” p.87–115. </w:t>
      </w:r>
      <w:r>
        <w:rPr>
          <w:b w:val="0"/>
          <w:i/>
        </w:rPr>
        <w:t>(standardised textbook — already a standing Module 1 source per the skill file, used here for the first time)</w:t>
      </w:r>
    </w:p>
    <w:p>
      <w:pPr>
        <w:spacing w:after="120"/>
      </w:pPr>
      <w:r>
        <w:rPr>
          <w:b/>
          <w:i w:val="0"/>
        </w:rPr>
        <w:t>Also used, with substantial NEW content beyond what 2.1/2.2 already covered:</w:t>
      </w:r>
    </w:p>
    <w:p>
      <w:pPr>
        <w:pStyle w:val="ListBullet"/>
        <w:spacing w:after="60"/>
      </w:pPr>
      <w:r>
        <w:rPr>
          <w:b w:val="0"/>
          <w:i w:val="0"/>
        </w:rPr>
        <w:t>Sturdevant's Art and Science of Operative Dentistry, Chapters 6, 12 and 18 — the full class-by-class (I-VI) wall/retention-form detail in Section 1 of this document is new; Chapter 6's Black's-classification definitions and general preparation-step sequence were already used in 2.1 and are not repeated</w:t>
      </w:r>
    </w:p>
    <w:p>
      <w:pPr>
        <w:pStyle w:val="ListBullet"/>
        <w:spacing w:after="60"/>
      </w:pPr>
      <w:r>
        <w:rPr>
          <w:b w:val="0"/>
          <w:i w:val="0"/>
        </w:rPr>
        <w:t>Summitt's Fundamentals of Operative Dentistry, Chapters 7 and 10 — the Class III lingual-vs-facial access-route decision-making in Section 1.3 is new; Chapter 7's "Nomenclature and Instrumentation" was already used in 2.1</w:t>
      </w:r>
    </w:p>
    <w:p>
      <w:pPr>
        <w:pStyle w:val="ListBullet"/>
        <w:spacing w:after="60"/>
      </w:pPr>
      <w:r>
        <w:rPr>
          <w:b w:val="0"/>
          <w:i w:val="0"/>
        </w:rPr>
        <w:t>Pickard's Guide to Minimally Invasive Operative Dentistry, 10th ed. (proximal-box undercut/internal-bevel design specifics, cross-referenced in Section 1.2)</w:t>
      </w:r>
    </w:p>
    <w:p>
      <w:r>
        <w:rPr>
          <w:b/>
        </w:rPr>
        <w:t xml:space="preserve">Fourth revision note: </w:t>
      </w:r>
      <w:r>
        <w:t>audited against Marzouk's, the one core text not yet used in this document. Its content is largely redundant with what Sturdevant's/Summitt's/Mount's already provide here, except for one genuinely useful addition: the simple/compound/complex lesion-extent terminology and the explicit framing of Black's system as a therapeutic (not histological) classification, added just before Section 1.1 (source [5]).</w:t>
      </w:r>
    </w:p>
    <w:p>
      <w:pPr>
        <w:spacing w:after="120"/>
        <w:jc w:val="both"/>
      </w:pPr>
      <w:r>
        <w:rPr>
          <w:b/>
          <w:i w:val="0"/>
        </w:rPr>
        <w:t>Revision note:</w:t>
      </w:r>
      <w:r>
        <w:rPr>
          <w:b w:val="0"/>
          <w:i w:val="0"/>
        </w:rPr>
        <w:t xml:space="preserve"> this document was substantially expanded after initial delivery. Cross-checking against the Module 1 master outline showed the original version centred on modern alternative classification systems (now Sections 2-5) without the outline's expected Black's-classification Class I-VI design-by-class detail. Section 1 was added to close that gap, using Sturdevant's and Summitt's for genuinely new, page-cited class-specific content rather than repeating 2.1's generic coverage of the classification itself.</w:t>
      </w:r>
    </w:p>
    <w:p>
      <w:pPr>
        <w:spacing w:after="120"/>
        <w:jc w:val="both"/>
      </w:pPr>
      <w:r>
        <w:rPr>
          <w:b/>
          <w:i w:val="0"/>
        </w:rPr>
        <w:t>Scope note:</w:t>
      </w:r>
      <w:r>
        <w:rPr>
          <w:b w:val="0"/>
          <w:i w:val="0"/>
        </w:rPr>
        <w:t xml:space="preserve"> per the topic split, this document covers </w:t>
      </w:r>
      <w:r>
        <w:rPr>
          <w:b w:val="0"/>
          <w:i/>
        </w:rPr>
        <w:t>classification and cavity-design geometry</w:t>
      </w:r>
      <w:r>
        <w:rPr>
          <w:b w:val="0"/>
          <w:i w:val="0"/>
        </w:rPr>
        <w:t xml:space="preserve"> only — not the class-by-class restorative material selection and insertion technique (e.g., step-by-step composite layering for a Class III, amalgam condensation for a Class II), which belongs to the later Direct Restorations and Indirect Restorations sub-modules and is deliberately deferred there rather than partially duplicated here.</w:t>
      </w:r>
    </w:p>
    <w:p>
      <w:r>
        <w:br w:type="page"/>
      </w:r>
    </w:p>
    <w:p>
      <w:pPr>
        <w:pStyle w:val="Heading1"/>
      </w:pPr>
      <w:r>
        <w:t>Sub-Module 2.3: Cavity Classification &amp; Design by Type</w:t>
      </w:r>
    </w:p>
    <w:p>
      <w:pPr>
        <w:pStyle w:val="Heading2"/>
      </w:pPr>
      <w:r>
        <w:t>1. Black's Classification — Class-by-Class Design Detail</w:t>
      </w:r>
    </w:p>
    <w:p>
      <w:pPr>
        <w:spacing w:after="120"/>
      </w:pPr>
      <w:r>
        <w:rPr>
          <w:b w:val="0"/>
          <w:i w:val="0"/>
        </w:rPr>
        <w:t xml:space="preserve">Sub-Module 2.1, Section 5 already defined Black's six classes at the definitional level, plus the conventional/beveled-conventional/modified design-philosophy taxonomy that applies across all of them — that content is not repeated here. This section adds what 2.1 did not cover: the </w:t>
      </w:r>
      <w:r>
        <w:rPr>
          <w:b/>
          <w:i w:val="0"/>
        </w:rPr>
        <w:t>specific outline-form, wall-angle, and retention-form detail for each individual class</w:t>
      </w:r>
      <w:r>
        <w:rPr>
          <w:b w:val="0"/>
          <w:i w:val="0"/>
        </w:rPr>
        <w:t>, drawing on Sturdevant's Chapter 6 (walls/line angles/point angles per class), Chapter 12 (Class III/IV/V direct tooth-coloured restorations), and Chapter 18 (Class III amalgam), plus Summitt's Chapter 7 and Chapter 10 for Class III-specific access-route decision-making not covered in Sturdevant's.</w:t>
      </w:r>
    </w:p>
    <w:p>
      <w:r>
        <w:rPr>
          <w:b/>
        </w:rPr>
        <w:t xml:space="preserve">A conceptual framing worth noting (Marzouk's): </w:t>
      </w:r>
      <w:r>
        <w:t xml:space="preserve">Black's classification is explicitly described as a THERAPEUTIC classification — based on treatment and restoration design, not on histology or etiology. Marzouk's also gives a complementary, lesion-extent terminology cross-cutting Black's location-based classes: a </w:t>
      </w:r>
      <w:r>
        <w:t>simple</w:t>
      </w:r>
      <w:r>
        <w:t xml:space="preserve"> carious lesion involves only ONE tooth surface, a </w:t>
      </w:r>
      <w:r>
        <w:t>compound</w:t>
      </w:r>
      <w:r>
        <w:t xml:space="preserve"> lesion involves TWO surfaces, and a </w:t>
      </w:r>
      <w:r>
        <w:t>complex</w:t>
      </w:r>
      <w:r>
        <w:t xml:space="preserve"> lesion involves THREE OR MORE surfaces — independent of which Black's class the lesion falls into, and useful shorthand for describing lesion extent within any given class (e.g., a compound Class II MO lesion vs. a complex Class II MOD lesion).</w:t>
      </w:r>
      <w:r>
        <w:t xml:space="preserve"> [5, p.14]</w:t>
      </w:r>
    </w:p>
    <w:p>
      <w:pPr>
        <w:pStyle w:val="Heading3"/>
      </w:pPr>
      <w:r>
        <w:t>1.1 Class I — Occlusal Pit-and-Fissure Preparations</w:t>
      </w:r>
    </w:p>
    <w:p>
      <w:pPr>
        <w:spacing w:after="120"/>
      </w:pPr>
      <w:r>
        <w:rPr>
          <w:b w:val="0"/>
          <w:i w:val="0"/>
        </w:rPr>
        <w:t>Class I restorations comprise all pit-and-fissure lesions and are further subdivided by location into three groups sharing the same underlying wall/line-angle/point-angle geometry</w:t>
      </w:r>
      <w:r>
        <w:rPr>
          <w:b w:val="0"/>
          <w:i w:val="0"/>
        </w:rPr>
        <w:t xml:space="preserve"> [3, p.295]</w:t>
      </w:r>
      <w:r>
        <w:rPr>
          <w:b w:val="0"/>
          <w:i w:val="0"/>
        </w:rPr>
        <w:t>:</w:t>
      </w:r>
    </w:p>
    <w:p>
      <w:pPr>
        <w:pStyle w:val="ListBullet"/>
        <w:spacing w:after="60"/>
      </w:pPr>
      <w:r>
        <w:rPr>
          <w:b w:val="0"/>
          <w:i w:val="0"/>
        </w:rPr>
        <w:t>Restorations on the occlusal surfaces of premolars and molars — the principal Class I group, with walls named facial (f), distal (d), lingual (l), mesial (m), and pulpal (p)</w:t>
      </w:r>
    </w:p>
    <w:p>
      <w:pPr>
        <w:pStyle w:val="ListBullet"/>
        <w:spacing w:after="60"/>
      </w:pPr>
      <w:r>
        <w:rPr>
          <w:b w:val="0"/>
          <w:i w:val="0"/>
        </w:rPr>
        <w:t>Restorations on the occlusal two-thirds of the facial and lingual surfaces of molars — geometrically treated the same as Class V preparations (see 1.5), not as a separate design category</w:t>
      </w:r>
    </w:p>
    <w:p>
      <w:pPr>
        <w:pStyle w:val="ListBullet"/>
        <w:spacing w:after="60"/>
      </w:pPr>
      <w:r>
        <w:rPr>
          <w:b w:val="0"/>
          <w:i w:val="0"/>
        </w:rPr>
        <w:t>Restorations on the lingual surface of maxillary incisors (lingual pits) — likewise treated with the same wall geometry as Class V preparations</w:t>
      </w:r>
    </w:p>
    <w:p>
      <w:pPr>
        <w:spacing w:after="120"/>
      </w:pPr>
      <w:r>
        <w:rPr>
          <w:b w:val="0"/>
          <w:i w:val="0"/>
        </w:rPr>
        <w:t>This last point is a genuine, easily-missed nuance: two of Black's three Class I sub-groups do not get their own unique geometry at all — they borrow Class V's wall/line-angle scheme entirely</w:t>
      </w:r>
      <w:r>
        <w:rPr>
          <w:b w:val="0"/>
          <w:i w:val="0"/>
        </w:rPr>
        <w:t xml:space="preserve"> [3, p.295]</w:t>
      </w:r>
      <w:r>
        <w:rPr>
          <w:b w:val="0"/>
          <w:i w:val="0"/>
        </w:rPr>
        <w:t>, which is why Class I is sometimes taught as “all pit-and-fissure lesions” without the sub-group distinction being emphasised.</w:t>
      </w:r>
    </w:p>
    <w:p>
      <w:pPr>
        <w:pStyle w:val="Heading3"/>
      </w:pPr>
      <w:r>
        <w:t>1.2 Class II — Proximal Surfaces of Posterior Teeth</w:t>
      </w:r>
    </w:p>
    <w:p>
      <w:pPr>
        <w:spacing w:after="120"/>
      </w:pPr>
      <w:r>
        <w:rPr>
          <w:b w:val="0"/>
          <w:i w:val="0"/>
        </w:rPr>
        <w:t>A proximo-occlusal (MO) preparation defines the full set of walls, line angles, and point angles for this class; a disto-occlusal (DO) preparation has the identical geometry with mesial/distal terminology swapped, and an MOD preparation has neither a distinct mesial nor distal wall since both proximal surfaces are involved</w:t>
      </w:r>
      <w:r>
        <w:rPr>
          <w:b w:val="0"/>
          <w:i w:val="0"/>
        </w:rPr>
        <w:t xml:space="preserve"> [3, p.296]</w:t>
      </w:r>
      <w:r>
        <w:rPr>
          <w:b w:val="0"/>
          <w:i w:val="0"/>
        </w:rPr>
        <w:t>.</w:t>
      </w:r>
    </w:p>
    <w:p>
      <w:pPr>
        <w:spacing w:after="120"/>
      </w:pPr>
      <w:r>
        <w:rPr>
          <w:b/>
          <w:i w:val="0"/>
        </w:rPr>
        <w:t>Retention form is the defining design decision for Class II</w:t>
      </w:r>
      <w:r>
        <w:rPr>
          <w:b w:val="0"/>
          <w:i w:val="0"/>
        </w:rPr>
        <w:t xml:space="preserve"> and differs by restorative material</w:t>
      </w:r>
      <w:r>
        <w:rPr>
          <w:b w:val="0"/>
          <w:i w:val="0"/>
        </w:rPr>
        <w:t xml:space="preserve"> [3, p.306-307]</w:t>
      </w:r>
      <w:r>
        <w:rPr>
          <w:b w:val="0"/>
          <w:i w:val="0"/>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Material</w:t>
            </w:r>
          </w:p>
        </w:tc>
        <w:tc>
          <w:tcPr>
            <w:tcW w:type="dxa" w:w="2880"/>
          </w:tcPr>
          <w:p>
            <w:r>
              <w:rPr>
                <w:b/>
                <w:sz w:val="18"/>
              </w:rPr>
              <w:t>Wall geometry</w:t>
            </w:r>
          </w:p>
        </w:tc>
        <w:tc>
          <w:tcPr>
            <w:tcW w:type="dxa" w:w="2880"/>
          </w:tcPr>
          <w:p>
            <w:r>
              <w:rPr>
                <w:b/>
                <w:sz w:val="18"/>
              </w:rPr>
              <w:t>Retention mechanism</w:t>
            </w:r>
          </w:p>
        </w:tc>
      </w:tr>
      <w:tr>
        <w:tc>
          <w:tcPr>
            <w:tcW w:type="dxa" w:w="2880"/>
          </w:tcPr>
          <w:p>
            <w:r>
              <w:rPr>
                <w:sz w:val="18"/>
              </w:rPr>
              <w:t>Amalgam (conventional)</w:t>
            </w:r>
          </w:p>
        </w:tc>
        <w:tc>
          <w:tcPr>
            <w:tcW w:type="dxa" w:w="2880"/>
          </w:tcPr>
          <w:p>
            <w:r>
              <w:rPr>
                <w:sz w:val="18"/>
              </w:rPr>
              <w:t>Facial and lingual walls of the occlusal and proximal portions CONVERGE toward the occlusal surface</w:t>
            </w:r>
          </w:p>
        </w:tc>
        <w:tc>
          <w:tcPr>
            <w:tcW w:type="dxa" w:w="2880"/>
          </w:tcPr>
          <w:p>
            <w:r>
              <w:rPr>
                <w:sz w:val="18"/>
              </w:rPr>
              <w:t>Occlusal convergence itself locks the restoration in; the cavosurface angle where proximal walls meet the marginal ridge is a desirable 90° because of this convergence</w:t>
            </w:r>
          </w:p>
        </w:tc>
      </w:tr>
      <w:tr>
        <w:tc>
          <w:tcPr>
            <w:tcW w:type="dxa" w:w="2880"/>
          </w:tcPr>
          <w:p>
            <w:r>
              <w:rPr>
                <w:sz w:val="18"/>
              </w:rPr>
              <w:t>Cast metal inlay/onlay</w:t>
            </w:r>
          </w:p>
        </w:tc>
        <w:tc>
          <w:tcPr>
            <w:tcW w:type="dxa" w:w="2880"/>
          </w:tcPr>
          <w:p>
            <w:r>
              <w:rPr>
                <w:sz w:val="18"/>
              </w:rPr>
              <w:t>Opposing vertical walls DIVERGE outward by only 2-5° per wall from the line of draw</w:t>
            </w:r>
          </w:p>
        </w:tc>
        <w:tc>
          <w:tcPr>
            <w:tcW w:type="dxa" w:w="2880"/>
          </w:tcPr>
          <w:p>
            <w:r>
              <w:rPr>
                <w:sz w:val="18"/>
              </w:rPr>
              <w:t>Near-parallel walls provide frictional resistance/mechanical locking of the luting agent; greater wall height permits (and requires) more divergence within this range</w:t>
            </w:r>
          </w:p>
        </w:tc>
      </w:tr>
      <w:tr>
        <w:tc>
          <w:tcPr>
            <w:tcW w:type="dxa" w:w="2880"/>
          </w:tcPr>
          <w:p>
            <w:r>
              <w:rPr>
                <w:sz w:val="18"/>
              </w:rPr>
              <w:t>Composite resin (adhesive)</w:t>
            </w:r>
          </w:p>
        </w:tc>
        <w:tc>
          <w:tcPr>
            <w:tcW w:type="dxa" w:w="2880"/>
          </w:tcPr>
          <w:p>
            <w:r>
              <w:rPr>
                <w:sz w:val="18"/>
              </w:rPr>
              <w:t>Enamel margins bevelled or flared (&gt;90°) to expose more surface for etching</w:t>
            </w:r>
          </w:p>
        </w:tc>
        <w:tc>
          <w:tcPr>
            <w:tcW w:type="dxa" w:w="2880"/>
          </w:tcPr>
          <w:p>
            <w:r>
              <w:rPr>
                <w:sz w:val="18"/>
              </w:rPr>
              <w:t>Micromechanical bond to etched/primed enamel and dentine; groove retention may still be added on the root surface where GIC-like adjunct retention is wanted</w:t>
            </w:r>
          </w:p>
        </w:tc>
      </w:tr>
    </w:tbl>
    <w:p>
      <w:r>
        <w:rPr>
          <w:i/>
          <w:sz w:val="18"/>
        </w:rPr>
        <w:t>Source: [3, p.306-307]. An occlusal dovetail (simulating a Class I preparation on the surface opposite the proximal involvement) may be added to any of these designs specifically to resist occlusal tipping forces on a single-proximal-surface (MO or DO, not MOD) cavity [3, p.307].</w:t>
      </w:r>
    </w:p>
    <w:p/>
    <w:p>
      <w:pPr>
        <w:spacing w:after="120"/>
      </w:pPr>
      <w:r>
        <w:rPr>
          <w:b w:val="0"/>
          <w:i w:val="0"/>
        </w:rPr>
        <w:t>This directly extends the proximal-box undercut/internal-bevel detail already given in Sub-Module 2.2 (from Pickard's) for the amalgam case specifically — the two sources describe the same underlying convergence/undercut principle from complementary angles.</w:t>
      </w:r>
    </w:p>
    <w:p>
      <w:pPr>
        <w:pStyle w:val="Heading3"/>
      </w:pPr>
      <w:r>
        <w:t>1.3 Class III — Proximal Surfaces of Anterior Teeth (No Incisal Involvement)</w:t>
      </w:r>
    </w:p>
    <w:p>
      <w:pPr>
        <w:spacing w:after="120"/>
      </w:pPr>
      <w:r>
        <w:rPr>
          <w:b w:val="0"/>
          <w:i w:val="0"/>
        </w:rPr>
        <w:t xml:space="preserve">Class III restorations involve the proximal surfaces of anterior teeth without the incisal angle; the faciolingual line angle at the incisal aspect is specifically termed the </w:t>
      </w:r>
      <w:r>
        <w:rPr>
          <w:b w:val="0"/>
          <w:i/>
        </w:rPr>
        <w:t>incisal line angle</w:t>
      </w:r>
      <w:r>
        <w:rPr>
          <w:b w:val="0"/>
          <w:i w:val="0"/>
        </w:rPr>
        <w:t xml:space="preserve">, and the faciolinguoincisal point angle the </w:t>
      </w:r>
      <w:r>
        <w:rPr>
          <w:b w:val="0"/>
          <w:i/>
        </w:rPr>
        <w:t>axioincisal point angle</w:t>
      </w:r>
      <w:r>
        <w:rPr>
          <w:b w:val="0"/>
          <w:i w:val="0"/>
        </w:rPr>
        <w:t xml:space="preserve"> [3, p.296]</w:t>
      </w:r>
      <w:r>
        <w:rPr>
          <w:b w:val="0"/>
          <w:i w:val="0"/>
        </w:rPr>
        <w:t>. Two distinct access routes are available, and the choice between them is a genuine clinical decision rather than a fixed rule:</w:t>
      </w:r>
    </w:p>
    <w:p>
      <w:pPr>
        <w:pStyle w:val="ListBullet"/>
        <w:spacing w:after="60"/>
      </w:pPr>
      <w:r>
        <w:rPr>
          <w:b/>
          <w:i w:val="0"/>
        </w:rPr>
        <w:t>Lingual approach (preferred for larger lesions):</w:t>
      </w:r>
      <w:r>
        <w:rPr>
          <w:b w:val="0"/>
          <w:i w:val="0"/>
        </w:rPr>
        <w:t xml:space="preserve"> initial penetration is made through the marginal ridge near the adjacent tooth (avoiding damage to it), then the outline is extended for access to the carious dentine — this preserves facial enamel, which is more natural and esthetic than any restorative material, so facial extension is avoided unless the caries or missing enamel already involves that surface</w:t>
      </w:r>
      <w:r>
        <w:rPr>
          <w:b w:val="0"/>
          <w:i w:val="0"/>
        </w:rPr>
        <w:t xml:space="preserve"> [4, PDF p.523-524]</w:t>
      </w:r>
      <w:r>
        <w:rPr>
          <w:b w:val="0"/>
          <w:i w:val="0"/>
        </w:rPr>
        <w:t>.</w:t>
      </w:r>
    </w:p>
    <w:p>
      <w:pPr>
        <w:pStyle w:val="ListBullet"/>
        <w:spacing w:after="60"/>
      </w:pPr>
      <w:r>
        <w:rPr>
          <w:b/>
          <w:i w:val="0"/>
        </w:rPr>
        <w:t>Facial approach (used only when the lingual route is unavailable):</w:t>
      </w:r>
      <w:r>
        <w:rPr>
          <w:b w:val="0"/>
          <w:i w:val="0"/>
        </w:rPr>
        <w:t xml:space="preserve"> indicated specifically when the lesion already involves the facial surface, or when an overlapping adjacent tooth physically prevents lingual access. The outline is kept as conservative as possible, deliberately preserving facial enamel even where it is left unsupported — unsupported facial enamel can be internally etched and bonded to composite rather than removed</w:t>
      </w:r>
      <w:r>
        <w:rPr>
          <w:b w:val="0"/>
          <w:i w:val="0"/>
        </w:rPr>
        <w:t xml:space="preserve"> [4, PDF p.524]</w:t>
      </w:r>
      <w:r>
        <w:rPr>
          <w:b w:val="0"/>
          <w:i w:val="0"/>
        </w:rPr>
        <w:t>.</w:t>
      </w:r>
    </w:p>
    <w:p>
      <w:pPr>
        <w:spacing w:after="120"/>
      </w:pPr>
      <w:r>
        <w:rPr>
          <w:b w:val="0"/>
          <w:i w:val="0"/>
        </w:rPr>
        <w:t>For enamel-only lesions, a saucer-shaped preparation with no retentive undercuts is used, relying entirely on adhesion to etched enamel/dentine — both laboratory and 3-year clinical data support the durability of this design</w:t>
      </w:r>
      <w:r>
        <w:rPr>
          <w:b w:val="0"/>
          <w:i w:val="0"/>
        </w:rPr>
        <w:t xml:space="preserve"> [4, PDF p.522]</w:t>
      </w:r>
      <w:r>
        <w:rPr>
          <w:b w:val="0"/>
          <w:i w:val="0"/>
        </w:rPr>
        <w:t>. On bevelling: while some authors advocate bevels to reduce enamel fracture risk and blend shade transition, clinical enamel-bond data show adequate results without bevels, and an in-vitro tracer study found no significant microleakage difference either way — a genuinely unresolved, evidence-based-practice-style question rather than a fixed protocol</w:t>
      </w:r>
      <w:r>
        <w:rPr>
          <w:b w:val="0"/>
          <w:i w:val="0"/>
        </w:rPr>
        <w:t xml:space="preserve"> [4, PDF p.524]</w:t>
      </w:r>
      <w:r>
        <w:rPr>
          <w:b w:val="0"/>
          <w:i w:val="0"/>
        </w:rPr>
        <w:t>. Where maximum esthetics is required, however, a bevel extended 2mm or more is described as acceptable, though bevelling should be avoided where it would compromise cervical enamel into a dentine margin</w:t>
      </w:r>
      <w:r>
        <w:rPr>
          <w:b w:val="0"/>
          <w:i w:val="0"/>
        </w:rPr>
        <w:t xml:space="preserve"> [4, PDF p.524]</w:t>
      </w:r>
      <w:r>
        <w:rPr>
          <w:b w:val="0"/>
          <w:i w:val="0"/>
        </w:rPr>
        <w:t>.</w:t>
      </w:r>
    </w:p>
    <w:p>
      <w:pPr>
        <w:pStyle w:val="Heading3"/>
      </w:pPr>
      <w:r>
        <w:t>1.4 Class IV — Proximal Surfaces of Anterior Teeth WITH Incisal Involvement</w:t>
      </w:r>
    </w:p>
    <w:p>
      <w:pPr>
        <w:spacing w:after="120"/>
      </w:pPr>
      <w:r>
        <w:rPr>
          <w:b w:val="0"/>
          <w:i w:val="0"/>
        </w:rPr>
        <w:t>Class IV restorations are proximal lesions of anterior teeth extending to involve the incisal angle</w:t>
      </w:r>
      <w:r>
        <w:rPr>
          <w:b w:val="0"/>
          <w:i w:val="0"/>
        </w:rPr>
        <w:t xml:space="preserve"> [3, p.296]</w:t>
      </w:r>
      <w:r>
        <w:rPr>
          <w:b w:val="0"/>
          <w:i w:val="0"/>
        </w:rPr>
        <w:t>. The incisal angle requiring restoration typically results from one of two distinct causes, which matters clinically because they carry different patient-age/risk profiles</w:t>
      </w:r>
      <w:r>
        <w:rPr>
          <w:b w:val="0"/>
          <w:i w:val="0"/>
        </w:rPr>
        <w:t xml:space="preserve"> [4, PDF p.518]</w:t>
      </w:r>
      <w:r>
        <w:rPr>
          <w:b w:val="0"/>
          <w:i w:val="0"/>
        </w:rPr>
        <w:t>:</w:t>
      </w:r>
    </w:p>
    <w:p>
      <w:pPr>
        <w:pStyle w:val="ListBullet"/>
        <w:spacing w:after="60"/>
      </w:pPr>
      <w:r>
        <w:rPr>
          <w:b w:val="0"/>
          <w:i w:val="0"/>
        </w:rPr>
        <w:t>Progressive undermining from untreated large interproximal caries, or from replacement of a large pre-existing Class III restoration — a disease-driven cause</w:t>
      </w:r>
    </w:p>
    <w:p>
      <w:pPr>
        <w:pStyle w:val="ListBullet"/>
        <w:spacing w:after="60"/>
      </w:pPr>
      <w:r>
        <w:rPr>
          <w:b w:val="0"/>
          <w:i w:val="0"/>
        </w:rPr>
        <w:t>Traumatic fracture (more often horizontal than vertical), most frequent among children and young adults, with reported incidence of permanent-incisor fracture ranging from 2.4% to 20% across studies — an injury-driven cause</w:t>
      </w:r>
    </w:p>
    <w:p>
      <w:pPr>
        <w:spacing w:after="120"/>
      </w:pPr>
      <w:r>
        <w:rPr>
          <w:b w:val="0"/>
          <w:i w:val="0"/>
        </w:rPr>
        <w:t>Design-wise, Class IV shares its wall/line-angle/point-angle geometry with Class III (the same conventional-preparation labelling scheme extends to the incisal aspect)</w:t>
      </w:r>
      <w:r>
        <w:rPr>
          <w:b w:val="0"/>
          <w:i w:val="0"/>
        </w:rPr>
        <w:t xml:space="preserve"> [3, p.296]</w:t>
      </w:r>
      <w:r>
        <w:rPr>
          <w:b w:val="0"/>
          <w:i w:val="0"/>
        </w:rPr>
        <w:t>, but carries the added retention/support challenge of re-establishing a functional, load-bearing incisal edge — bonded, tooth-coloured (adhesive) restorations are now the default rather than the historically-used amalgam, since Class IV amalgam restorations require far more aggressive, retention-driven tooth reduction to survive occlusal/incisal loading and have fallen out of favour with modern adhesive alternatives.</w:t>
      </w:r>
    </w:p>
    <w:p>
      <w:pPr>
        <w:pStyle w:val="Heading3"/>
      </w:pPr>
      <w:r>
        <w:t>1.5 Class V — Gingival-Third Facial or Lingual Surfaces</w:t>
      </w:r>
    </w:p>
    <w:p>
      <w:pPr>
        <w:spacing w:after="120"/>
      </w:pPr>
      <w:r>
        <w:rPr>
          <w:b w:val="0"/>
          <w:i w:val="0"/>
        </w:rPr>
        <w:t>Class V restorations involve the gingival third of the facial or lingual surface of any tooth (excluding pit-and-fissure lesions, which remain Class I even at this location) and may extend onto the root surface (cementum) as well as enamel</w:t>
      </w:r>
      <w:r>
        <w:rPr>
          <w:b w:val="0"/>
          <w:i w:val="0"/>
        </w:rPr>
        <w:t xml:space="preserve"> [4, PDF p.335]</w:t>
      </w:r>
      <w:r>
        <w:rPr>
          <w:b w:val="0"/>
          <w:i w:val="0"/>
        </w:rPr>
        <w:t>. Design specifics</w:t>
      </w:r>
      <w:r>
        <w:rPr>
          <w:b w:val="0"/>
          <w:i w:val="0"/>
        </w:rPr>
        <w:t xml:space="preserve"> [3, p.557-558]</w:t>
      </w:r>
      <w:r>
        <w:rPr>
          <w:b w:val="0"/>
          <w:i w:val="0"/>
        </w:rPr>
        <w:t>:</w:t>
      </w:r>
    </w:p>
    <w:p>
      <w:pPr>
        <w:pStyle w:val="ListBullet"/>
        <w:spacing w:after="60"/>
      </w:pPr>
      <w:r>
        <w:rPr>
          <w:b w:val="0"/>
          <w:i w:val="0"/>
        </w:rPr>
        <w:t xml:space="preserve">The outline form follows a characteristic </w:t>
      </w:r>
      <w:r>
        <w:rPr>
          <w:b w:val="0"/>
          <w:i/>
        </w:rPr>
        <w:t>curved</w:t>
      </w:r>
      <w:r>
        <w:rPr>
          <w:b w:val="0"/>
          <w:i w:val="0"/>
        </w:rPr>
        <w:t xml:space="preserve"> shape (illustrated directly in the source as a distinct “typical outline form”, not a simple rectangle or oval) that follows the gingival contour rather than a fixed geometric shape.</w:t>
      </w:r>
    </w:p>
    <w:p>
      <w:pPr>
        <w:pStyle w:val="ListBullet"/>
        <w:spacing w:after="60"/>
      </w:pPr>
      <w:r>
        <w:rPr>
          <w:b w:val="0"/>
          <w:i w:val="0"/>
        </w:rPr>
        <w:t>Initial axial wall depth is only 0.2mm into dentine where groove retention is not needed, cut with the bur shank first at a 45° angle to the tooth surface for entry, then perpendicular to the enamel surface as cutting proceeds.</w:t>
      </w:r>
    </w:p>
    <w:p>
      <w:pPr>
        <w:pStyle w:val="ListBullet"/>
        <w:spacing w:after="60"/>
      </w:pPr>
      <w:r>
        <w:rPr>
          <w:b w:val="0"/>
          <w:i w:val="0"/>
        </w:rPr>
        <w:t>A gingival retention groove is usually prepared specifically when EITHER the gingival margin lies on the root surface (cementum, not enamel) OR the preparation is large enough to need additional mechanical retention beyond the adhesive bond alone — i.e., groove retention is now a conditional, not automatic, design feature.</w:t>
      </w:r>
    </w:p>
    <w:p>
      <w:pPr>
        <w:pStyle w:val="ListBullet"/>
        <w:spacing w:after="60"/>
      </w:pPr>
      <w:r>
        <w:rPr>
          <w:b w:val="0"/>
          <w:i w:val="0"/>
        </w:rPr>
        <w:t>For beveled conventional composite designs specifically, the bevel increases retention (greater etched-enamel surface area), decreases microleakage (enhanced bond), and decreases the need for groove retention form — three simultaneous benefits directly tied to the adhesive era's shift away from Black's mechanical-retention-first philosophy.</w:t>
      </w:r>
    </w:p>
    <w:p>
      <w:pPr>
        <w:pStyle w:val="Heading3"/>
      </w:pPr>
      <w:r>
        <w:t>1.6 Class VI — Incisal Edges and Cusp Tips</w:t>
      </w:r>
    </w:p>
    <w:p>
      <w:pPr>
        <w:spacing w:after="120"/>
      </w:pPr>
      <w:r>
        <w:rPr>
          <w:b w:val="0"/>
          <w:i w:val="0"/>
        </w:rPr>
        <w:t>Class VI lesions occur in pits or wear defects on the incisal edges of anterior teeth, or the cusp tips of posterior teeth</w:t>
      </w:r>
      <w:r>
        <w:rPr>
          <w:b w:val="0"/>
          <w:i w:val="0"/>
        </w:rPr>
        <w:t xml:space="preserve"> [4, PDF p.335]</w:t>
      </w:r>
      <w:r>
        <w:rPr>
          <w:b w:val="0"/>
          <w:i w:val="0"/>
        </w:rPr>
        <w:t xml:space="preserve">. This is explicitly the </w:t>
      </w:r>
      <w:r>
        <w:rPr>
          <w:b/>
          <w:i w:val="0"/>
        </w:rPr>
        <w:t>rarest</w:t>
      </w:r>
      <w:r>
        <w:rPr>
          <w:b w:val="0"/>
          <w:i w:val="0"/>
        </w:rPr>
        <w:t xml:space="preserve"> of Black's six classes and was not part of his original four-class system — it was added later</w:t>
      </w:r>
      <w:r>
        <w:rPr>
          <w:b w:val="0"/>
          <w:i w:val="0"/>
        </w:rPr>
        <w:t xml:space="preserve"> [3, p.296]</w:t>
      </w:r>
      <w:r>
        <w:rPr>
          <w:b w:val="0"/>
          <w:i w:val="0"/>
        </w:rPr>
        <w:t>. Design-wise, Sturdevant's states plainly that the walls, line angles, and point angles of Class VI preparations are the same as those already depicted for Class I occlusal pit-and-fissure preparations</w:t>
      </w:r>
      <w:r>
        <w:rPr>
          <w:b w:val="0"/>
          <w:i w:val="0"/>
        </w:rPr>
        <w:t xml:space="preserve"> [3, p.297]</w:t>
      </w:r>
      <w:r>
        <w:rPr>
          <w:b w:val="0"/>
          <w:i w:val="0"/>
        </w:rPr>
        <w:t xml:space="preserve"> — i.e., Class VI does not introduce any genuinely new geometry of its own, only a new anatomical location (incisal edge/cusp tip rather than occlusal fossa) for the same design principles.</w:t>
      </w:r>
    </w:p>
    <w:p>
      <w:pPr>
        <w:spacing w:after="120"/>
      </w:pPr>
      <w:r>
        <w:rPr>
          <w:b w:val="0"/>
          <w:i w:val="0"/>
        </w:rPr>
        <w:t xml:space="preserve">A specific, clinically important design point directly stated for Class VI: these preparations are described and illustrated as having </w:t>
      </w:r>
      <w:r>
        <w:rPr>
          <w:b w:val="0"/>
          <w:i/>
        </w:rPr>
        <w:t>“no mechanical, or undercut, retention; they are for bonded, tooth-colored restorations”</w:t>
      </w:r>
      <w:r>
        <w:rPr>
          <w:b w:val="0"/>
          <w:i w:val="0"/>
        </w:rPr>
        <w:t xml:space="preserve"> [4, PDF p.335]</w:t>
      </w:r>
      <w:r>
        <w:rPr>
          <w:b w:val="0"/>
          <w:i w:val="0"/>
        </w:rPr>
        <w:t xml:space="preserve"> — Class VI is presented as an adhesive-only design category from the outset, with no conventional (mechanically-retentive) design variant described at all, unlike every other class above.</w:t>
      </w:r>
    </w:p>
    <w:p>
      <w:r>
        <w:br w:type="page"/>
      </w:r>
    </w:p>
    <w:p>
      <w:pPr>
        <w:pStyle w:val="Heading2"/>
      </w:pPr>
      <w:r>
        <w:t>2. Why an Alternative to Black's Classification Emerged</w:t>
      </w:r>
    </w:p>
    <w:p>
      <w:pPr>
        <w:spacing w:after="120"/>
      </w:pPr>
      <w:r>
        <w:rPr>
          <w:b w:val="0"/>
          <w:i w:val="0"/>
        </w:rPr>
        <w:t xml:space="preserve">Mount's is explicit and direct in its critique of continued reliance on Black's system as a design-linked classification: </w:t>
      </w:r>
      <w:r>
        <w:rPr>
          <w:b w:val="0"/>
          <w:i/>
        </w:rPr>
        <w:t>“in this text it is suggested that the continued use of the Black classification system is no longer appropriate”</w:t>
      </w:r>
      <w:r>
        <w:rPr>
          <w:b w:val="0"/>
          <w:i w:val="0"/>
        </w:rPr>
        <w:t>, while still noting that students must understand its fundamentals because of its profound historical influence</w:t>
      </w:r>
      <w:r>
        <w:rPr>
          <w:b w:val="0"/>
          <w:i w:val="0"/>
        </w:rPr>
        <w:t xml:space="preserve"> [1, p.82]</w:t>
      </w:r>
      <w:r>
        <w:rPr>
          <w:b w:val="0"/>
          <w:i w:val="0"/>
        </w:rPr>
        <w:t>. Three specific historical factors are identified as having tied Black's classification to unnecessarily large, prescribed cavity forms</w:t>
      </w:r>
      <w:r>
        <w:rPr>
          <w:b w:val="0"/>
          <w:i w:val="0"/>
        </w:rPr>
        <w:t xml:space="preserve"> [1, p.82]</w:t>
      </w:r>
      <w:r>
        <w:rPr>
          <w:b w:val="0"/>
          <w:i w:val="0"/>
        </w:rPr>
        <w:t>:</w:t>
      </w:r>
    </w:p>
    <w:p>
      <w:pPr>
        <w:pStyle w:val="ListNumber"/>
        <w:spacing w:after="60"/>
      </w:pPr>
      <w:r>
        <w:rPr>
          <w:b w:val="0"/>
          <w:i w:val="0"/>
        </w:rPr>
        <w:t>The classification, cavity design, and preparation approach were all created before radiographs or clinical magnification existed, so lesions were only detected once visible to the naked eye — i.e., already large by modern standards</w:t>
      </w:r>
    </w:p>
    <w:p>
      <w:pPr>
        <w:pStyle w:val="ListNumber"/>
        <w:spacing w:after="60"/>
      </w:pPr>
      <w:r>
        <w:rPr>
          <w:b w:val="0"/>
          <w:i w:val="0"/>
        </w:rPr>
        <w:t>There was no understood method of non-surgical caries control (arrest or reversal) available at the time — debridement and restoration were the only alternatives to unchecked progression or extraction</w:t>
      </w:r>
    </w:p>
    <w:p>
      <w:pPr>
        <w:pStyle w:val="ListNumber"/>
        <w:spacing w:after="60"/>
      </w:pPr>
      <w:r>
        <w:rPr>
          <w:b w:val="0"/>
          <w:i w:val="0"/>
        </w:rPr>
        <w:t>The instruments available for cavity preparation were limited, and fine detail was hard to see without modern illumination/magnification</w:t>
      </w:r>
    </w:p>
    <w:p>
      <w:pPr>
        <w:spacing w:after="120"/>
      </w:pPr>
      <w:r>
        <w:rPr>
          <w:b w:val="0"/>
          <w:i w:val="0"/>
        </w:rPr>
        <w:t>Black's own recommended principles followed directly from these constraints: extend for access and visibility; remove all demineralized enamel/dentine since remineralization was not understood as possible; extend the outline for restoration bulk/strength; create mechanical interlocks for retention (no ion-exchange or other adhesion existed); and extend to ‘self-cleansing’ areas — the historical concept of ‘extension for prevention’</w:t>
      </w:r>
      <w:r>
        <w:rPr>
          <w:b w:val="0"/>
          <w:i w:val="0"/>
        </w:rPr>
        <w:t xml:space="preserve"> [1, p.82]</w:t>
      </w:r>
      <w:r>
        <w:rPr>
          <w:b w:val="0"/>
          <w:i w:val="0"/>
        </w:rPr>
        <w:t>. Mount's argues that modern advances — earlier caries diagnosis, effective disease control, remineralization of early lesions, adhesive/bioactive restorative materials, better illumination/magnification, and smaller instruments — have removed the original justification for these design principles</w:t>
      </w:r>
      <w:r>
        <w:rPr>
          <w:b w:val="0"/>
          <w:i w:val="0"/>
        </w:rPr>
        <w:t xml:space="preserve"> [1, p.82]</w:t>
      </w:r>
      <w:r>
        <w:rPr>
          <w:b w:val="0"/>
          <w:i w:val="0"/>
        </w:rPr>
        <w:t>, motivating the alternative systems described below.</w:t>
      </w:r>
    </w:p>
    <w:p>
      <w:pPr>
        <w:pStyle w:val="Heading2"/>
      </w:pPr>
      <w:r>
        <w:t>3. The Mount &amp; Hume Site-and-Size Classification</w:t>
      </w:r>
    </w:p>
    <w:p>
      <w:pPr>
        <w:spacing w:before="80" w:after="80"/>
      </w:pPr>
      <w:r>
        <w:rPr>
          <w:b/>
        </w:rPr>
        <w:t xml:space="preserve">DEFINITION — Site-and-Size classification: </w:t>
      </w:r>
      <w:r>
        <w:rPr>
          <w:b w:val="0"/>
          <w:i w:val="0"/>
        </w:rPr>
        <w:t>a system, first proposed by Mount and Hume in 1997 as a ‘revised classification system for carious lesions by site and size’, that describes any lesion of the tooth crown or exposed root surface by two independent parameters — the anatomical Site at which it originates, and its Size (extent of progression) — without prescribing any specific cavity form, deliberately breaking the conceptual link between detection and a fixed prescribed cavity design that characterizes Black's system.</w:t>
      </w:r>
      <w:r>
        <w:t xml:space="preserve"> [1, p.83]</w:t>
      </w:r>
    </w:p>
    <w:p>
      <w:pPr>
        <w:pStyle w:val="Heading3"/>
      </w:pPr>
      <w:r>
        <w:t>3.1 The Three Sites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Site</w:t>
            </w:r>
          </w:p>
        </w:tc>
        <w:tc>
          <w:tcPr>
            <w:tcW w:type="dxa" w:w="4320"/>
          </w:tcPr>
          <w:p>
            <w:r>
              <w:rPr>
                <w:b/>
                <w:sz w:val="18"/>
              </w:rPr>
              <w:t>Location</w:t>
            </w:r>
          </w:p>
        </w:tc>
      </w:tr>
      <w:tr>
        <w:tc>
          <w:tcPr>
            <w:tcW w:type="dxa" w:w="4320"/>
          </w:tcPr>
          <w:p>
            <w:r>
              <w:rPr>
                <w:sz w:val="18"/>
              </w:rPr>
              <w:t>Site 1</w:t>
            </w:r>
          </w:p>
        </w:tc>
        <w:tc>
          <w:tcPr>
            <w:tcW w:type="dxa" w:w="4320"/>
          </w:tcPr>
          <w:p>
            <w:r>
              <w:rPr>
                <w:sz w:val="18"/>
              </w:rPr>
              <w:t>Pits, fissures, and enamel defects on occlusal surfaces of posterior teeth; cingulum pits on anterior teeth; or other smooth surfaces</w:t>
            </w:r>
          </w:p>
        </w:tc>
      </w:tr>
      <w:tr>
        <w:tc>
          <w:tcPr>
            <w:tcW w:type="dxa" w:w="4320"/>
          </w:tcPr>
          <w:p>
            <w:r>
              <w:rPr>
                <w:sz w:val="18"/>
              </w:rPr>
              <w:t>Site 2</w:t>
            </w:r>
          </w:p>
        </w:tc>
        <w:tc>
          <w:tcPr>
            <w:tcW w:type="dxa" w:w="4320"/>
          </w:tcPr>
          <w:p>
            <w:r>
              <w:rPr>
                <w:sz w:val="18"/>
              </w:rPr>
              <w:t>Approximal surfaces, in relation to areas in contact with adjacent teeth (both anterior and posterior teeth)</w:t>
            </w:r>
          </w:p>
        </w:tc>
      </w:tr>
      <w:tr>
        <w:tc>
          <w:tcPr>
            <w:tcW w:type="dxa" w:w="4320"/>
          </w:tcPr>
          <w:p>
            <w:r>
              <w:rPr>
                <w:sz w:val="18"/>
              </w:rPr>
              <w:t>Site 3</w:t>
            </w:r>
          </w:p>
        </w:tc>
        <w:tc>
          <w:tcPr>
            <w:tcW w:type="dxa" w:w="4320"/>
          </w:tcPr>
          <w:p>
            <w:r>
              <w:rPr>
                <w:sz w:val="18"/>
              </w:rPr>
              <w:t>The cervical one-third of the crown, or (following gingival recession) the exposed root surface</w:t>
            </w:r>
          </w:p>
        </w:tc>
      </w:tr>
    </w:tbl>
    <w:p>
      <w:r>
        <w:rPr>
          <w:i/>
          <w:sz w:val="18"/>
        </w:rPr>
        <w:t>Source: [1, p.83]. These three sites broadly parallel Black's occlusal/proximal/cervical origin groupings (Class I &amp; VI ≈ Site 1; Class II, III &amp; IV ≈ Site 2; Class V ≈ Site 3), but without Black's further II/III/IV subdivision by tooth type and incisal involvement — that distinction is described as 'made redundant by advances in the quality and availability of restorative materials' [1, p.83].</w:t>
      </w:r>
    </w:p>
    <w:p/>
    <w:p>
      <w:pPr>
        <w:pStyle w:val="Heading3"/>
      </w:pPr>
      <w:r>
        <w:t>3.2 The Five Sizes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Size</w:t>
            </w:r>
          </w:p>
        </w:tc>
        <w:tc>
          <w:tcPr>
            <w:tcW w:type="dxa" w:w="4320"/>
          </w:tcPr>
          <w:p>
            <w:r>
              <w:rPr>
                <w:b/>
                <w:sz w:val="18"/>
              </w:rPr>
              <w:t>Definition</w:t>
            </w:r>
          </w:p>
        </w:tc>
      </w:tr>
      <w:tr>
        <w:tc>
          <w:tcPr>
            <w:tcW w:type="dxa" w:w="4320"/>
          </w:tcPr>
          <w:p>
            <w:r>
              <w:rPr>
                <w:sz w:val="18"/>
              </w:rPr>
              <w:t>Size 0</w:t>
            </w:r>
          </w:p>
        </w:tc>
        <w:tc>
          <w:tcPr>
            <w:tcW w:type="dxa" w:w="4320"/>
          </w:tcPr>
          <w:p>
            <w:r>
              <w:rPr>
                <w:sz w:val="18"/>
              </w:rPr>
              <w:t>Earliest identifiable lesion, first stages of demineralization only — to be recorded and, where possible, arrested/remineralized rather than restored. May be further coded as progressing [P], non-progressing [N], or reversed [R]</w:t>
            </w:r>
          </w:p>
        </w:tc>
      </w:tr>
      <w:tr>
        <w:tc>
          <w:tcPr>
            <w:tcW w:type="dxa" w:w="4320"/>
          </w:tcPr>
          <w:p>
            <w:r>
              <w:rPr>
                <w:sz w:val="18"/>
              </w:rPr>
              <w:t>Size 1</w:t>
            </w:r>
          </w:p>
        </w:tc>
        <w:tc>
          <w:tcPr>
            <w:tcW w:type="dxa" w:w="4320"/>
          </w:tcPr>
          <w:p>
            <w:r>
              <w:rPr>
                <w:sz w:val="18"/>
              </w:rPr>
              <w:t>Minimal surface cavitation with dentine involvement just beyond the point remineralization alone can manage — some restoration required to restore the smooth surface and prevent further plaque accumulation</w:t>
            </w:r>
          </w:p>
        </w:tc>
      </w:tr>
      <w:tr>
        <w:tc>
          <w:tcPr>
            <w:tcW w:type="dxa" w:w="4320"/>
          </w:tcPr>
          <w:p>
            <w:r>
              <w:rPr>
                <w:sz w:val="18"/>
              </w:rPr>
              <w:t>Size 2</w:t>
            </w:r>
          </w:p>
        </w:tc>
        <w:tc>
          <w:tcPr>
            <w:tcW w:type="dxa" w:w="4320"/>
          </w:tcPr>
          <w:p>
            <w:r>
              <w:rPr>
                <w:sz w:val="18"/>
              </w:rPr>
              <w:t>Moderate dentine involvement; remaining tooth structure is sufficiently strong to support a limited restoration</w:t>
            </w:r>
          </w:p>
        </w:tc>
      </w:tr>
      <w:tr>
        <w:tc>
          <w:tcPr>
            <w:tcW w:type="dxa" w:w="4320"/>
          </w:tcPr>
          <w:p>
            <w:r>
              <w:rPr>
                <w:sz w:val="18"/>
              </w:rPr>
              <w:t>Size 3</w:t>
            </w:r>
          </w:p>
        </w:tc>
        <w:tc>
          <w:tcPr>
            <w:tcW w:type="dxa" w:w="4320"/>
          </w:tcPr>
          <w:p>
            <w:r>
              <w:rPr>
                <w:sz w:val="18"/>
              </w:rPr>
              <w:t>Beyond moderate dentine involvement; remaining tooth structure is weakened to the extent that cusps/incisal edges may split or are likely to fail under occlusal load if left exposed — cavity design must be modified so the restoration itself supports remaining tooth structure</w:t>
            </w:r>
          </w:p>
        </w:tc>
      </w:tr>
      <w:tr>
        <w:tc>
          <w:tcPr>
            <w:tcW w:type="dxa" w:w="4320"/>
          </w:tcPr>
          <w:p>
            <w:r>
              <w:rPr>
                <w:sz w:val="18"/>
              </w:rPr>
              <w:t>Size 4</w:t>
            </w:r>
          </w:p>
        </w:tc>
        <w:tc>
          <w:tcPr>
            <w:tcW w:type="dxa" w:w="4320"/>
          </w:tcPr>
          <w:p>
            <w:r>
              <w:rPr>
                <w:sz w:val="18"/>
              </w:rPr>
              <w:t>Extensive caries or bulk loss of tooth structure has already occurred (e.g., a complete cusp or incisal edge already lost)</w:t>
            </w:r>
          </w:p>
        </w:tc>
      </w:tr>
    </w:tbl>
    <w:p>
      <w:r>
        <w:rPr>
          <w:i/>
          <w:sz w:val="18"/>
        </w:rPr>
        <w:t>Source: [1, p.83-84]. The system explicitly also applies to non-carious lesions (corrosion/abrasion/abfraction, which commonly occur at Site 3) and to trauma, not only to caries [1, p.84].</w:t>
      </w:r>
    </w:p>
    <w:p/>
    <w:p>
      <w:pPr>
        <w:spacing w:after="120"/>
      </w:pPr>
      <w:r>
        <w:rPr>
          <w:b w:val="0"/>
          <w:i w:val="0"/>
        </w:rPr>
        <w:t xml:space="preserve">A lesion is therefore described with a two-digit code, e.g. </w:t>
      </w:r>
      <w:r>
        <w:rPr>
          <w:b/>
          <w:i w:val="0"/>
        </w:rPr>
        <w:t>1.1</w:t>
      </w:r>
      <w:r>
        <w:rPr>
          <w:b w:val="0"/>
          <w:i w:val="0"/>
        </w:rPr>
        <w:t xml:space="preserve"> = Site 1, Size 1 (a small defective pit with early caries in a section of a fissure). The stated advantages over Black's system are that it more accurately records disease </w:t>
      </w:r>
      <w:r>
        <w:rPr>
          <w:b w:val="0"/>
          <w:i/>
        </w:rPr>
        <w:t>stage</w:t>
      </w:r>
      <w:r>
        <w:rPr>
          <w:b w:val="0"/>
          <w:i w:val="0"/>
        </w:rPr>
        <w:t xml:space="preserve"> rather than only location; it guides restorative decisions relevant to current materials/understanding; and it deliberately does not indicate or require any specific restorative material</w:t>
      </w:r>
      <w:r>
        <w:rPr>
          <w:b w:val="0"/>
          <w:i w:val="0"/>
        </w:rPr>
        <w:t xml:space="preserve"> [1, p.84]</w:t>
      </w:r>
      <w:r>
        <w:rPr>
          <w:b w:val="0"/>
          <w:i w:val="0"/>
        </w:rPr>
        <w:t>.</w:t>
      </w:r>
    </w:p>
    <w:p>
      <w:pPr>
        <w:pStyle w:val="Heading3"/>
      </w:pPr>
      <w:r>
        <w:t>3.3 Class-by-Class (Site-by-Site) Design Principles</w:t>
      </w:r>
    </w:p>
    <w:p>
      <w:pPr>
        <w:spacing w:after="120"/>
      </w:pPr>
      <w:r>
        <w:rPr>
          <w:b/>
          <w:i w:val="0"/>
        </w:rPr>
        <w:t>Site 1 (Size 1–4) — occlusal/pit-fissure lesions (≈ Black's Class I/VI):</w:t>
      </w:r>
    </w:p>
    <w:p>
      <w:pPr>
        <w:pStyle w:val="ListBullet"/>
        <w:spacing w:after="60"/>
      </w:pPr>
      <w:r>
        <w:rPr>
          <w:b w:val="0"/>
          <w:i w:val="0"/>
        </w:rPr>
        <w:t xml:space="preserve">Size 1 (1.1): access via a fine tapered diamond or tungsten-carbide bur; develop clean walls around the lesion only — the floor is deliberately left untouched even if demineralized, since sealing and isolation alone will allow it to remineralize and heal. Modern adhesive materials allow </w:t>
      </w:r>
      <w:r>
        <w:rPr>
          <w:b w:val="0"/>
          <w:i/>
        </w:rPr>
        <w:t>selective</w:t>
      </w:r>
      <w:r>
        <w:rPr>
          <w:b w:val="0"/>
          <w:i w:val="0"/>
        </w:rPr>
        <w:t xml:space="preserve"> removal of only the affected pits/fissure sections, sealing the remainder of the fissure system, rather than Black's mandatory trenching-out of the entire fissure (which was necessary only because amalgam cannot be terminated part-way along a fissure without leaving a high-risk interface)</w:t>
      </w:r>
      <w:r>
        <w:rPr>
          <w:b w:val="0"/>
          <w:i w:val="0"/>
        </w:rPr>
        <w:t xml:space="preserve"> [1, p.88]</w:t>
      </w:r>
      <w:r>
        <w:rPr>
          <w:b w:val="0"/>
          <w:i w:val="0"/>
        </w:rPr>
        <w:t>. Glass-ionomer cement is the preferred restorative material for such minor lesions</w:t>
      </w:r>
      <w:r>
        <w:rPr>
          <w:b w:val="0"/>
          <w:i w:val="0"/>
        </w:rPr>
        <w:t xml:space="preserve"> [1, p.88]</w:t>
      </w:r>
      <w:r>
        <w:rPr>
          <w:b w:val="0"/>
          <w:i w:val="0"/>
        </w:rPr>
        <w:t>.</w:t>
      </w:r>
    </w:p>
    <w:p>
      <w:pPr>
        <w:pStyle w:val="ListBullet"/>
        <w:spacing w:after="60"/>
      </w:pPr>
      <w:r>
        <w:rPr>
          <w:b w:val="0"/>
          <w:i w:val="0"/>
        </w:rPr>
        <w:t>Size 2 (1.2): remove caries from the walls with small round burs, but removal of all affected dentine from the floor remains contraindicated; unsupported occlusal enamel is retained provided margins are sound and free of microcracks, since a glass-ionomer base provides adequate support/reinforcement</w:t>
      </w:r>
      <w:r>
        <w:rPr>
          <w:b w:val="0"/>
          <w:i w:val="0"/>
        </w:rPr>
        <w:t xml:space="preserve"> [1, p.90]</w:t>
      </w:r>
      <w:r>
        <w:rPr>
          <w:b w:val="0"/>
          <w:i w:val="0"/>
        </w:rPr>
        <w:t>.</w:t>
      </w:r>
    </w:p>
    <w:p>
      <w:pPr>
        <w:pStyle w:val="ListBullet"/>
        <w:spacing w:after="60"/>
      </w:pPr>
      <w:r>
        <w:rPr>
          <w:b w:val="0"/>
          <w:i w:val="0"/>
        </w:rPr>
        <w:t>Size 3 (1.3): by this size there is extensive undermining or breakdown of at least one cusp, with a possible split developing at its base. An indirect pulp cap may be needed if the lesion is new/active. Any cusp with a column of sound dentine support and more than half of its medial-facing cuspal incline still present can remain unprotected; an undermined cusp subject to occlusal load must be bevelled to reduce lateral load and, if amalgam is used, requires added retentive grooves/ditches in sound remaining dentine</w:t>
      </w:r>
      <w:r>
        <w:rPr>
          <w:b w:val="0"/>
          <w:i w:val="0"/>
        </w:rPr>
        <w:t xml:space="preserve"> [1, p.91]</w:t>
      </w:r>
      <w:r>
        <w:rPr>
          <w:b w:val="0"/>
          <w:i w:val="0"/>
        </w:rPr>
        <w:t>.</w:t>
      </w:r>
    </w:p>
    <w:p>
      <w:pPr>
        <w:pStyle w:val="ListBullet"/>
        <w:spacing w:after="60"/>
      </w:pPr>
      <w:r>
        <w:rPr>
          <w:b w:val="0"/>
          <w:i w:val="0"/>
        </w:rPr>
        <w:t>Size 4 (1.4): complete loss of one or more cusps has occurred; restoration with a plastic material becomes complex and an indirect extracoronal restoration (full or three-quarter crown) is often required subsequently. Where amalgam is used, mechanical interlocks (ditches/grooves) in the gingival area are essential, since so little sound coronal structure remains to rely on any adhesive bond alone</w:t>
      </w:r>
      <w:r>
        <w:rPr>
          <w:b w:val="0"/>
          <w:i w:val="0"/>
        </w:rPr>
        <w:t xml:space="preserve"> [1, p.92]</w:t>
      </w:r>
      <w:r>
        <w:rPr>
          <w:b w:val="0"/>
          <w:i w:val="0"/>
        </w:rPr>
        <w:t>.</w:t>
      </w:r>
    </w:p>
    <w:p>
      <w:pPr>
        <w:spacing w:after="120"/>
      </w:pPr>
      <w:r>
        <w:rPr>
          <w:b/>
          <w:i w:val="0"/>
        </w:rPr>
        <w:t>Site 2 (Size 1–4) — proximal-surface lesions (≈ Black's Class II/III/IV):</w:t>
      </w:r>
    </w:p>
    <w:p>
      <w:pPr>
        <w:pStyle w:val="ListBullet"/>
        <w:spacing w:after="60"/>
      </w:pPr>
      <w:r>
        <w:rPr>
          <w:b w:val="0"/>
          <w:i w:val="0"/>
        </w:rPr>
        <w:t>Size 1 (2.1) has three distinct access approaches depending on lesion position, filling in further detail on the proximal-access repertoire beyond the standard proximal box already noted in Sub-Module 2.2:</w:t>
      </w:r>
    </w:p>
    <w:p>
      <w:pPr>
        <w:pStyle w:val="ListBullet2"/>
        <w:spacing w:after="60"/>
      </w:pPr>
      <w:r>
        <w:rPr>
          <w:b w:val="0"/>
          <w:i w:val="0"/>
        </w:rPr>
        <w:t>Internal occlusal fossa approach (tunnel cavity): enter the occlusal fossa just medial to the marginal ridge, angling the bur toward the proximal lesion and creating a funnel-shaped, roughly triangular access cavity that conserves the marginal ridge; removal of all affected dentine on the axial wall is explicitly described as unnecessary, particularly where there is pulp-exposure risk</w:t>
      </w:r>
      <w:r>
        <w:rPr>
          <w:b w:val="0"/>
          <w:i w:val="0"/>
        </w:rPr>
        <w:t xml:space="preserve"> [1, p.99]</w:t>
      </w:r>
      <w:r>
        <w:rPr>
          <w:b w:val="0"/>
          <w:i w:val="0"/>
        </w:rPr>
        <w:t>.</w:t>
      </w:r>
    </w:p>
    <w:p>
      <w:pPr>
        <w:pStyle w:val="ListBullet2"/>
        <w:spacing w:after="60"/>
      </w:pPr>
      <w:r>
        <w:rPr>
          <w:b w:val="0"/>
          <w:i w:val="0"/>
        </w:rPr>
        <w:t>Slot cavity: used specifically when less than 2.0mm of marginal ridge remains occluso-gingivally, or the ridge is already cracked/weak — approach directly through the marginal ridge to create a small box form limited strictly to the demineralized enamel, often preserving contact with the adjacent tooth on the facial or lingual margin</w:t>
      </w:r>
      <w:r>
        <w:rPr>
          <w:b w:val="0"/>
          <w:i w:val="0"/>
        </w:rPr>
        <w:t xml:space="preserve"> [1, p.100]</w:t>
      </w:r>
      <w:r>
        <w:rPr>
          <w:b w:val="0"/>
          <w:i w:val="0"/>
        </w:rPr>
        <w:t>.</w:t>
      </w:r>
    </w:p>
    <w:p>
      <w:pPr>
        <w:pStyle w:val="ListBullet2"/>
        <w:spacing w:after="60"/>
      </w:pPr>
      <w:r>
        <w:rPr>
          <w:b w:val="0"/>
          <w:i w:val="0"/>
        </w:rPr>
        <w:t>Proximal approach: where a larger adjacent Site 2 cavity already provides access/visibility to a smaller Size 1 lesion on the neighbouring proximal surface, that lesion can be restored directly through the existing access without involving the marginal ridge or occlusal fossa at all</w:t>
      </w:r>
      <w:r>
        <w:rPr>
          <w:b w:val="0"/>
          <w:i w:val="0"/>
        </w:rPr>
        <w:t xml:space="preserve"> [1, p.100]</w:t>
      </w:r>
      <w:r>
        <w:rPr>
          <w:b w:val="0"/>
          <w:i w:val="0"/>
        </w:rPr>
        <w:t>.</w:t>
      </w:r>
    </w:p>
    <w:p>
      <w:pPr>
        <w:pStyle w:val="ListBullet"/>
        <w:spacing w:after="60"/>
      </w:pPr>
      <w:r>
        <w:rPr>
          <w:b w:val="0"/>
          <w:i w:val="0"/>
        </w:rPr>
        <w:t>Size 2 (2.2): more extensive enamel/dentine involvement with the marginal ridge weakened or broken down, but sufficient remaining tooth structure to support the restoration after preparation — explicitly noted as potentially “a replacement for a small Black Class II or Class III restoration”, i.e. where the two systems' outputs converge</w:t>
      </w:r>
      <w:r>
        <w:rPr>
          <w:b w:val="0"/>
          <w:i w:val="0"/>
        </w:rPr>
        <w:t xml:space="preserve"> [1, p.93]</w:t>
      </w:r>
      <w:r>
        <w:rPr>
          <w:b w:val="0"/>
          <w:i w:val="0"/>
        </w:rPr>
        <w:t>.</w:t>
      </w:r>
    </w:p>
    <w:p>
      <w:pPr>
        <w:pStyle w:val="ListBullet"/>
        <w:spacing w:after="60"/>
      </w:pPr>
      <w:r>
        <w:rPr>
          <w:b w:val="0"/>
          <w:i w:val="0"/>
        </w:rPr>
        <w:t>Size 3 (2.3) and Size 4 (2.4): parallel Site 1's Size 3/4 logic — cuspal protection (posterior) or incisal-corner support (anterior) becomes necessary, and by Size 4 complete loss of a cusp or incisal edge has occurred, again converging conceptually with Black's Class IV (anterior, incisal-edge-involving) design considerations</w:t>
      </w:r>
      <w:r>
        <w:rPr>
          <w:b w:val="0"/>
          <w:i w:val="0"/>
        </w:rPr>
        <w:t xml:space="preserve"> [1, p.93]</w:t>
      </w:r>
      <w:r>
        <w:rPr>
          <w:b w:val="0"/>
          <w:i w:val="0"/>
        </w:rPr>
        <w:t>.</w:t>
      </w:r>
    </w:p>
    <w:p>
      <w:pPr>
        <w:spacing w:after="120"/>
      </w:pPr>
      <w:r>
        <w:rPr>
          <w:b/>
          <w:i w:val="0"/>
        </w:rPr>
        <w:t>Site 3 (Size 0–4) — cervical/root-surface lesions (≈ Black's Class V), plus non-carious lesions:</w:t>
      </w:r>
    </w:p>
    <w:p>
      <w:pPr>
        <w:pStyle w:val="ListBullet"/>
        <w:spacing w:after="60"/>
      </w:pPr>
      <w:r>
        <w:rPr>
          <w:b w:val="0"/>
          <w:i w:val="0"/>
        </w:rPr>
        <w:t xml:space="preserve">Site 3 explicitly has </w:t>
      </w:r>
      <w:r>
        <w:rPr>
          <w:b w:val="0"/>
          <w:i/>
        </w:rPr>
        <w:t>no equivalent Size-0 category in the Black classification</w:t>
      </w:r>
      <w:r>
        <w:rPr>
          <w:b w:val="0"/>
          <w:i w:val="0"/>
        </w:rPr>
        <w:t xml:space="preserve"> — Black's system has no mechanism for recording an early, non-cavitated cervical lesion under active monitoring, which the Site-and-Size system does via 3.0</w:t>
      </w:r>
      <w:r>
        <w:rPr>
          <w:b w:val="0"/>
          <w:i w:val="0"/>
        </w:rPr>
        <w:t xml:space="preserve"> [1, p.109]</w:t>
      </w:r>
      <w:r>
        <w:rPr>
          <w:b w:val="0"/>
          <w:i w:val="0"/>
        </w:rPr>
        <w:t>.</w:t>
      </w:r>
    </w:p>
    <w:p>
      <w:pPr>
        <w:pStyle w:val="ListBullet"/>
        <w:spacing w:after="60"/>
      </w:pPr>
      <w:r>
        <w:rPr>
          <w:b w:val="0"/>
          <w:i w:val="0"/>
        </w:rPr>
        <w:t>A Site 3 lesion approached from the occlusal aspect (rather than facially/lingually) is instead reclassified as a Site 2 lesion — the site label depends on the actual line of clinical access used, not solely on anatomical location, a distinction Black's Class II/V split does not make</w:t>
      </w:r>
      <w:r>
        <w:rPr>
          <w:b w:val="0"/>
          <w:i w:val="0"/>
        </w:rPr>
        <w:t xml:space="preserve"> [1, p.109]</w:t>
      </w:r>
      <w:r>
        <w:rPr>
          <w:b w:val="0"/>
          <w:i w:val="0"/>
        </w:rPr>
        <w:t>.</w:t>
      </w:r>
    </w:p>
    <w:p>
      <w:pPr>
        <w:pStyle w:val="ListBullet"/>
        <w:spacing w:after="60"/>
      </w:pPr>
      <w:r>
        <w:rPr>
          <w:b w:val="0"/>
          <w:i w:val="0"/>
        </w:rPr>
        <w:t>Both carious and non-carious lesions (abrasion, erosion, abfraction, attrition) are deliberately included in the same Site 3 framework, since their restorative design principles are considered equivalent — a scope Black's caries-only classification does not cover at all</w:t>
      </w:r>
      <w:r>
        <w:rPr>
          <w:b w:val="0"/>
          <w:i w:val="0"/>
        </w:rPr>
        <w:t xml:space="preserve"> [1, p.109]</w:t>
      </w:r>
      <w:r>
        <w:rPr>
          <w:b w:val="0"/>
          <w:i w:val="0"/>
        </w:rPr>
        <w:t>.</w:t>
      </w:r>
    </w:p>
    <w:p>
      <w:r>
        <w:br w:type="page"/>
      </w:r>
    </w:p>
    <w:p>
      <w:pPr>
        <w:pStyle w:val="Heading2"/>
      </w:pPr>
      <w:r>
        <w:t>4. The ICDAS / ICCMS Visual-Scoring System</w:t>
      </w:r>
    </w:p>
    <w:p>
      <w:pPr>
        <w:spacing w:after="120"/>
      </w:pPr>
      <w:r>
        <w:rPr>
          <w:b w:val="0"/>
          <w:i w:val="0"/>
        </w:rPr>
        <w:t xml:space="preserve">The International Caries Detection and Assessment System (ICDAS) is a different kind of system again — not a cavity-design classification like Black's or Site-and-Size, but a </w:t>
      </w:r>
      <w:r>
        <w:rPr>
          <w:b/>
          <w:i w:val="0"/>
        </w:rPr>
        <w:t>coded visual-scoring system</w:t>
      </w:r>
      <w:r>
        <w:rPr>
          <w:b w:val="0"/>
          <w:i w:val="0"/>
        </w:rPr>
        <w:t xml:space="preserve"> for describing lesion severity for epidemiological, research, and educational consistency purposes</w:t>
      </w:r>
      <w:r>
        <w:rPr>
          <w:b w:val="0"/>
          <w:i w:val="0"/>
        </w:rPr>
        <w:t xml:space="preserve"> [1, p.84]</w:t>
      </w:r>
      <w:r>
        <w:rPr>
          <w:b w:val="0"/>
          <w:i w:val="0"/>
        </w:rPr>
        <w:t>. It was developed in 2002 specifically because better-quality, standardized caries-detection data was needed across practice, education, research, and public health</w:t>
      </w:r>
      <w:r>
        <w:rPr>
          <w:b w:val="0"/>
          <w:i w:val="0"/>
        </w:rPr>
        <w:t xml:space="preserve"> [1, p.84]</w:t>
      </w:r>
      <w:r>
        <w:rPr>
          <w:b w:val="0"/>
          <w:i w:val="0"/>
        </w:rPr>
        <w:t>.</w:t>
      </w:r>
    </w:p>
    <w:p>
      <w:pPr>
        <w:pStyle w:val="Heading3"/>
      </w:pPr>
      <w:r>
        <w:t>4.1 The Coding Structure</w:t>
      </w:r>
    </w:p>
    <w:p>
      <w:pPr>
        <w:spacing w:after="120"/>
      </w:pPr>
      <w:r>
        <w:rPr>
          <w:b w:val="0"/>
          <w:i w:val="0"/>
        </w:rPr>
        <w:t>Each tooth surface receives a two-digit code: the first digit records surface condition/restoration status, the second records caries status</w:t>
      </w:r>
      <w:r>
        <w:rPr>
          <w:b w:val="0"/>
          <w:i w:val="0"/>
        </w:rPr>
        <w:t xml:space="preserve"> [1, p.84]</w:t>
      </w:r>
      <w:r>
        <w:rPr>
          <w:b w:val="0"/>
          <w:i w:val="0"/>
        </w:rPr>
        <w: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Surface condition/restoration code</w:t>
            </w:r>
          </w:p>
        </w:tc>
        <w:tc>
          <w:tcPr>
            <w:tcW w:type="dxa" w:w="4320"/>
          </w:tcPr>
          <w:p>
            <w:r>
              <w:rPr>
                <w:b/>
                <w:sz w:val="18"/>
              </w:rPr>
              <w:t>Meaning</w:t>
            </w:r>
          </w:p>
        </w:tc>
      </w:tr>
      <w:tr>
        <w:tc>
          <w:tcPr>
            <w:tcW w:type="dxa" w:w="4320"/>
          </w:tcPr>
          <w:p>
            <w:r>
              <w:rPr>
                <w:sz w:val="18"/>
              </w:rPr>
              <w:t>0</w:t>
            </w:r>
          </w:p>
        </w:tc>
        <w:tc>
          <w:tcPr>
            <w:tcW w:type="dxa" w:w="4320"/>
          </w:tcPr>
          <w:p>
            <w:r>
              <w:rPr>
                <w:sz w:val="18"/>
              </w:rPr>
              <w:t>Not restored or sealed</w:t>
            </w:r>
          </w:p>
        </w:tc>
      </w:tr>
      <w:tr>
        <w:tc>
          <w:tcPr>
            <w:tcW w:type="dxa" w:w="4320"/>
          </w:tcPr>
          <w:p>
            <w:r>
              <w:rPr>
                <w:sz w:val="18"/>
              </w:rPr>
              <w:t>1</w:t>
            </w:r>
          </w:p>
        </w:tc>
        <w:tc>
          <w:tcPr>
            <w:tcW w:type="dxa" w:w="4320"/>
          </w:tcPr>
          <w:p>
            <w:r>
              <w:rPr>
                <w:sz w:val="18"/>
              </w:rPr>
              <w:t>Partially sealed</w:t>
            </w:r>
          </w:p>
        </w:tc>
      </w:tr>
      <w:tr>
        <w:tc>
          <w:tcPr>
            <w:tcW w:type="dxa" w:w="4320"/>
          </w:tcPr>
          <w:p>
            <w:r>
              <w:rPr>
                <w:sz w:val="18"/>
              </w:rPr>
              <w:t>2</w:t>
            </w:r>
          </w:p>
        </w:tc>
        <w:tc>
          <w:tcPr>
            <w:tcW w:type="dxa" w:w="4320"/>
          </w:tcPr>
          <w:p>
            <w:r>
              <w:rPr>
                <w:sz w:val="18"/>
              </w:rPr>
              <w:t>Fully sealed</w:t>
            </w:r>
          </w:p>
        </w:tc>
      </w:tr>
      <w:tr>
        <w:tc>
          <w:tcPr>
            <w:tcW w:type="dxa" w:w="4320"/>
          </w:tcPr>
          <w:p>
            <w:r>
              <w:rPr>
                <w:sz w:val="18"/>
              </w:rPr>
              <w:t>3</w:t>
            </w:r>
          </w:p>
        </w:tc>
        <w:tc>
          <w:tcPr>
            <w:tcW w:type="dxa" w:w="4320"/>
          </w:tcPr>
          <w:p>
            <w:r>
              <w:rPr>
                <w:sz w:val="18"/>
              </w:rPr>
              <w:t>Tooth-coloured restoration</w:t>
            </w:r>
          </w:p>
        </w:tc>
      </w:tr>
      <w:tr>
        <w:tc>
          <w:tcPr>
            <w:tcW w:type="dxa" w:w="4320"/>
          </w:tcPr>
          <w:p>
            <w:r>
              <w:rPr>
                <w:sz w:val="18"/>
              </w:rPr>
              <w:t>4</w:t>
            </w:r>
          </w:p>
        </w:tc>
        <w:tc>
          <w:tcPr>
            <w:tcW w:type="dxa" w:w="4320"/>
          </w:tcPr>
          <w:p>
            <w:r>
              <w:rPr>
                <w:sz w:val="18"/>
              </w:rPr>
              <w:t>Amalgam restoration</w:t>
            </w:r>
          </w:p>
        </w:tc>
      </w:tr>
      <w:tr>
        <w:tc>
          <w:tcPr>
            <w:tcW w:type="dxa" w:w="4320"/>
          </w:tcPr>
          <w:p>
            <w:r>
              <w:rPr>
                <w:sz w:val="18"/>
              </w:rPr>
              <w:t>5</w:t>
            </w:r>
          </w:p>
        </w:tc>
        <w:tc>
          <w:tcPr>
            <w:tcW w:type="dxa" w:w="4320"/>
          </w:tcPr>
          <w:p>
            <w:r>
              <w:rPr>
                <w:sz w:val="18"/>
              </w:rPr>
              <w:t>Stainless steel crown</w:t>
            </w:r>
          </w:p>
        </w:tc>
      </w:tr>
      <w:tr>
        <w:tc>
          <w:tcPr>
            <w:tcW w:type="dxa" w:w="4320"/>
          </w:tcPr>
          <w:p>
            <w:r>
              <w:rPr>
                <w:sz w:val="18"/>
              </w:rPr>
              <w:t>6</w:t>
            </w:r>
          </w:p>
        </w:tc>
        <w:tc>
          <w:tcPr>
            <w:tcW w:type="dxa" w:w="4320"/>
          </w:tcPr>
          <w:p>
            <w:r>
              <w:rPr>
                <w:sz w:val="18"/>
              </w:rPr>
              <w:t>Crown or veneer</w:t>
            </w:r>
          </w:p>
        </w:tc>
      </w:tr>
      <w:tr>
        <w:tc>
          <w:tcPr>
            <w:tcW w:type="dxa" w:w="4320"/>
          </w:tcPr>
          <w:p>
            <w:r>
              <w:rPr>
                <w:sz w:val="18"/>
              </w:rPr>
              <w:t>7</w:t>
            </w:r>
          </w:p>
        </w:tc>
        <w:tc>
          <w:tcPr>
            <w:tcW w:type="dxa" w:w="4320"/>
          </w:tcPr>
          <w:p>
            <w:r>
              <w:rPr>
                <w:sz w:val="18"/>
              </w:rPr>
              <w:t>Lost or broken restoration</w:t>
            </w:r>
          </w:p>
        </w:tc>
      </w:tr>
      <w:tr>
        <w:tc>
          <w:tcPr>
            <w:tcW w:type="dxa" w:w="4320"/>
          </w:tcPr>
          <w:p>
            <w:r>
              <w:rPr>
                <w:sz w:val="18"/>
              </w:rPr>
              <w:t>8</w:t>
            </w:r>
          </w:p>
        </w:tc>
        <w:tc>
          <w:tcPr>
            <w:tcW w:type="dxa" w:w="4320"/>
          </w:tcPr>
          <w:p>
            <w:r>
              <w:rPr>
                <w:sz w:val="18"/>
              </w:rPr>
              <w:t>Temporary restoration</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Caries code</w:t>
            </w:r>
          </w:p>
        </w:tc>
        <w:tc>
          <w:tcPr>
            <w:tcW w:type="dxa" w:w="4320"/>
          </w:tcPr>
          <w:p>
            <w:r>
              <w:rPr>
                <w:b/>
                <w:sz w:val="18"/>
              </w:rPr>
              <w:t>Meaning</w:t>
            </w:r>
          </w:p>
        </w:tc>
      </w:tr>
      <w:tr>
        <w:tc>
          <w:tcPr>
            <w:tcW w:type="dxa" w:w="4320"/>
          </w:tcPr>
          <w:p>
            <w:r>
              <w:rPr>
                <w:sz w:val="18"/>
              </w:rPr>
              <w:t>0</w:t>
            </w:r>
          </w:p>
        </w:tc>
        <w:tc>
          <w:tcPr>
            <w:tcW w:type="dxa" w:w="4320"/>
          </w:tcPr>
          <w:p>
            <w:r>
              <w:rPr>
                <w:sz w:val="18"/>
              </w:rPr>
              <w:t>Sound</w:t>
            </w:r>
          </w:p>
        </w:tc>
      </w:tr>
      <w:tr>
        <w:tc>
          <w:tcPr>
            <w:tcW w:type="dxa" w:w="4320"/>
          </w:tcPr>
          <w:p>
            <w:r>
              <w:rPr>
                <w:sz w:val="18"/>
              </w:rPr>
              <w:t>1</w:t>
            </w:r>
          </w:p>
        </w:tc>
        <w:tc>
          <w:tcPr>
            <w:tcW w:type="dxa" w:w="4320"/>
          </w:tcPr>
          <w:p>
            <w:r>
              <w:rPr>
                <w:sz w:val="18"/>
              </w:rPr>
              <w:t>First visual change in enamel</w:t>
            </w:r>
          </w:p>
        </w:tc>
      </w:tr>
      <w:tr>
        <w:tc>
          <w:tcPr>
            <w:tcW w:type="dxa" w:w="4320"/>
          </w:tcPr>
          <w:p>
            <w:r>
              <w:rPr>
                <w:sz w:val="18"/>
              </w:rPr>
              <w:t>2</w:t>
            </w:r>
          </w:p>
        </w:tc>
        <w:tc>
          <w:tcPr>
            <w:tcW w:type="dxa" w:w="4320"/>
          </w:tcPr>
          <w:p>
            <w:r>
              <w:rPr>
                <w:sz w:val="18"/>
              </w:rPr>
              <w:t>Distinct change in enamel</w:t>
            </w:r>
          </w:p>
        </w:tc>
      </w:tr>
      <w:tr>
        <w:tc>
          <w:tcPr>
            <w:tcW w:type="dxa" w:w="4320"/>
          </w:tcPr>
          <w:p>
            <w:r>
              <w:rPr>
                <w:sz w:val="18"/>
              </w:rPr>
              <w:t>3</w:t>
            </w:r>
          </w:p>
        </w:tc>
        <w:tc>
          <w:tcPr>
            <w:tcW w:type="dxa" w:w="4320"/>
          </w:tcPr>
          <w:p>
            <w:r>
              <w:rPr>
                <w:sz w:val="18"/>
              </w:rPr>
              <w:t>Enamel breakdown, no dentine visible</w:t>
            </w:r>
          </w:p>
        </w:tc>
      </w:tr>
      <w:tr>
        <w:tc>
          <w:tcPr>
            <w:tcW w:type="dxa" w:w="4320"/>
          </w:tcPr>
          <w:p>
            <w:r>
              <w:rPr>
                <w:sz w:val="18"/>
              </w:rPr>
              <w:t>4</w:t>
            </w:r>
          </w:p>
        </w:tc>
        <w:tc>
          <w:tcPr>
            <w:tcW w:type="dxa" w:w="4320"/>
          </w:tcPr>
          <w:p>
            <w:r>
              <w:rPr>
                <w:sz w:val="18"/>
              </w:rPr>
              <w:t>Underlying dentinal shadow (not cavitated into dentine)</w:t>
            </w:r>
          </w:p>
        </w:tc>
      </w:tr>
      <w:tr>
        <w:tc>
          <w:tcPr>
            <w:tcW w:type="dxa" w:w="4320"/>
          </w:tcPr>
          <w:p>
            <w:r>
              <w:rPr>
                <w:sz w:val="18"/>
              </w:rPr>
              <w:t>5</w:t>
            </w:r>
          </w:p>
        </w:tc>
        <w:tc>
          <w:tcPr>
            <w:tcW w:type="dxa" w:w="4320"/>
          </w:tcPr>
          <w:p>
            <w:r>
              <w:rPr>
                <w:sz w:val="18"/>
              </w:rPr>
              <w:t>Distinct cavity within dentine</w:t>
            </w:r>
          </w:p>
        </w:tc>
      </w:tr>
      <w:tr>
        <w:tc>
          <w:tcPr>
            <w:tcW w:type="dxa" w:w="4320"/>
          </w:tcPr>
          <w:p>
            <w:r>
              <w:rPr>
                <w:sz w:val="18"/>
              </w:rPr>
              <w:t>6</w:t>
            </w:r>
          </w:p>
        </w:tc>
        <w:tc>
          <w:tcPr>
            <w:tcW w:type="dxa" w:w="4320"/>
          </w:tcPr>
          <w:p>
            <w:r>
              <w:rPr>
                <w:sz w:val="18"/>
              </w:rPr>
              <w:t>Extensive distinct cavity within dentine</w:t>
            </w:r>
          </w:p>
        </w:tc>
      </w:tr>
    </w:tbl>
    <w:p>
      <w:r>
        <w:rPr>
          <w:i/>
          <w:sz w:val="18"/>
        </w:rPr>
        <w:t>Source (both tables): [1, p.84]. Example: code '01' = an unrestored/unsealed surface with the first visual sign of caries in enamel; code '13' = a partially sealed surface with enamel breakdown but no dentine involvement. Additional epidemiological codes exist for missing teeth: 97 = missing due to caries, 98 = missing for other reasons, 99 = unerupted [1, p.85].</w:t>
      </w:r>
    </w:p>
    <w:p/>
    <w:p>
      <w:pPr>
        <w:pStyle w:val="Heading3"/>
      </w:pPr>
      <w:r>
        <w:t>4.2 Limitations, and Evolution into ICCMS</w:t>
      </w:r>
    </w:p>
    <w:p>
      <w:pPr>
        <w:spacing w:after="120"/>
      </w:pPr>
      <w:r>
        <w:rPr>
          <w:b w:val="0"/>
          <w:i w:val="0"/>
        </w:rPr>
        <w:t>The system is explicitly acknowledged to have real limitations for general clinical use: it is based on visual examination alone (no radiographs or explorers), which is a deliberate simplification for epidemiological consistency but is ethically insufficient alone for detecting approximal lesions in general practice</w:t>
      </w:r>
      <w:r>
        <w:rPr>
          <w:b w:val="0"/>
          <w:i w:val="0"/>
        </w:rPr>
        <w:t xml:space="preserve"> [1, p.85]</w:t>
      </w:r>
      <w:r>
        <w:rPr>
          <w:b w:val="0"/>
          <w:i w:val="0"/>
        </w:rPr>
        <w:t xml:space="preserve">; it produces multiple fine-grained classifications that can be hard for clinicians to stay calibrated on; and — most importantly for a design-focused sub-module — </w:t>
      </w:r>
      <w:r>
        <w:rPr>
          <w:b w:val="0"/>
          <w:i/>
        </w:rPr>
        <w:t>“the system does not suggest, either through the assigned code or any other part of the record, any guidance on subsequent clinical decisions”</w:t>
      </w:r>
      <w:r>
        <w:rPr>
          <w:b w:val="0"/>
          <w:i w:val="0"/>
        </w:rPr>
        <w:t xml:space="preserve"> [1, p.85]</w:t>
      </w:r>
      <w:r>
        <w:rPr>
          <w:b w:val="0"/>
          <w:i w:val="0"/>
        </w:rPr>
        <w:t>. In other words, ICDAS answers “how severe is this lesion” but, unlike Black's or Site-and-Size, does not itself answer “what cavity design follows from that.”</w:t>
      </w:r>
    </w:p>
    <w:p>
      <w:pPr>
        <w:spacing w:after="120"/>
      </w:pPr>
      <w:r>
        <w:rPr>
          <w:b w:val="0"/>
          <w:i w:val="0"/>
        </w:rPr>
        <w:t xml:space="preserve">The </w:t>
      </w:r>
      <w:r>
        <w:rPr>
          <w:b/>
          <w:i w:val="0"/>
        </w:rPr>
        <w:t>International Caries Classification and Management System (ICCMS)</w:t>
      </w:r>
      <w:r>
        <w:rPr>
          <w:b w:val="0"/>
          <w:i w:val="0"/>
        </w:rPr>
        <w:t xml:space="preserve"> was subsequently developed specifically to close that gap and improve the decision-making process: the seven ICDAS caries codes were merged into four simpler codes — sound, initial decay/demineralization, moderate decay, and severe decay — making the system considerably more directly applicable to general-practice management decisions while remaining more granular than a simple binary caries/no-caries call</w:t>
      </w:r>
      <w:r>
        <w:rPr>
          <w:b w:val="0"/>
          <w:i w:val="0"/>
        </w:rPr>
        <w:t xml:space="preserve"> [1, p.85]</w:t>
      </w:r>
      <w:r>
        <w:rPr>
          <w:b w:val="0"/>
          <w:i w:val="0"/>
        </w:rPr>
        <w:t>.</w:t>
      </w:r>
    </w:p>
    <w:p>
      <w:pPr>
        <w:spacing w:after="120"/>
      </w:pPr>
      <w:r>
        <w:rPr>
          <w:b w:val="0"/>
          <w:i w:val="0"/>
        </w:rPr>
        <w:t xml:space="preserve">Mount's also notes, briefly, that the FDI World Dental Federation's Science Committee collated these various proposed systems in 2012 and suggested a consolidated ‘new model for caries classification and management’, though it observes that </w:t>
      </w:r>
      <w:r>
        <w:rPr>
          <w:b w:val="0"/>
          <w:i/>
        </w:rPr>
        <w:t>“no system other than that of Black is as yet widely accepted”</w:t>
      </w:r>
      <w:r>
        <w:rPr>
          <w:b w:val="0"/>
          <w:i w:val="0"/>
        </w:rPr>
        <w:t xml:space="preserve"> [1, p.86]</w:t>
      </w:r>
      <w:r>
        <w:rPr>
          <w:b w:val="0"/>
          <w:i w:val="0"/>
        </w:rPr>
        <w:t xml:space="preserve"> — an honest, current assessment that none of these alternative systems has actually displaced Black's in everyday clinical/exam usage, even though several (particularly Site-and-Size) are argued to be conceptually superior.</w:t>
      </w:r>
    </w:p>
    <w:p>
      <w:r>
        <w:br w:type="page"/>
      </w:r>
    </w:p>
    <w:p>
      <w:pPr>
        <w:pStyle w:val="Heading2"/>
      </w:pPr>
      <w:r>
        <w:t>5. Comparing the Systems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Feature</w:t>
            </w:r>
          </w:p>
        </w:tc>
        <w:tc>
          <w:tcPr>
            <w:tcW w:type="dxa" w:w="2160"/>
          </w:tcPr>
          <w:p>
            <w:r>
              <w:rPr>
                <w:b/>
                <w:sz w:val="18"/>
              </w:rPr>
              <w:t>Black's classification</w:t>
            </w:r>
          </w:p>
        </w:tc>
        <w:tc>
          <w:tcPr>
            <w:tcW w:type="dxa" w:w="2160"/>
          </w:tcPr>
          <w:p>
            <w:r>
              <w:rPr>
                <w:b/>
                <w:sz w:val="18"/>
              </w:rPr>
              <w:t>Mount &amp; Hume Site-and-Size</w:t>
            </w:r>
          </w:p>
        </w:tc>
        <w:tc>
          <w:tcPr>
            <w:tcW w:type="dxa" w:w="2160"/>
          </w:tcPr>
          <w:p>
            <w:r>
              <w:rPr>
                <w:b/>
                <w:sz w:val="18"/>
              </w:rPr>
              <w:t>ICDAS / ICCMS</w:t>
            </w:r>
          </w:p>
        </w:tc>
      </w:tr>
      <w:tr>
        <w:tc>
          <w:tcPr>
            <w:tcW w:type="dxa" w:w="2160"/>
          </w:tcPr>
          <w:p>
            <w:r>
              <w:rPr>
                <w:sz w:val="18"/>
              </w:rPr>
              <w:t>Primary purpose</w:t>
            </w:r>
          </w:p>
        </w:tc>
        <w:tc>
          <w:tcPr>
            <w:tcW w:type="dxa" w:w="2160"/>
          </w:tcPr>
          <w:p>
            <w:r>
              <w:rPr>
                <w:sz w:val="18"/>
              </w:rPr>
              <w:t>Links lesion location directly to a prescribed cavity design</w:t>
            </w:r>
          </w:p>
        </w:tc>
        <w:tc>
          <w:tcPr>
            <w:tcW w:type="dxa" w:w="2160"/>
          </w:tcPr>
          <w:p>
            <w:r>
              <w:rPr>
                <w:sz w:val="18"/>
              </w:rPr>
              <w:t>Describes disease stage/location without prescribing a design</w:t>
            </w:r>
          </w:p>
        </w:tc>
        <w:tc>
          <w:tcPr>
            <w:tcW w:type="dxa" w:w="2160"/>
          </w:tcPr>
          <w:p>
            <w:r>
              <w:rPr>
                <w:sz w:val="18"/>
              </w:rPr>
              <w:t>Standardized visual severity scoring for research/epidemiology/practice</w:t>
            </w:r>
          </w:p>
        </w:tc>
      </w:tr>
      <w:tr>
        <w:tc>
          <w:tcPr>
            <w:tcW w:type="dxa" w:w="2160"/>
          </w:tcPr>
          <w:p>
            <w:r>
              <w:rPr>
                <w:sz w:val="18"/>
              </w:rPr>
              <w:t>Links to a specific cavity form?</w:t>
            </w:r>
          </w:p>
        </w:tc>
        <w:tc>
          <w:tcPr>
            <w:tcW w:type="dxa" w:w="2160"/>
          </w:tcPr>
          <w:p>
            <w:r>
              <w:rPr>
                <w:sz w:val="18"/>
              </w:rPr>
              <w:t>Yes — by design, historically</w:t>
            </w:r>
          </w:p>
        </w:tc>
        <w:tc>
          <w:tcPr>
            <w:tcW w:type="dxa" w:w="2160"/>
          </w:tcPr>
          <w:p>
            <w:r>
              <w:rPr>
                <w:sz w:val="18"/>
              </w:rPr>
              <w:t>No — explicitly avoided by design</w:t>
            </w:r>
          </w:p>
        </w:tc>
        <w:tc>
          <w:tcPr>
            <w:tcW w:type="dxa" w:w="2160"/>
          </w:tcPr>
          <w:p>
            <w:r>
              <w:rPr>
                <w:sz w:val="18"/>
              </w:rPr>
              <w:t>No</w:t>
            </w:r>
          </w:p>
        </w:tc>
      </w:tr>
      <w:tr>
        <w:tc>
          <w:tcPr>
            <w:tcW w:type="dxa" w:w="2160"/>
          </w:tcPr>
          <w:p>
            <w:r>
              <w:rPr>
                <w:sz w:val="18"/>
              </w:rPr>
              <w:t>Covers non-carious lesions (abrasion/erosion/abfraction/trauma)?</w:t>
            </w:r>
          </w:p>
        </w:tc>
        <w:tc>
          <w:tcPr>
            <w:tcW w:type="dxa" w:w="2160"/>
          </w:tcPr>
          <w:p>
            <w:r>
              <w:rPr>
                <w:sz w:val="18"/>
              </w:rPr>
              <w:t>No</w:t>
            </w:r>
          </w:p>
        </w:tc>
        <w:tc>
          <w:tcPr>
            <w:tcW w:type="dxa" w:w="2160"/>
          </w:tcPr>
          <w:p>
            <w:r>
              <w:rPr>
                <w:sz w:val="18"/>
              </w:rPr>
              <w:t>Yes</w:t>
            </w:r>
          </w:p>
        </w:tc>
        <w:tc>
          <w:tcPr>
            <w:tcW w:type="dxa" w:w="2160"/>
          </w:tcPr>
          <w:p>
            <w:r>
              <w:rPr>
                <w:sz w:val="18"/>
              </w:rPr>
              <w:t>No (caries-focused)</w:t>
            </w:r>
          </w:p>
        </w:tc>
      </w:tr>
      <w:tr>
        <w:tc>
          <w:tcPr>
            <w:tcW w:type="dxa" w:w="2160"/>
          </w:tcPr>
          <w:p>
            <w:r>
              <w:rPr>
                <w:sz w:val="18"/>
              </w:rPr>
              <w:t>Records earliest, non-cavitated (remineralizable) stage?</w:t>
            </w:r>
          </w:p>
        </w:tc>
        <w:tc>
          <w:tcPr>
            <w:tcW w:type="dxa" w:w="2160"/>
          </w:tcPr>
          <w:p>
            <w:r>
              <w:rPr>
                <w:sz w:val="18"/>
              </w:rPr>
              <w:t>No</w:t>
            </w:r>
          </w:p>
        </w:tc>
        <w:tc>
          <w:tcPr>
            <w:tcW w:type="dxa" w:w="2160"/>
          </w:tcPr>
          <w:p>
            <w:r>
              <w:rPr>
                <w:sz w:val="18"/>
              </w:rPr>
              <w:t>Yes (Size 0)</w:t>
            </w:r>
          </w:p>
        </w:tc>
        <w:tc>
          <w:tcPr>
            <w:tcW w:type="dxa" w:w="2160"/>
          </w:tcPr>
          <w:p>
            <w:r>
              <w:rPr>
                <w:sz w:val="18"/>
              </w:rPr>
              <w:t>Yes (codes 0-2)</w:t>
            </w:r>
          </w:p>
        </w:tc>
      </w:tr>
      <w:tr>
        <w:tc>
          <w:tcPr>
            <w:tcW w:type="dxa" w:w="2160"/>
          </w:tcPr>
          <w:p>
            <w:r>
              <w:rPr>
                <w:sz w:val="18"/>
              </w:rPr>
              <w:t>Distinguishes site of ORIGIN from clinical access route used?</w:t>
            </w:r>
          </w:p>
        </w:tc>
        <w:tc>
          <w:tcPr>
            <w:tcW w:type="dxa" w:w="2160"/>
          </w:tcPr>
          <w:p>
            <w:r>
              <w:rPr>
                <w:sz w:val="18"/>
              </w:rPr>
              <w:t>No (class fixed by tooth-surface anatomy)</w:t>
            </w:r>
          </w:p>
        </w:tc>
        <w:tc>
          <w:tcPr>
            <w:tcW w:type="dxa" w:w="2160"/>
          </w:tcPr>
          <w:p>
            <w:r>
              <w:rPr>
                <w:sz w:val="18"/>
              </w:rPr>
              <w:t>Yes (a lesion is classed by how it is actually approached, e.g. Site 3 approached occlusally becomes Site 2)</w:t>
            </w:r>
          </w:p>
        </w:tc>
        <w:tc>
          <w:tcPr>
            <w:tcW w:type="dxa" w:w="2160"/>
          </w:tcPr>
          <w:p>
            <w:r>
              <w:rPr>
                <w:sz w:val="18"/>
              </w:rPr>
              <w:t>N/A (surface-based, not access-based)</w:t>
            </w:r>
          </w:p>
        </w:tc>
      </w:tr>
      <w:tr>
        <w:tc>
          <w:tcPr>
            <w:tcW w:type="dxa" w:w="2160"/>
          </w:tcPr>
          <w:p>
            <w:r>
              <w:rPr>
                <w:sz w:val="18"/>
              </w:rPr>
              <w:t>Current status</w:t>
            </w:r>
          </w:p>
        </w:tc>
        <w:tc>
          <w:tcPr>
            <w:tcW w:type="dxa" w:w="2160"/>
          </w:tcPr>
          <w:p>
            <w:r>
              <w:rPr>
                <w:sz w:val="18"/>
              </w:rPr>
              <w:t>Still the dominant, widely-used, exam-standard system despite its critics</w:t>
            </w:r>
          </w:p>
        </w:tc>
        <w:tc>
          <w:tcPr>
            <w:tcW w:type="dxa" w:w="2160"/>
          </w:tcPr>
          <w:p>
            <w:r>
              <w:rPr>
                <w:sz w:val="18"/>
              </w:rPr>
              <w:t>Conceptually preferred by some contemporary authors (incl. this source); not yet widely adopted</w:t>
            </w:r>
          </w:p>
        </w:tc>
        <w:tc>
          <w:tcPr>
            <w:tcW w:type="dxa" w:w="2160"/>
          </w:tcPr>
          <w:p>
            <w:r>
              <w:rPr>
                <w:sz w:val="18"/>
              </w:rPr>
              <w:t>Well established for research/epidemiology; ICCMS extending it toward clinical management use</w:t>
            </w:r>
          </w:p>
        </w:tc>
      </w:tr>
    </w:tbl>
    <w:p>
      <w:r>
        <w:rPr>
          <w:i/>
          <w:sz w:val="18"/>
        </w:rPr>
        <w:t>Table compiled from [1, p.82-86] and cross-referenced against Sub-Module 2.1, Section 5 (Black's classification detail).</w:t>
      </w:r>
    </w:p>
    <w:p/>
    <w:p>
      <w:pPr>
        <w:spacing w:after="120"/>
      </w:pPr>
      <w:r>
        <w:rPr>
          <w:b/>
          <w:i w:val="0"/>
        </w:rPr>
        <w:t>A genuine, explicitly-flagged tension:</w:t>
      </w:r>
      <w:r>
        <w:rPr>
          <w:b w:val="0"/>
          <w:i w:val="0"/>
        </w:rPr>
        <w:t xml:space="preserve"> Mount's textbook takes a strong editorial position that Black's classification “is no longer appropriate”</w:t>
      </w:r>
      <w:r>
        <w:rPr>
          <w:b w:val="0"/>
          <w:i w:val="0"/>
        </w:rPr>
        <w:t xml:space="preserve"> [1, p.82]</w:t>
      </w:r>
      <w:r>
        <w:rPr>
          <w:b w:val="0"/>
          <w:i w:val="0"/>
        </w:rPr>
        <w:t>, yet its own chapter later concedes that no alternative has actually achieved wide acceptance</w:t>
      </w:r>
      <w:r>
        <w:rPr>
          <w:b w:val="0"/>
          <w:i w:val="0"/>
        </w:rPr>
        <w:t xml:space="preserve"> [1, p.86]</w:t>
      </w:r>
      <w:r>
        <w:rPr>
          <w:b w:val="0"/>
          <w:i w:val="0"/>
        </w:rPr>
        <w:t>. This is not a resolved question in the source itself — a student should be able to state both the conceptual critique of Black's system AND the practical reality that it remains the dominant classification taught and used, including in most licensing/exam contexts, rather than treating either position as fully settled.</w:t>
      </w:r>
    </w:p>
    <w:p>
      <w:r>
        <w:br w:type="page"/>
      </w:r>
    </w:p>
    <w:p>
      <w:pPr>
        <w:pStyle w:val="Heading1"/>
      </w:pPr>
      <w:r>
        <w:t>Quick-Revision 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Topic</w:t>
            </w:r>
          </w:p>
        </w:tc>
        <w:tc>
          <w:tcPr>
            <w:tcW w:type="dxa" w:w="2880"/>
          </w:tcPr>
          <w:p>
            <w:r>
              <w:rPr>
                <w:b/>
                <w:sz w:val="18"/>
              </w:rPr>
              <w:t>Key take-away</w:t>
            </w:r>
          </w:p>
        </w:tc>
        <w:tc>
          <w:tcPr>
            <w:tcW w:type="dxa" w:w="2880"/>
          </w:tcPr>
          <w:p>
            <w:r>
              <w:rPr>
                <w:b/>
                <w:sz w:val="18"/>
              </w:rPr>
              <w:t>Source</w:t>
            </w:r>
          </w:p>
        </w:tc>
      </w:tr>
      <w:tr>
        <w:tc>
          <w:tcPr>
            <w:tcW w:type="dxa" w:w="2880"/>
          </w:tcPr>
          <w:p>
            <w:r>
              <w:rPr>
                <w:sz w:val="18"/>
              </w:rPr>
              <w:t>Black's classification (definitions)</w:t>
            </w:r>
          </w:p>
        </w:tc>
        <w:tc>
          <w:tcPr>
            <w:tcW w:type="dxa" w:w="2880"/>
          </w:tcPr>
          <w:p>
            <w:r>
              <w:rPr>
                <w:sz w:val="18"/>
              </w:rPr>
              <w:t>Classes I-VI definitions; already covered in full in 2.1 — cross-referenced, not repeated here</w:t>
            </w:r>
          </w:p>
        </w:tc>
        <w:tc>
          <w:tcPr>
            <w:tcW w:type="dxa" w:w="2880"/>
          </w:tcPr>
          <w:p>
            <w:r>
              <w:rPr>
                <w:sz w:val="18"/>
              </w:rPr>
              <w:t>Sub-Module 2.1, Section 5</w:t>
            </w:r>
          </w:p>
        </w:tc>
      </w:tr>
      <w:tr>
        <w:tc>
          <w:tcPr>
            <w:tcW w:type="dxa" w:w="2880"/>
          </w:tcPr>
          <w:p>
            <w:r>
              <w:rPr>
                <w:sz w:val="18"/>
              </w:rPr>
              <w:t>Class I sub-groups</w:t>
            </w:r>
          </w:p>
        </w:tc>
        <w:tc>
          <w:tcPr>
            <w:tcW w:type="dxa" w:w="2880"/>
          </w:tcPr>
          <w:p>
            <w:r>
              <w:rPr>
                <w:sz w:val="18"/>
              </w:rPr>
              <w:t>Occlusal fissures are the main group, but 2 of 3 Class I sub-groups (facial/lingual molar surfaces; lingual pits of max. incisors) actually borrow Class V's wall geometry, not a unique one</w:t>
            </w:r>
          </w:p>
        </w:tc>
        <w:tc>
          <w:tcPr>
            <w:tcW w:type="dxa" w:w="2880"/>
          </w:tcPr>
          <w:p>
            <w:r>
              <w:rPr>
                <w:sz w:val="18"/>
              </w:rPr>
              <w:t>[3, p.295]</w:t>
            </w:r>
          </w:p>
        </w:tc>
      </w:tr>
      <w:tr>
        <w:tc>
          <w:tcPr>
            <w:tcW w:type="dxa" w:w="2880"/>
          </w:tcPr>
          <w:p>
            <w:r>
              <w:rPr>
                <w:sz w:val="18"/>
              </w:rPr>
              <w:t>Class II retention by material</w:t>
            </w:r>
          </w:p>
        </w:tc>
        <w:tc>
          <w:tcPr>
            <w:tcW w:type="dxa" w:w="2880"/>
          </w:tcPr>
          <w:p>
            <w:r>
              <w:rPr>
                <w:sz w:val="18"/>
              </w:rPr>
              <w:t>Amalgam = occlusal convergence; cast inlay/onlay = 2-5° wall divergence; composite = bevelled/flared margins for etching</w:t>
            </w:r>
          </w:p>
        </w:tc>
        <w:tc>
          <w:tcPr>
            <w:tcW w:type="dxa" w:w="2880"/>
          </w:tcPr>
          <w:p>
            <w:r>
              <w:rPr>
                <w:sz w:val="18"/>
              </w:rPr>
              <w:t>[3, p.306-307]</w:t>
            </w:r>
          </w:p>
        </w:tc>
      </w:tr>
      <w:tr>
        <w:tc>
          <w:tcPr>
            <w:tcW w:type="dxa" w:w="2880"/>
          </w:tcPr>
          <w:p>
            <w:r>
              <w:rPr>
                <w:sz w:val="18"/>
              </w:rPr>
              <w:t>Class III access route</w:t>
            </w:r>
          </w:p>
        </w:tc>
        <w:tc>
          <w:tcPr>
            <w:tcW w:type="dxa" w:w="2880"/>
          </w:tcPr>
          <w:p>
            <w:r>
              <w:rPr>
                <w:sz w:val="18"/>
              </w:rPr>
              <w:t>Lingual approach preferred (preserves facial esthetics); facial approach only if lesion already involves facial surface or adjacent tooth blocks lingual access</w:t>
            </w:r>
          </w:p>
        </w:tc>
        <w:tc>
          <w:tcPr>
            <w:tcW w:type="dxa" w:w="2880"/>
          </w:tcPr>
          <w:p>
            <w:r>
              <w:rPr>
                <w:sz w:val="18"/>
              </w:rPr>
              <w:t>[4, PDF p.523-524]</w:t>
            </w:r>
          </w:p>
        </w:tc>
      </w:tr>
      <w:tr>
        <w:tc>
          <w:tcPr>
            <w:tcW w:type="dxa" w:w="2880"/>
          </w:tcPr>
          <w:p>
            <w:r>
              <w:rPr>
                <w:sz w:val="18"/>
              </w:rPr>
              <w:t>Class IV causes</w:t>
            </w:r>
          </w:p>
        </w:tc>
        <w:tc>
          <w:tcPr>
            <w:tcW w:type="dxa" w:w="2880"/>
          </w:tcPr>
          <w:p>
            <w:r>
              <w:rPr>
                <w:sz w:val="18"/>
              </w:rPr>
              <w:t>Either disease-driven (undermining caries) or trauma-driven (fracture, esp. children/young adults, 2.4-20% incidence)</w:t>
            </w:r>
          </w:p>
        </w:tc>
        <w:tc>
          <w:tcPr>
            <w:tcW w:type="dxa" w:w="2880"/>
          </w:tcPr>
          <w:p>
            <w:r>
              <w:rPr>
                <w:sz w:val="18"/>
              </w:rPr>
              <w:t>[4, PDF p.518]</w:t>
            </w:r>
          </w:p>
        </w:tc>
      </w:tr>
      <w:tr>
        <w:tc>
          <w:tcPr>
            <w:tcW w:type="dxa" w:w="2880"/>
          </w:tcPr>
          <w:p>
            <w:r>
              <w:rPr>
                <w:sz w:val="18"/>
              </w:rPr>
              <w:t>Class V outline/retention</w:t>
            </w:r>
          </w:p>
        </w:tc>
        <w:tc>
          <w:tcPr>
            <w:tcW w:type="dxa" w:w="2880"/>
          </w:tcPr>
          <w:p>
            <w:r>
              <w:rPr>
                <w:sz w:val="18"/>
              </w:rPr>
              <w:t>Curved outline following gingival contour; gingival retention groove now CONDITIONAL (root-surface margin or large prep) rather than automatic</w:t>
            </w:r>
          </w:p>
        </w:tc>
        <w:tc>
          <w:tcPr>
            <w:tcW w:type="dxa" w:w="2880"/>
          </w:tcPr>
          <w:p>
            <w:r>
              <w:rPr>
                <w:sz w:val="18"/>
              </w:rPr>
              <w:t>[3, p.557-558]</w:t>
            </w:r>
          </w:p>
        </w:tc>
      </w:tr>
      <w:tr>
        <w:tc>
          <w:tcPr>
            <w:tcW w:type="dxa" w:w="2880"/>
          </w:tcPr>
          <w:p>
            <w:r>
              <w:rPr>
                <w:sz w:val="18"/>
              </w:rPr>
              <w:t>Class VI</w:t>
            </w:r>
          </w:p>
        </w:tc>
        <w:tc>
          <w:tcPr>
            <w:tcW w:type="dxa" w:w="2880"/>
          </w:tcPr>
          <w:p>
            <w:r>
              <w:rPr>
                <w:sz w:val="18"/>
              </w:rPr>
              <w:t>Rarest class, added after Black's original four; shares Class I's geometry exactly; explicitly adhesive-only, no mechanical-retention design variant described</w:t>
            </w:r>
          </w:p>
        </w:tc>
        <w:tc>
          <w:tcPr>
            <w:tcW w:type="dxa" w:w="2880"/>
          </w:tcPr>
          <w:p>
            <w:r>
              <w:rPr>
                <w:sz w:val="18"/>
              </w:rPr>
              <w:t>[3, p.297]; [4, PDF p.335]</w:t>
            </w:r>
          </w:p>
        </w:tc>
      </w:tr>
      <w:tr>
        <w:tc>
          <w:tcPr>
            <w:tcW w:type="dxa" w:w="2880"/>
          </w:tcPr>
          <w:p>
            <w:r>
              <w:rPr>
                <w:sz w:val="18"/>
              </w:rPr>
              <w:t>Proximal box design</w:t>
            </w:r>
          </w:p>
        </w:tc>
        <w:tc>
          <w:tcPr>
            <w:tcW w:type="dxa" w:w="2880"/>
          </w:tcPr>
          <w:p>
            <w:r>
              <w:rPr>
                <w:sz w:val="18"/>
              </w:rPr>
              <w:t>Occlusal undercuts (wider base, narrower opening) + rounded internal line angles + a resistance groove at the buccal/pulpal wall junction — mechanical retention for non-adhesive materials</w:t>
            </w:r>
          </w:p>
        </w:tc>
        <w:tc>
          <w:tcPr>
            <w:tcW w:type="dxa" w:w="2880"/>
          </w:tcPr>
          <w:p>
            <w:r>
              <w:rPr>
                <w:sz w:val="18"/>
              </w:rPr>
              <w:t>[2, p.101-102]</w:t>
            </w:r>
          </w:p>
        </w:tc>
      </w:tr>
      <w:tr>
        <w:tc>
          <w:tcPr>
            <w:tcW w:type="dxa" w:w="2880"/>
          </w:tcPr>
          <w:p>
            <w:r>
              <w:rPr>
                <w:sz w:val="18"/>
              </w:rPr>
              <w:t>Why Black's is critiqued</w:t>
            </w:r>
          </w:p>
        </w:tc>
        <w:tc>
          <w:tcPr>
            <w:tcW w:type="dxa" w:w="2880"/>
          </w:tcPr>
          <w:p>
            <w:r>
              <w:rPr>
                <w:sz w:val="18"/>
              </w:rPr>
              <w:t>Designed pre-radiograph, pre-adhesion, pre-magnification era — forced large, mechanically-retentive cavity forms no longer necessary with modern diagnosis/materials</w:t>
            </w:r>
          </w:p>
        </w:tc>
        <w:tc>
          <w:tcPr>
            <w:tcW w:type="dxa" w:w="2880"/>
          </w:tcPr>
          <w:p>
            <w:r>
              <w:rPr>
                <w:sz w:val="18"/>
              </w:rPr>
              <w:t>[1, p.82]</w:t>
            </w:r>
          </w:p>
        </w:tc>
      </w:tr>
      <w:tr>
        <w:tc>
          <w:tcPr>
            <w:tcW w:type="dxa" w:w="2880"/>
          </w:tcPr>
          <w:p>
            <w:r>
              <w:rPr>
                <w:sz w:val="18"/>
              </w:rPr>
              <w:t>Site-and-Size: 3 Sites</w:t>
            </w:r>
          </w:p>
        </w:tc>
        <w:tc>
          <w:tcPr>
            <w:tcW w:type="dxa" w:w="2880"/>
          </w:tcPr>
          <w:p>
            <w:r>
              <w:rPr>
                <w:sz w:val="18"/>
              </w:rPr>
              <w:t>Site 1 = pit/fissure; Site 2 = proximal/contact area; Site 3 = cervical/root surface</w:t>
            </w:r>
          </w:p>
        </w:tc>
        <w:tc>
          <w:tcPr>
            <w:tcW w:type="dxa" w:w="2880"/>
          </w:tcPr>
          <w:p>
            <w:r>
              <w:rPr>
                <w:sz w:val="18"/>
              </w:rPr>
              <w:t>[1, p.83]</w:t>
            </w:r>
          </w:p>
        </w:tc>
      </w:tr>
      <w:tr>
        <w:tc>
          <w:tcPr>
            <w:tcW w:type="dxa" w:w="2880"/>
          </w:tcPr>
          <w:p>
            <w:r>
              <w:rPr>
                <w:sz w:val="18"/>
              </w:rPr>
              <w:t>Site-and-Size: 5 Sizes</w:t>
            </w:r>
          </w:p>
        </w:tc>
        <w:tc>
          <w:tcPr>
            <w:tcW w:type="dxa" w:w="2880"/>
          </w:tcPr>
          <w:p>
            <w:r>
              <w:rPr>
                <w:sz w:val="18"/>
              </w:rPr>
              <w:t>0 = earliest demineralization (arrest/remineralize) → 4 = extensive/bulk loss (cusp/incisal edge already gone)</w:t>
            </w:r>
          </w:p>
        </w:tc>
        <w:tc>
          <w:tcPr>
            <w:tcW w:type="dxa" w:w="2880"/>
          </w:tcPr>
          <w:p>
            <w:r>
              <w:rPr>
                <w:sz w:val="18"/>
              </w:rPr>
              <w:t>[1, p.83-84]</w:t>
            </w:r>
          </w:p>
        </w:tc>
      </w:tr>
      <w:tr>
        <w:tc>
          <w:tcPr>
            <w:tcW w:type="dxa" w:w="2880"/>
          </w:tcPr>
          <w:p>
            <w:r>
              <w:rPr>
                <w:sz w:val="18"/>
              </w:rPr>
              <w:t>Site 1 design principle</w:t>
            </w:r>
          </w:p>
        </w:tc>
        <w:tc>
          <w:tcPr>
            <w:tcW w:type="dxa" w:w="2880"/>
          </w:tcPr>
          <w:p>
            <w:r>
              <w:rPr>
                <w:sz w:val="18"/>
              </w:rPr>
              <w:t>Selective removal + fissure sealing (adhesive era) vs. Black's mandatory full-fissure trenching (pre-adhesive era)</w:t>
            </w:r>
          </w:p>
        </w:tc>
        <w:tc>
          <w:tcPr>
            <w:tcW w:type="dxa" w:w="2880"/>
          </w:tcPr>
          <w:p>
            <w:r>
              <w:rPr>
                <w:sz w:val="18"/>
              </w:rPr>
              <w:t>[1, p.88]</w:t>
            </w:r>
          </w:p>
        </w:tc>
      </w:tr>
      <w:tr>
        <w:tc>
          <w:tcPr>
            <w:tcW w:type="dxa" w:w="2880"/>
          </w:tcPr>
          <w:p>
            <w:r>
              <w:rPr>
                <w:sz w:val="18"/>
              </w:rPr>
              <w:t>Site 2, Size 1 access options</w:t>
            </w:r>
          </w:p>
        </w:tc>
        <w:tc>
          <w:tcPr>
            <w:tcW w:type="dxa" w:w="2880"/>
          </w:tcPr>
          <w:p>
            <w:r>
              <w:rPr>
                <w:sz w:val="18"/>
              </w:rPr>
              <w:t>Internal occlusal fossa/tunnel approach, slot cavity, and proximal approach — three distinct minimally-invasive alternatives to a full proximal box</w:t>
            </w:r>
          </w:p>
        </w:tc>
        <w:tc>
          <w:tcPr>
            <w:tcW w:type="dxa" w:w="2880"/>
          </w:tcPr>
          <w:p>
            <w:r>
              <w:rPr>
                <w:sz w:val="18"/>
              </w:rPr>
              <w:t>[1, p.99-100]</w:t>
            </w:r>
          </w:p>
        </w:tc>
      </w:tr>
      <w:tr>
        <w:tc>
          <w:tcPr>
            <w:tcW w:type="dxa" w:w="2880"/>
          </w:tcPr>
          <w:p>
            <w:r>
              <w:rPr>
                <w:sz w:val="18"/>
              </w:rPr>
              <w:t>Site 3 has no Black's Size-0 equivalent</w:t>
            </w:r>
          </w:p>
        </w:tc>
        <w:tc>
          <w:tcPr>
            <w:tcW w:type="dxa" w:w="2880"/>
          </w:tcPr>
          <w:p>
            <w:r>
              <w:rPr>
                <w:sz w:val="18"/>
              </w:rPr>
              <w:t>Black's system cannot record an early, non-cavitated cervical lesion under monitoring; Site-and-Size can (3.0)</w:t>
            </w:r>
          </w:p>
        </w:tc>
        <w:tc>
          <w:tcPr>
            <w:tcW w:type="dxa" w:w="2880"/>
          </w:tcPr>
          <w:p>
            <w:r>
              <w:rPr>
                <w:sz w:val="18"/>
              </w:rPr>
              <w:t>[1, p.109]</w:t>
            </w:r>
          </w:p>
        </w:tc>
      </w:tr>
      <w:tr>
        <w:tc>
          <w:tcPr>
            <w:tcW w:type="dxa" w:w="2880"/>
          </w:tcPr>
          <w:p>
            <w:r>
              <w:rPr>
                <w:sz w:val="18"/>
              </w:rPr>
              <w:t>ICDAS</w:t>
            </w:r>
          </w:p>
        </w:tc>
        <w:tc>
          <w:tcPr>
            <w:tcW w:type="dxa" w:w="2880"/>
          </w:tcPr>
          <w:p>
            <w:r>
              <w:rPr>
                <w:sz w:val="18"/>
              </w:rPr>
              <w:t>0-6 caries code + 0-8 restoration code, two-digit per surface; visual-only, no radiographs/explorers; gives NO direct design guidance</w:t>
            </w:r>
          </w:p>
        </w:tc>
        <w:tc>
          <w:tcPr>
            <w:tcW w:type="dxa" w:w="2880"/>
          </w:tcPr>
          <w:p>
            <w:r>
              <w:rPr>
                <w:sz w:val="18"/>
              </w:rPr>
              <w:t>[1, p.84-85]</w:t>
            </w:r>
          </w:p>
        </w:tc>
      </w:tr>
      <w:tr>
        <w:tc>
          <w:tcPr>
            <w:tcW w:type="dxa" w:w="2880"/>
          </w:tcPr>
          <w:p>
            <w:r>
              <w:rPr>
                <w:sz w:val="18"/>
              </w:rPr>
              <w:t>ICCMS</w:t>
            </w:r>
          </w:p>
        </w:tc>
        <w:tc>
          <w:tcPr>
            <w:tcW w:type="dxa" w:w="2880"/>
          </w:tcPr>
          <w:p>
            <w:r>
              <w:rPr>
                <w:sz w:val="18"/>
              </w:rPr>
              <w:t>Simplifies ICDAS's 7 caries codes to 4 (sound/initial/moderate/severe) to make it clinically actionable</w:t>
            </w:r>
          </w:p>
        </w:tc>
        <w:tc>
          <w:tcPr>
            <w:tcW w:type="dxa" w:w="2880"/>
          </w:tcPr>
          <w:p>
            <w:r>
              <w:rPr>
                <w:sz w:val="18"/>
              </w:rPr>
              <w:t>[1, p.85]</w:t>
            </w:r>
          </w:p>
        </w:tc>
      </w:tr>
      <w:tr>
        <w:tc>
          <w:tcPr>
            <w:tcW w:type="dxa" w:w="2880"/>
          </w:tcPr>
          <w:p>
            <w:r>
              <w:rPr>
                <w:sz w:val="18"/>
              </w:rPr>
              <w:t>Unresolved tension</w:t>
            </w:r>
          </w:p>
        </w:tc>
        <w:tc>
          <w:tcPr>
            <w:tcW w:type="dxa" w:w="2880"/>
          </w:tcPr>
          <w:p>
            <w:r>
              <w:rPr>
                <w:sz w:val="18"/>
              </w:rPr>
              <w:t>Mount's calls Black's system 'no longer appropriate' yet admits no alternative is 'as yet widely accepted' — both stated in the same chapter</w:t>
            </w:r>
          </w:p>
        </w:tc>
        <w:tc>
          <w:tcPr>
            <w:tcW w:type="dxa" w:w="2880"/>
          </w:tcPr>
          <w:p>
            <w:r>
              <w:rPr>
                <w:sz w:val="18"/>
              </w:rPr>
              <w:t>[1, p.82, p.86]</w:t>
            </w:r>
          </w:p>
        </w:tc>
      </w:tr>
    </w:tbl>
    <w:p/>
    <w:p>
      <w:r>
        <w:br w:type="page"/>
      </w:r>
    </w:p>
    <w:p>
      <w:pPr>
        <w:pStyle w:val="Heading1"/>
      </w:pPr>
      <w:r>
        <w:t>References (Vancouver Style)</w:t>
      </w:r>
    </w:p>
    <w:p>
      <w:pPr>
        <w:spacing w:after="120"/>
      </w:pPr>
      <w:r>
        <w:rPr>
          <w:b w:val="0"/>
          <w:i w:val="0"/>
        </w:rPr>
        <w:t>Page numbers refer to the page of the cited source, as printed in that source, on which the statement appears.</w:t>
      </w:r>
    </w:p>
    <w:p>
      <w:pPr>
        <w:spacing w:after="120"/>
        <w:ind w:left="432" w:hanging="432"/>
      </w:pPr>
      <w:r>
        <w:rPr>
          <w:sz w:val="20"/>
        </w:rPr>
        <w:t xml:space="preserve">1. </w:t>
      </w:r>
      <w:r>
        <w:rPr>
          <w:sz w:val="20"/>
        </w:rPr>
        <w:t>Mount GJ, Hume WR, Ngo HC, Wolff MS, editors. Preservation and Restoration of Tooth Structure. 3rd ed. Chichester: John Wiley &amp; Sons; 2016. Chapter 6, “Systems for Classifying Defects of the Exposed Tooth Surface,” p.81–86; Chapter 7, “Principles of Cavity Design for the Restoration of Advanced Lesions,” p.87–115.</w:t>
      </w:r>
    </w:p>
    <w:p>
      <w:pPr>
        <w:spacing w:after="120"/>
        <w:ind w:left="432" w:hanging="432"/>
      </w:pPr>
      <w:r>
        <w:rPr>
          <w:sz w:val="20"/>
        </w:rPr>
        <w:t xml:space="preserve">2. </w:t>
      </w:r>
      <w:r>
        <w:rPr>
          <w:sz w:val="20"/>
        </w:rPr>
        <w:t>Banerjee A, Watson TF. Pickard's Guide to Minimally Invasive Operative Dentistry. 10th ed. Oxford: Oxford University Press. [Also used in Sub-Module 2.1/2.2; this document adds only the proximal-box design detail at p.101-102, not previously cited.]</w:t>
      </w:r>
    </w:p>
    <w:p>
      <w:pPr>
        <w:spacing w:after="120"/>
        <w:ind w:left="432" w:hanging="432"/>
      </w:pPr>
      <w:r>
        <w:rPr>
          <w:sz w:val="20"/>
        </w:rPr>
        <w:t xml:space="preserve">3. </w:t>
      </w:r>
      <w:r>
        <w:rPr>
          <w:sz w:val="20"/>
        </w:rPr>
        <w:t>Roberson TM, Heymann HO, Swift EJ Jr, editors. Sturdevant's Art and Science of Operative Dentistry. 5th ed. St. Louis: Mosby (Elsevier); 2006. Chapter 6, p.295-297, 306-307, 315 (class-specific wall/retention-form detail, new to this document); Chapter 12, p.557-558 (Class V outline form); Chapter 18, p.709 (Class III amalgam outline). [Also used for Black's classification and the general preparation-step sequence in Sub-Module 2.1.]</w:t>
      </w:r>
    </w:p>
    <w:p>
      <w:pPr>
        <w:spacing w:after="120"/>
        <w:ind w:left="432" w:hanging="432"/>
      </w:pPr>
      <w:r>
        <w:rPr>
          <w:sz w:val="20"/>
        </w:rPr>
        <w:t xml:space="preserve">4. </w:t>
      </w:r>
      <w:r>
        <w:rPr>
          <w:sz w:val="20"/>
        </w:rPr>
        <w:t>Hilton TJ, Ferracane JL, Broome JC, editors. Summitt's Fundamentals of Operative Dentistry: A Contemporary Approach. 4th ed. Chicago: Quintessence Publishing. Chapter 7 (Class I-VI definitions) and Chapter 10 (Class III lingual vs. facial access). As with the 2.1 patch, this source's extracted text carries no visible printed folio numbers, so PDF pagination is cited transparently instead (PDF p.334-335 for Chapter 7; PDF p.523-525 for Chapter 10). [Ch.7 "Nomenclature and Instrumentation" already used in Sub-Module 2.1; this document uses new chapters/pages.]</w:t>
      </w:r>
    </w:p>
    <w:p>
      <w:pPr>
        <w:spacing w:after="120"/>
        <w:ind w:left="432" w:hanging="432"/>
      </w:pPr>
      <w:r>
        <w:rPr>
          <w:sz w:val="20"/>
        </w:rPr>
        <w:t xml:space="preserve">5. </w:t>
      </w:r>
      <w:r>
        <w:rPr>
          <w:sz w:val="20"/>
        </w:rPr>
        <w:t>Marzouk MA, Simonton AL, Gross RD. Operative Dentistry: Modern Theory and Practice. New Delhi: Ishiyaku EuroAmerica/AITBS; 1985. p.14 (simple/compound/complex lesion terminology; Black's classification framed as therapeutic).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