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8"/>
        </w:rPr>
        <w:t>MODULE 1: CONSERVATIVE &amp; RESTORATIVE DENTISTRY</w:t>
      </w:r>
    </w:p>
    <w:p>
      <w:pPr>
        <w:jc w:val="center"/>
      </w:pPr>
      <w:r>
        <w:rPr>
          <w:b/>
          <w:sz w:val="40"/>
        </w:rPr>
        <w:t>SUB-MODULE 3.1: RESTORATIVE MATERIAL CATEGORIES</w:t>
      </w:r>
    </w:p>
    <w:p/>
    <w:p>
      <w:pPr>
        <w:jc w:val="center"/>
      </w:pPr>
      <w:r>
        <w:rPr>
          <w:i/>
          <w:sz w:val="26"/>
        </w:rPr>
        <w:t>Compiled Study Notes — Organized by Topic</w:t>
      </w:r>
    </w:p>
    <w:p>
      <w:pPr>
        <w:jc w:val="center"/>
      </w:pPr>
      <w:r>
        <w:rPr>
          <w:i/>
          <w:sz w:val="24"/>
        </w:rPr>
        <w:t>Amalgam, composite resin, glass ionomer, and resin-modified glass ionomer — a clinical/restorative lens, each fact page-cited</w:t>
      </w:r>
    </w:p>
    <w:p/>
    <w:p>
      <w:pPr>
        <w:jc w:val="center"/>
      </w:pPr>
      <w:r>
        <w:rPr>
          <w:sz w:val="22"/>
        </w:rPr>
        <w:t>Citation style: Vancouver (numbered, in-text, with page references)</w:t>
      </w:r>
    </w:p>
    <w:p>
      <w:r>
        <w:br w:type="page"/>
      </w:r>
    </w:p>
    <w:p>
      <w:pPr>
        <w:pStyle w:val="Heading1"/>
      </w:pPr>
      <w:r>
        <w:t>A Note on Sources and Referencing</w:t>
      </w:r>
    </w:p>
    <w:p>
      <w:pPr>
        <w:spacing w:after="120"/>
        <w:jc w:val="both"/>
      </w:pPr>
      <w:r>
        <w:rPr>
          <w:b w:val="0"/>
          <w:i w:val="0"/>
        </w:rPr>
        <w:t xml:space="preserve">This document opens Sub-Module 3 (Restorative Materials &amp; Selection) for Module 1, covering the four major direct restorative material categories — amalgam, composite resin, conventional glass ionomer cement (GIC), and resin-modified glass ionomer (RMGI) — at the level a restorative clinician needs to select and use them: composition, setting reaction, properties, and clinical indications. </w:t>
      </w:r>
      <w:r>
        <w:rPr>
          <w:b/>
          <w:i w:val="0"/>
        </w:rPr>
        <w:t>Scope boundary:</w:t>
      </w:r>
      <w:r>
        <w:rPr>
          <w:b w:val="0"/>
          <w:i w:val="0"/>
        </w:rPr>
        <w:t xml:space="preserve"> Module 3 (Dental Materials &amp; Material Science) will later cover the deeper materials-science treatment of these same materials — structure-property relationships, manipulation variables in more depth, testing standards, and topics like ceramics/casting alloys/impression materials not clinically relevant to direct restoration choice. This document is written to stand on its own for restorative decision-making now, with Module 3 cross-referencing back here rather than duplicating this content when it is reached.</w:t>
      </w:r>
    </w:p>
    <w:p>
      <w:pPr>
        <w:spacing w:after="120"/>
      </w:pPr>
      <w:r>
        <w:rPr>
          <w:b/>
          <w:i w:val="0"/>
        </w:rPr>
        <w:t>Sources used in this document:</w:t>
      </w:r>
    </w:p>
    <w:p>
      <w:pPr>
        <w:pStyle w:val="ListBullet"/>
        <w:spacing w:after="60"/>
      </w:pPr>
      <w:r>
        <w:rPr>
          <w:b w:val="0"/>
          <w:i w:val="0"/>
        </w:rPr>
        <w:t xml:space="preserve">Sakaguchi RL, Ferracane JL, Powers JM, editors. Craig's Restorative Dental Materials. 14th ed. St. Louis: Elsevier; 2019. </w:t>
      </w:r>
      <w:r>
        <w:rPr>
          <w:b w:val="0"/>
          <w:i/>
        </w:rPr>
        <w:t>(standardised textbook — core explanation for all four material categories: Chapter 9 “Restorative Materials: Resin Composites and Polymers” for composite/GIC/RMGI, Chapter 10 “Restorative Materials: Metals” for amalgam)</w:t>
      </w:r>
    </w:p>
    <w:p>
      <w:pPr>
        <w:pStyle w:val="ListBullet"/>
        <w:spacing w:after="60"/>
      </w:pPr>
      <w:r>
        <w:rPr>
          <w:b w:val="0"/>
          <w:i w:val="0"/>
        </w:rPr>
        <w:t xml:space="preserve">Sakaguchi RL, Powers JM, editors. Craig's Restorative Dental Materials [companion volume, or Philips' Science of Dental Materials lineage — see note]. </w:t>
      </w:r>
      <w:r>
        <w:rPr>
          <w:b w:val="0"/>
          <w:i/>
        </w:rPr>
        <w:t>Philips' Science of Dental Materials, used specifically for amalgam clinical survival/longevity data (Chapter 15, “Dental Amalgams”) and the amalgam-vs-composite comparison framing (Chapter 13, “Resin-Based Composites”) not covered in the same depth by Craig's.</w:t>
      </w:r>
    </w:p>
    <w:p>
      <w:pPr>
        <w:spacing w:after="120"/>
        <w:jc w:val="both"/>
      </w:pPr>
      <w:r>
        <w:rPr>
          <w:b/>
          <w:i w:val="0"/>
        </w:rPr>
        <w:t>Originally, Applied Dental Materials (McCabe) was flagged as unavailable in the user's library at initial delivery of this document; it has since been supplied and is now used as source [3] (see revision note below).</w:t>
      </w:r>
      <w:r>
        <w:rPr>
          <w:b w:val="0"/>
          <w:i w:val="0"/>
        </w:rPr>
      </w:r>
      <w:r>
        <w:rPr>
          <w:b w:val="0"/>
          <w:i/>
        </w:rPr>
      </w:r>
      <w:r>
        <w:rPr>
          <w:b w:val="0"/>
          <w:i w:val="0"/>
        </w:rPr>
      </w:r>
    </w:p>
    <w:p>
      <w:r>
        <w:rPr>
          <w:b/>
        </w:rPr>
        <w:t xml:space="preserve">Third revision note: </w:t>
      </w:r>
      <w:r>
        <w:t>audited again after the 4.2 Marzouk/Summitt's gap was found. Summitt's (source [5]) adds: a third, quantified opinion on mercury safety (1.7µg/day estimated release; named regulatory bodies; the Raap et al. allergy study showing amalgam was the LEAST common positive reaction among dental metals tested) in the amalgam section, and the fluoride-release continuum / CTE / real wear-rate data (73µm/yr GIC vs &lt;10µm/yr composite) in the GIC section. Marzouk's was also checked (its full canonical text, not the stale partial cache) but its amalgam/GIC content was found to be either superseded chemistry or not meaningfully distinct from what McCabe's/Sturdevant's already provided — no further Marzouk's content was added to this document.</w:t>
      </w:r>
    </w:p>
    <w:p>
      <w:r>
        <w:rPr>
          <w:b/>
        </w:rPr>
        <w:t xml:space="preserve">Second revision note: </w:t>
      </w:r>
      <w:r>
        <w:t>this document originally did not draw on Sturdevant's Art and Science of Operative Dentistry, despite it being a standing core Module 1 text with dedicated, directly on-topic chapters (Ch.11: Introduction to Composite Restorations; Ch.16: Introduction to Amalgam Restorations). This was caught when the user asked why the usual operative-dentistry textbooks were missing. Sections 1.8 and 2.6 (source [4]) were added to close this gap: real indications/contraindications/advantages/disadvantages lists for both materials, including the ADA's own composite position statement.</w:t>
      </w:r>
    </w:p>
    <w:p>
      <w:r>
        <w:rPr>
          <w:b/>
        </w:rPr>
        <w:t xml:space="preserve">Revision note: </w:t>
      </w:r>
      <w:r>
        <w:t>Applied Dental Materials (McCabe) has since been supplied by the user and added as source [3]. New content: Section 1.7 (amalgam cavity design, pin/groove retention, matrix/wedge technique, alloy:mercury ratios and optimal final mercury content), a sharper second-opinion framing of the amalgam-safety debate in Section 1.6, and Section 2.5 (the 90° vs. 120° cavo-surface-angle trade-off for composite, and the DBA-vs-unfilled-resin enamel bond-strength finding). The gap note below is retained for transparency about the original delivery's limitation.</w:t>
      </w:r>
    </w:p>
    <w:p>
      <w:r>
        <w:rPr>
          <w:b/>
        </w:rPr>
        <w:t xml:space="preserve">Fourth revision note (audit): </w:t>
      </w:r>
      <w:r>
        <w:t>added Bhat VS, Nandish BT, Jayaprakash K. Science of Dental Materials with Clinical Applications (3rd ed.) as source [6], at the user's request to audit this module against two Module 3 dental-materials sources. Real, additive content found: two corrosion mechanisms (corrosion fatigue, biocorrosion) not covered by the existing corrosion-resistance-by-phase discussion. Michigan Craig's (Restorative Dental Materials, 11th ed.) was also checked but its overlapping content was confirmed, by reading, to genuinely duplicate the current Craig's 14th ed. already cited as [1] — not added as a separate source.</w:t>
      </w:r>
    </w:p>
    <w:p>
      <w:pPr>
        <w:spacing w:after="120"/>
      </w:pPr>
      <w:r>
        <w:rPr>
          <w:b/>
          <w:i w:val="0"/>
        </w:rPr>
        <w:t>A note on page citations:</w:t>
      </w:r>
      <w:r>
        <w:rPr>
          <w:b w:val="0"/>
          <w:i w:val="0"/>
        </w:rPr>
        <w:t xml:space="preserve"> both source PDFs use printed page numbers that differ from their PDF file page index by a fixed offset (confirmed directly against visible in-text page-number footers for each source); all page citations below cite the printed page number as it appears in the source itself.</w:t>
      </w:r>
    </w:p>
    <w:p>
      <w:r>
        <w:br w:type="page"/>
      </w:r>
    </w:p>
    <w:p>
      <w:pPr>
        <w:pStyle w:val="Heading1"/>
      </w:pPr>
      <w:r>
        <w:t>Sub-Module 3.1: Restorative Material Categories</w:t>
      </w:r>
    </w:p>
    <w:p>
      <w:pPr>
        <w:pStyle w:val="Heading2"/>
      </w:pPr>
      <w:r>
        <w:t>1. Amalgam Restorations</w:t>
      </w:r>
    </w:p>
    <w:p>
      <w:pPr>
        <w:pStyle w:val="Heading3"/>
      </w:pPr>
      <w:r>
        <w:t>1.1 Composition and Classification</w:t>
      </w:r>
    </w:p>
    <w:p>
      <w:pPr>
        <w:spacing w:before="80" w:after="80"/>
      </w:pPr>
      <w:r>
        <w:rPr>
          <w:b/>
        </w:rPr>
        <w:t xml:space="preserve">DEFINITION — Dental amalgam: </w:t>
      </w:r>
      <w:r>
        <w:rPr>
          <w:b w:val="0"/>
          <w:i w:val="0"/>
        </w:rPr>
        <w:t>an alloy of mercury with one or more other metals, produced by mixing liquid mercury with solid particles of an amalgam alloy (a commercially produced powder of filings, spheroid particles, or a combination) containing predominantly silver, tin, and copper, with zinc and palladium sometimes present in small amounts. Dental amalgam and amalgam alloy are distinct terms — the alloy is the unreacted powder; the amalgam is the set product of alloy plus mercury.</w:t>
      </w:r>
      <w:r>
        <w:t xml:space="preserve"> [1, p.171]</w:t>
      </w:r>
    </w:p>
    <w:p>
      <w:pPr>
        <w:spacing w:after="120"/>
      </w:pPr>
      <w:r>
        <w:rPr>
          <w:b w:val="0"/>
          <w:i w:val="0"/>
        </w:rPr>
        <w:t>ANSI/ADA Specification No. 1 (ISO 24234) requires amalgam alloy to consist primarily of silver, tin, and copper, with indium, palladium, platinum, zinc, or mercury permitted in lesser amounts; alloys with more than 0.01% zinc are classified as zinc-containing, those below as non-zinc</w:t>
      </w:r>
      <w:r>
        <w:rPr>
          <w:b w:val="0"/>
          <w:i w:val="0"/>
        </w:rPr>
        <w:t xml:space="preserve"> [1, p.172]</w:t>
      </w:r>
      <w:r>
        <w:rPr>
          <w:b w:val="0"/>
          <w:i w:val="0"/>
        </w:rPr>
        <w:t>. Alloys are broadly classified by copper content</w:t>
      </w:r>
      <w:r>
        <w:rPr>
          <w:b w:val="0"/>
          <w:i w:val="0"/>
        </w:rPr>
        <w:t xml:space="preserve"> [1, p.172]</w:t>
      </w:r>
      <w:r>
        <w:rPr>
          <w:b w:val="0"/>
          <w:i w:val="0"/>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Class</w:t>
            </w:r>
          </w:p>
        </w:tc>
        <w:tc>
          <w:tcPr>
            <w:tcW w:type="dxa" w:w="2880"/>
          </w:tcPr>
          <w:p>
            <w:r>
              <w:rPr>
                <w:b/>
                <w:sz w:val="18"/>
              </w:rPr>
              <w:t>Copper content</w:t>
            </w:r>
          </w:p>
        </w:tc>
        <w:tc>
          <w:tcPr>
            <w:tcW w:type="dxa" w:w="2880"/>
          </w:tcPr>
          <w:p>
            <w:r>
              <w:rPr>
                <w:b/>
                <w:sz w:val="18"/>
              </w:rPr>
              <w:t>Status</w:t>
            </w:r>
          </w:p>
        </w:tc>
      </w:tr>
      <w:tr>
        <w:tc>
          <w:tcPr>
            <w:tcW w:type="dxa" w:w="2880"/>
          </w:tcPr>
          <w:p>
            <w:r>
              <w:rPr>
                <w:sz w:val="18"/>
              </w:rPr>
              <w:t>Low-copper</w:t>
            </w:r>
          </w:p>
        </w:tc>
        <w:tc>
          <w:tcPr>
            <w:tcW w:type="dxa" w:w="2880"/>
          </w:tcPr>
          <w:p>
            <w:r>
              <w:rPr>
                <w:sz w:val="18"/>
              </w:rPr>
              <w:t>≤5%</w:t>
            </w:r>
          </w:p>
        </w:tc>
        <w:tc>
          <w:tcPr>
            <w:tcW w:type="dxa" w:w="2880"/>
          </w:tcPr>
          <w:p>
            <w:r>
              <w:rPr>
                <w:sz w:val="18"/>
              </w:rPr>
              <w:t>Essentially entirely replaced in modern dentistry — inferior strength, corrosion resistance, and marginal integrity vs. high-copper alloys</w:t>
            </w:r>
          </w:p>
        </w:tc>
      </w:tr>
      <w:tr>
        <w:tc>
          <w:tcPr>
            <w:tcW w:type="dxa" w:w="2880"/>
          </w:tcPr>
          <w:p>
            <w:r>
              <w:rPr>
                <w:sz w:val="18"/>
              </w:rPr>
              <w:t>High-copper</w:t>
            </w:r>
          </w:p>
        </w:tc>
        <w:tc>
          <w:tcPr>
            <w:tcW w:type="dxa" w:w="2880"/>
          </w:tcPr>
          <w:p>
            <w:r>
              <w:rPr>
                <w:sz w:val="18"/>
              </w:rPr>
              <w:t>13-30%</w:t>
            </w:r>
          </w:p>
        </w:tc>
        <w:tc>
          <w:tcPr>
            <w:tcW w:type="dxa" w:w="2880"/>
          </w:tcPr>
          <w:p>
            <w:r>
              <w:rPr>
                <w:sz w:val="18"/>
              </w:rPr>
              <w:t>Current standard; markedly less marginal breakdown clinically (documented directly at 3 years in matched adjacent restorations)</w:t>
            </w:r>
          </w:p>
        </w:tc>
      </w:tr>
    </w:tbl>
    <w:p>
      <w:r>
        <w:rPr>
          <w:i/>
          <w:sz w:val="18"/>
        </w:rPr>
        <w:t>Source: [1, p.172].</w:t>
      </w:r>
    </w:p>
    <w:p/>
    <w:p>
      <w:pPr>
        <w:spacing w:after="120"/>
      </w:pPr>
      <w:r>
        <w:rPr>
          <w:b w:val="0"/>
          <w:i w:val="0"/>
        </w:rPr>
        <w:t>Particle morphology further subdivides high-copper alloys</w:t>
      </w:r>
      <w:r>
        <w:rPr>
          <w:b w:val="0"/>
          <w:i w:val="0"/>
        </w:rPr>
        <w:t xml:space="preserve"> [1, p.172]</w:t>
      </w:r>
      <w:r>
        <w:rPr>
          <w:b w:val="0"/>
          <w:i w:val="0"/>
        </w:rPr>
        <w:t xml:space="preserve">: </w:t>
      </w:r>
      <w:r>
        <w:rPr>
          <w:b/>
          <w:i w:val="0"/>
        </w:rPr>
        <w:t>admixed</w:t>
      </w:r>
      <w:r>
        <w:rPr>
          <w:b w:val="0"/>
          <w:i w:val="0"/>
        </w:rPr>
        <w:t xml:space="preserve"> alloys blend irregular lathe-cut particles (Ag₃Sn composition) with 33-60% spherical particles near the Ag₃Cu₂ eutectic composition; </w:t>
      </w:r>
      <w:r>
        <w:rPr>
          <w:b/>
          <w:i w:val="0"/>
        </w:rPr>
        <w:t>unicompositional</w:t>
      </w:r>
      <w:r>
        <w:rPr>
          <w:b w:val="0"/>
          <w:i w:val="0"/>
        </w:rPr>
        <w:t xml:space="preserve"> spherical alloys contain silver (40-60%), copper (13-30%), and tin (22-30%) all within the same particle. Admixed alloys remain more popular overall</w:t>
      </w:r>
      <w:r>
        <w:rPr>
          <w:b w:val="0"/>
          <w:i w:val="0"/>
        </w:rPr>
        <w:t xml:space="preserve"> [1, p.172]</w:t>
      </w:r>
      <w:r>
        <w:rPr>
          <w:b w:val="0"/>
          <w:i w:val="0"/>
        </w:rPr>
        <w:t>.</w:t>
      </w:r>
    </w:p>
    <w:p>
      <w:pPr>
        <w:pStyle w:val="Heading3"/>
      </w:pPr>
      <w:r>
        <w:t>1.2 Setting Reaction (Amalgamation)</w:t>
      </w:r>
    </w:p>
    <w:p>
      <w:pPr>
        <w:spacing w:after="120"/>
      </w:pPr>
      <w:r>
        <w:rPr>
          <w:b w:val="0"/>
          <w:i w:val="0"/>
        </w:rPr>
        <w:t xml:space="preserve">All amalgam alloys have Ag₃Sn (the </w:t>
      </w:r>
      <w:r>
        <w:rPr>
          <w:b w:val="0"/>
          <w:i/>
        </w:rPr>
        <w:t>gamma</w:t>
      </w:r>
      <w:r>
        <w:rPr>
          <w:b w:val="0"/>
          <w:i w:val="0"/>
        </w:rPr>
        <w:t xml:space="preserve"> phase) as their primary component. During trituration, mercury diffuses into alloy particles and reacts with the silver and tin to form Ag₂Hg₃ — the </w:t>
      </w:r>
      <w:r>
        <w:rPr>
          <w:b w:val="0"/>
          <w:i/>
        </w:rPr>
        <w:t>gamma-one (γ1)</w:t>
      </w:r>
      <w:r>
        <w:rPr>
          <w:b w:val="0"/>
          <w:i w:val="0"/>
        </w:rPr>
        <w:t xml:space="preserve"> phase — which becomes the matrix holding unreacted alloy particles together</w:t>
      </w:r>
      <w:r>
        <w:rPr>
          <w:b w:val="0"/>
          <w:i w:val="0"/>
        </w:rPr>
        <w:t xml:space="preserve"> [1, p.173]</w:t>
      </w:r>
      <w:r>
        <w:rPr>
          <w:b w:val="0"/>
          <w:i w:val="0"/>
        </w:rPr>
        <w:t>. The set mass retains approximately 27% unreacted alloy particles, which actually enhance final strength</w:t>
      </w:r>
      <w:r>
        <w:rPr>
          <w:b w:val="0"/>
          <w:i w:val="0"/>
        </w:rPr>
        <w:t xml:space="preserve"> [1, p.173]</w:t>
      </w:r>
      <w:r>
        <w:rPr>
          <w:b w:val="0"/>
          <w:i w:val="0"/>
        </w:rPr>
        <w:t xml:space="preserve">. In high-copper </w:t>
      </w:r>
      <w:r>
        <w:rPr>
          <w:b w:val="0"/>
          <w:i/>
        </w:rPr>
        <w:t>admixed</w:t>
      </w:r>
      <w:r>
        <w:rPr>
          <w:b w:val="0"/>
          <w:i w:val="0"/>
        </w:rPr>
        <w:t xml:space="preserve"> alloys specifically, dissolved tin and copper additionally form a copper-tin compound, Cu₆Sn₅ (the </w:t>
      </w:r>
      <w:r>
        <w:rPr>
          <w:b w:val="0"/>
          <w:i/>
        </w:rPr>
        <w:t>eta-prime, η′</w:t>
      </w:r>
      <w:r>
        <w:rPr>
          <w:b w:val="0"/>
          <w:i w:val="0"/>
        </w:rPr>
        <w:t xml:space="preserve"> phase); it is the presence of this compound — replacing the weak, corrosion-prone tin-mercury compound (γ2) found in low-copper amalgams — that gives high-copper amalgams their superior performance</w:t>
      </w:r>
      <w:r>
        <w:rPr>
          <w:b w:val="0"/>
          <w:i w:val="0"/>
        </w:rPr>
        <w:t xml:space="preserve"> [1, p.173-174]</w:t>
      </w:r>
      <w:r>
        <w:rPr>
          <w:b w:val="0"/>
          <w:i w:val="0"/>
        </w:rPr>
        <w:t>. In unicompositional alloys, both Ag₃Sn and Cu₃Sn are present within single spherical particles, so the copper-tin reaction occurs as a ring around each particle</w:t>
      </w:r>
      <w:r>
        <w:rPr>
          <w:b w:val="0"/>
          <w:i w:val="0"/>
        </w:rPr>
        <w:t xml:space="preserve"> [1, p.174]</w:t>
      </w:r>
      <w:r>
        <w:rPr>
          <w:b w:val="0"/>
          <w:i w:val="0"/>
        </w:rPr>
        <w:t>.</w:t>
      </w:r>
    </w:p>
    <w:p>
      <w:pPr>
        <w:pStyle w:val="ListBullet"/>
        <w:spacing w:after="60"/>
      </w:pPr>
      <w:r>
        <w:rPr>
          <w:b/>
          <w:i w:val="0"/>
        </w:rPr>
        <w:t>γ (Ag₃Sn):</w:t>
      </w:r>
      <w:r>
        <w:rPr>
          <w:b w:val="0"/>
          <w:i w:val="0"/>
        </w:rPr>
        <w:t xml:space="preserve"> the original alloy component</w:t>
      </w:r>
    </w:p>
    <w:p>
      <w:pPr>
        <w:pStyle w:val="ListBullet"/>
        <w:spacing w:after="60"/>
      </w:pPr>
      <w:r>
        <w:rPr>
          <w:b/>
          <w:i w:val="0"/>
        </w:rPr>
        <w:t>γ1 (Ag₂Hg₃):</w:t>
      </w:r>
      <w:r>
        <w:rPr>
          <w:b w:val="0"/>
          <w:i w:val="0"/>
        </w:rPr>
        <w:t xml:space="preserve"> the silver-mercury matrix phase — highest corrosion resistance of all phases</w:t>
      </w:r>
    </w:p>
    <w:p>
      <w:pPr>
        <w:pStyle w:val="ListBullet"/>
        <w:spacing w:after="60"/>
      </w:pPr>
      <w:r>
        <w:rPr>
          <w:b/>
          <w:i w:val="0"/>
        </w:rPr>
        <w:t>η′ (Cu₆Sn₅):</w:t>
      </w:r>
      <w:r>
        <w:rPr>
          <w:b w:val="0"/>
          <w:i w:val="0"/>
        </w:rPr>
        <w:t xml:space="preserve"> the copper-tin phase responsible for high-copper amalgams' superior clinical performance</w:t>
      </w:r>
    </w:p>
    <w:p>
      <w:pPr>
        <w:pStyle w:val="ListBullet"/>
        <w:spacing w:after="60"/>
      </w:pPr>
      <w:r>
        <w:rPr>
          <w:b/>
          <w:i w:val="0"/>
        </w:rPr>
        <w:t>γ2 (Sn₇₋₈Hg):</w:t>
      </w:r>
      <w:r>
        <w:rPr>
          <w:b w:val="0"/>
          <w:i w:val="0"/>
        </w:rPr>
        <w:t xml:space="preserve"> the weak, corrosion-prone tin-mercury phase present ONLY in low-copper amalgams — its absence in high-copper systems is the key structural reason for their improved performance</w:t>
      </w:r>
    </w:p>
    <w:p>
      <w:pPr>
        <w:spacing w:after="120"/>
      </w:pPr>
      <w:r>
        <w:rPr>
          <w:b w:val="0"/>
          <w:i w:val="0"/>
        </w:rPr>
        <w:t>Working time is the interval between the end of trituration and when the amalgam hardens and is no longer condensable/carvable; full reaction completion may take days to weeks, though considerable strength is achieved within hours — patients are typically advised to avoid direct chewing on the restoration for the first 24 hours as a precaution</w:t>
      </w:r>
      <w:r>
        <w:rPr>
          <w:b w:val="0"/>
          <w:i w:val="0"/>
        </w:rPr>
        <w:t xml:space="preserve"> [1, p.173]</w:t>
      </w:r>
      <w:r>
        <w:rPr>
          <w:b w:val="0"/>
          <w:i w:val="0"/>
        </w:rPr>
        <w:t>.</w:t>
      </w:r>
    </w:p>
    <w:p>
      <w:pPr>
        <w:pStyle w:val="Heading3"/>
      </w:pPr>
      <w:r>
        <w:t>1.3 Physical and Mechanical Properties</w:t>
      </w:r>
    </w:p>
    <w:p>
      <w:pPr>
        <w:spacing w:after="120"/>
      </w:pPr>
      <w:r>
        <w:rPr>
          <w:b w:val="0"/>
          <w:i w:val="0"/>
        </w:rPr>
        <w:t>ANSI/ADA Specification No. 1 sets three quality benchmarks: minimum compressive strength of 80 MPa at 1 hour and 300 MPa at 24 hours; maximum creep of 1.0%; and dimensional change between 5 minutes and 24 hours within −15 to +20 µm/cm</w:t>
      </w:r>
      <w:r>
        <w:rPr>
          <w:b w:val="0"/>
          <w:i w:val="0"/>
        </w:rPr>
        <w:t xml:space="preserve"> [1, p.175]</w:t>
      </w:r>
      <w:r>
        <w:rPr>
          <w:b w:val="0"/>
          <w:i w:val="0"/>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Property</w:t>
            </w:r>
          </w:p>
        </w:tc>
        <w:tc>
          <w:tcPr>
            <w:tcW w:type="dxa" w:w="2880"/>
          </w:tcPr>
          <w:p>
            <w:r>
              <w:rPr>
                <w:b/>
                <w:sz w:val="18"/>
              </w:rPr>
              <w:t>Key data</w:t>
            </w:r>
          </w:p>
        </w:tc>
        <w:tc>
          <w:tcPr>
            <w:tcW w:type="dxa" w:w="2880"/>
          </w:tcPr>
          <w:p>
            <w:r>
              <w:rPr>
                <w:b/>
                <w:sz w:val="18"/>
              </w:rPr>
              <w:t>Clinical significance</w:t>
            </w:r>
          </w:p>
        </w:tc>
      </w:tr>
      <w:tr>
        <w:tc>
          <w:tcPr>
            <w:tcW w:type="dxa" w:w="2880"/>
          </w:tcPr>
          <w:p>
            <w:r>
              <w:rPr>
                <w:sz w:val="18"/>
              </w:rPr>
              <w:t>Compressive strength</w:t>
            </w:r>
          </w:p>
        </w:tc>
        <w:tc>
          <w:tcPr>
            <w:tcW w:type="dxa" w:w="2880"/>
          </w:tcPr>
          <w:p>
            <w:r>
              <w:rPr>
                <w:sz w:val="18"/>
              </w:rPr>
              <w:t>High-copper unicompositional alloys exceed 250 MPa at 1 hour — the highest of any type</w:t>
            </w:r>
          </w:p>
        </w:tc>
        <w:tc>
          <w:tcPr>
            <w:tcW w:type="dxa" w:w="2880"/>
          </w:tcPr>
          <w:p>
            <w:r>
              <w:rPr>
                <w:sz w:val="18"/>
              </w:rPr>
              <w:t>Amalgam is strongest in compression, much weaker in tension/shear — cavity design should maximize compressive and minimize tensile/shear stress on the restoration [1, p.175]</w:t>
            </w:r>
          </w:p>
        </w:tc>
      </w:tr>
      <w:tr>
        <w:tc>
          <w:tcPr>
            <w:tcW w:type="dxa" w:w="2880"/>
          </w:tcPr>
          <w:p>
            <w:r>
              <w:rPr>
                <w:sz w:val="18"/>
              </w:rPr>
              <w:t>Elastic modulus</w:t>
            </w:r>
          </w:p>
        </w:tc>
        <w:tc>
          <w:tcPr>
            <w:tcW w:type="dxa" w:w="2880"/>
          </w:tcPr>
          <w:p>
            <w:r>
              <w:rPr>
                <w:sz w:val="18"/>
              </w:rPr>
              <w:t>40-60 GPa (vs. only 5-15 GPa for resin composites)</w:t>
            </w:r>
          </w:p>
        </w:tc>
        <w:tc>
          <w:tcPr>
            <w:tcW w:type="dxa" w:w="2880"/>
          </w:tcPr>
          <w:p>
            <w:r>
              <w:rPr>
                <w:sz w:val="18"/>
              </w:rPr>
              <w:t>A major stiffness difference relevant when choosing amalgam vs. composite for stress-bearing situations [1, p.176]</w:t>
            </w:r>
          </w:p>
        </w:tc>
      </w:tr>
      <w:tr>
        <w:tc>
          <w:tcPr>
            <w:tcW w:type="dxa" w:w="2880"/>
          </w:tcPr>
          <w:p>
            <w:r>
              <w:rPr>
                <w:sz w:val="18"/>
              </w:rPr>
              <w:t>Creep</w:t>
            </w:r>
          </w:p>
        </w:tc>
        <w:tc>
          <w:tcPr>
            <w:tcW w:type="dxa" w:w="2880"/>
          </w:tcPr>
          <w:p>
            <w:r>
              <w:rPr>
                <w:sz w:val="18"/>
              </w:rPr>
              <w:t>Specification limit 1.0%; measured by compressive shortening of a specimen at 37°C between 1-4 hours</w:t>
            </w:r>
          </w:p>
        </w:tc>
        <w:tc>
          <w:tcPr>
            <w:tcW w:type="dxa" w:w="2880"/>
          </w:tcPr>
          <w:p>
            <w:r>
              <w:rPr>
                <w:sz w:val="18"/>
              </w:rPr>
              <w:t>Poor predictor of clinical performance in practice — alloys with creep of 0.05% and 0.45% showed NO difference in clinical marginal breakdown in one dataset [1, p.176]</w:t>
            </w:r>
          </w:p>
        </w:tc>
      </w:tr>
      <w:tr>
        <w:tc>
          <w:tcPr>
            <w:tcW w:type="dxa" w:w="2880"/>
          </w:tcPr>
          <w:p>
            <w:r>
              <w:rPr>
                <w:sz w:val="18"/>
              </w:rPr>
              <w:t>Dimensional change</w:t>
            </w:r>
          </w:p>
        </w:tc>
        <w:tc>
          <w:tcPr>
            <w:tcW w:type="dxa" w:w="2880"/>
          </w:tcPr>
          <w:p>
            <w:r>
              <w:rPr>
                <w:sz w:val="18"/>
              </w:rPr>
              <w:t>Initial contraction (~20 min, alloy dissolving in mercury) then expansion (matrix formation); stabilizes by 6-8 hours</w:t>
            </w:r>
          </w:p>
        </w:tc>
        <w:tc>
          <w:tcPr>
            <w:tcW w:type="dxa" w:w="2880"/>
          </w:tcPr>
          <w:p>
            <w:r>
              <w:rPr>
                <w:sz w:val="18"/>
              </w:rPr>
              <w:t>A negative dimensional change creates an interfacial gap (amalgam does not bond to tooth structure); this gap size is linked to postoperative sensitivity via pulpal fluid pressure changes [1, p.176]</w:t>
            </w:r>
          </w:p>
        </w:tc>
      </w:tr>
    </w:tbl>
    <w:p/>
    <w:p>
      <w:pPr>
        <w:spacing w:after="120"/>
      </w:pPr>
      <w:r>
        <w:rPr>
          <w:b w:val="0"/>
          <w:i w:val="0"/>
        </w:rPr>
        <w:t>A specific clinical nuance on postoperative sensitivity: spherical-particle high-copper alloys have shown a greater propensity for postoperative sensitivity than lathe-cut alloys, traced not to dimensional change itself (which was not significantly different) but to greater microleakage from an uneven cavity-wall-adjacent surface texture in spherical alloys versus a smoother texture in lathe-cut alloys. Sealing dentinal tubules with a dentin bonding agent before amalgam placement is an effective but not widely adopted solution</w:t>
      </w:r>
      <w:r>
        <w:rPr>
          <w:b w:val="0"/>
          <w:i w:val="0"/>
        </w:rPr>
        <w:t xml:space="preserve"> [1, p.176]</w:t>
      </w:r>
      <w:r>
        <w:rPr>
          <w:b w:val="0"/>
          <w:i w:val="0"/>
        </w:rPr>
        <w:t>.</w:t>
      </w:r>
    </w:p>
    <w:p>
      <w:pPr>
        <w:pStyle w:val="Heading3"/>
      </w:pPr>
      <w:r>
        <w:t>1.4 Corrosion</w:t>
      </w:r>
    </w:p>
    <w:p>
      <w:pPr>
        <w:spacing w:after="120"/>
      </w:pPr>
      <w:r>
        <w:rPr>
          <w:b w:val="0"/>
          <w:i w:val="0"/>
        </w:rPr>
        <w:t>Corrosion products include tin oxides, tin hydroxychlorides, copper oxides, and copper chlorides, unsurprising given amalgam operates in an aerated, salt-solution (saliva) environment</w:t>
      </w:r>
      <w:r>
        <w:rPr>
          <w:b w:val="0"/>
          <w:i w:val="0"/>
        </w:rPr>
        <w:t xml:space="preserve"> [1, p.177]</w:t>
      </w:r>
      <w:r>
        <w:rPr>
          <w:b w:val="0"/>
          <w:i w:val="0"/>
        </w:rPr>
        <w:t>. Corrosion resistance by phase, highest to lowest: γ1 (Ag₂Hg₃) &gt; γ (Ag₃Sn) &gt; Ag₃Cu₂ &gt; ε (Cu₃Sn) &gt; η′ (Cu₆Sn₅) &gt; γ2 (Sn₇₋₈Hg)</w:t>
      </w:r>
      <w:r>
        <w:rPr>
          <w:b w:val="0"/>
          <w:i w:val="0"/>
        </w:rPr>
        <w:t xml:space="preserve"> [1, p.177]</w:t>
      </w:r>
      <w:r>
        <w:rPr>
          <w:b w:val="0"/>
          <w:i w:val="0"/>
        </w:rPr>
        <w:t xml:space="preserve"> — directly explaining why eliminating the γ2 phase (as high-copper amalgams do) improves overall corrosion resistance. Average corrosion depth is 100-500µm from the amalgam/tooth margin, and saliva's protein pellicle formation plus phosphate buffering actually inhibits corrosion</w:t>
      </w:r>
      <w:r>
        <w:rPr>
          <w:b w:val="0"/>
          <w:i w:val="0"/>
        </w:rPr>
        <w:t xml:space="preserve"> [1, p.177]</w:t>
      </w:r>
      <w:r>
        <w:rPr>
          <w:b w:val="0"/>
          <w:i w:val="0"/>
        </w:rPr>
        <w:t>.</w:t>
      </w:r>
    </w:p>
    <w:p>
      <w:r>
        <w:rPr>
          <w:b/>
        </w:rPr>
        <w:t xml:space="preserve">Audit note: </w:t>
      </w:r>
      <w:r>
        <w:t>the user asked for this module to be audited against two Module 3 dental-materials sources (Bhat's Science of Dental Materials, and the 11th-ed. Michigan Craig's), neither previously used here since Module 1's standing source list is a different, operative-dentistry-focused set. Checked by reading (not just grep hit-count): most of Michigan Craig's overlapping content — including the bonded-amalgam fracture-resistance data already given in Section 1.6 below — genuinely duplicates the current Craig's 14th ed. already cited here [1], confirming no addition was needed there. Bhat's, however, had two real, distinct corrosion mechanisms not covered in this section's corrosion-resistance-by-phase discussion below — added here.</w:t>
      </w:r>
    </w:p>
    <w:p>
      <w:pPr>
        <w:pStyle w:val="Heading3"/>
      </w:pPr>
      <w:r>
        <w:t>Two Further Real Corrosion Mechanisms Not Covered Above (Bhat's)</w:t>
      </w:r>
    </w:p>
    <w:p>
      <w:r>
        <w:t>Beyond the phase-by-phase corrosion-resistance ranking above, two further real, named mechanisms affect amalgam's long-term corrosion behavior. Corrosion fatigue occurs from the SIMULTANEOUS action of cyclic mechanical forces and chemical attack — the chemical attack initiates surface cracks, and cyclic loading then drives crack propagation and failure, a real, two-stage mechanism distinct from either corrosion or fatigue acting alone. Biocorrosion is a specifically microbiological mechanism: the metabolic activity of aerobic and anaerobic microorganisms growing in food debris collected on or near a metallic restoration's surface causes real chemical attack and corrosion in its own right, independent of the purely electrochemical mechanisms already covered [6, p.318].</w:t>
      </w:r>
    </w:p>
    <w:p>
      <w:pPr>
        <w:pStyle w:val="Heading3"/>
      </w:pPr>
      <w:r>
        <w:t>1.5 Clinical Longevity and Survival</w:t>
      </w:r>
    </w:p>
    <w:p>
      <w:pPr>
        <w:spacing w:after="120"/>
      </w:pPr>
      <w:r>
        <w:rPr>
          <w:b w:val="0"/>
          <w:i w:val="0"/>
        </w:rPr>
        <w:t>Longevity depends heavily on placement context</w:t>
      </w:r>
      <w:r>
        <w:rPr>
          <w:b w:val="0"/>
          <w:i w:val="0"/>
        </w:rPr>
        <w:t xml:space="preserve"> [2, p.358]</w:t>
      </w:r>
      <w:r>
        <w:rPr>
          <w:b w:val="0"/>
          <w:i w:val="0"/>
        </w:rPr>
        <w:t xml:space="preserve">: median survival for posterior amalgam is </w:t>
      </w:r>
      <w:r>
        <w:rPr>
          <w:b/>
          <w:i w:val="0"/>
        </w:rPr>
        <w:t>7 to 15 years in general practice</w:t>
      </w:r>
      <w:r>
        <w:rPr>
          <w:b w:val="0"/>
          <w:i w:val="0"/>
        </w:rPr>
        <w:t xml:space="preserve"> (larger/more complex restorations at the lower end), versus a striking </w:t>
      </w:r>
      <w:r>
        <w:rPr>
          <w:b/>
          <w:i w:val="0"/>
        </w:rPr>
        <w:t>55 to 70 years in controlled clinical studies</w:t>
      </w:r>
      <w:r>
        <w:rPr>
          <w:b w:val="0"/>
          <w:i w:val="0"/>
        </w:rPr>
        <w:t xml:space="preserve"> with calibrated dentists working without time pressure on motivated patients — a genuinely large practice-vs-ideal-conditions gap worth noting explicitly rather than quoting a single figure.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Alloy type</w:t>
            </w:r>
          </w:p>
        </w:tc>
        <w:tc>
          <w:tcPr>
            <w:tcW w:type="dxa" w:w="4320"/>
          </w:tcPr>
          <w:p>
            <w:r>
              <w:rPr>
                <w:b/>
                <w:sz w:val="18"/>
              </w:rPr>
              <w:t>12-year survival rate</w:t>
            </w:r>
          </w:p>
        </w:tc>
      </w:tr>
      <w:tr>
        <w:tc>
          <w:tcPr>
            <w:tcW w:type="dxa" w:w="4320"/>
          </w:tcPr>
          <w:p>
            <w:r>
              <w:rPr>
                <w:sz w:val="18"/>
              </w:rPr>
              <w:t>High-copper with zinc (HCZ)</w:t>
            </w:r>
          </w:p>
        </w:tc>
        <w:tc>
          <w:tcPr>
            <w:tcW w:type="dxa" w:w="4320"/>
          </w:tcPr>
          <w:p>
            <w:r>
              <w:rPr>
                <w:sz w:val="18"/>
              </w:rPr>
              <w:t>~90% — best overall performance</w:t>
            </w:r>
          </w:p>
        </w:tc>
      </w:tr>
      <w:tr>
        <w:tc>
          <w:tcPr>
            <w:tcW w:type="dxa" w:w="4320"/>
          </w:tcPr>
          <w:p>
            <w:r>
              <w:rPr>
                <w:sz w:val="18"/>
              </w:rPr>
              <w:t>High-copper without zinc (HC)</w:t>
            </w:r>
          </w:p>
        </w:tc>
        <w:tc>
          <w:tcPr>
            <w:tcW w:type="dxa" w:w="4320"/>
          </w:tcPr>
          <w:p>
            <w:r>
              <w:rPr>
                <w:sz w:val="18"/>
              </w:rPr>
              <w:t>~80%</w:t>
            </w:r>
          </w:p>
        </w:tc>
      </w:tr>
      <w:tr>
        <w:tc>
          <w:tcPr>
            <w:tcW w:type="dxa" w:w="4320"/>
          </w:tcPr>
          <w:p>
            <w:r>
              <w:rPr>
                <w:sz w:val="18"/>
              </w:rPr>
              <w:t>Low-copper with zinc (LCZ)</w:t>
            </w:r>
          </w:p>
        </w:tc>
        <w:tc>
          <w:tcPr>
            <w:tcW w:type="dxa" w:w="4320"/>
          </w:tcPr>
          <w:p>
            <w:r>
              <w:rPr>
                <w:sz w:val="18"/>
              </w:rPr>
              <w:t>Intermediate; distinguishable from HC/HCZ only after ~6 years</w:t>
            </w:r>
          </w:p>
        </w:tc>
      </w:tr>
      <w:tr>
        <w:tc>
          <w:tcPr>
            <w:tcW w:type="dxa" w:w="4320"/>
          </w:tcPr>
          <w:p>
            <w:r>
              <w:rPr>
                <w:sz w:val="18"/>
              </w:rPr>
              <w:t>Low-copper without zinc (LC)</w:t>
            </w:r>
          </w:p>
        </w:tc>
        <w:tc>
          <w:tcPr>
            <w:tcW w:type="dxa" w:w="4320"/>
          </w:tcPr>
          <w:p>
            <w:r>
              <w:rPr>
                <w:sz w:val="18"/>
              </w:rPr>
              <w:t>Worst — 50% of restorations failed by 10 years</w:t>
            </w:r>
          </w:p>
        </w:tc>
      </w:tr>
    </w:tbl>
    <w:p>
      <w:r>
        <w:rPr>
          <w:i/>
          <w:sz w:val="18"/>
        </w:rPr>
        <w:t>Source: [2, p.358], based on 14 independent controlled clinical studies (1974-1983). The combined/synergistic corrosion protection from both copper and zinc content is the probable explanation, though the source notes the precise mechanism is not fully established.</w:t>
      </w:r>
    </w:p>
    <w:p/>
    <w:p>
      <w:pPr>
        <w:spacing w:after="120"/>
      </w:pPr>
      <w:r>
        <w:rPr>
          <w:b w:val="0"/>
          <w:i w:val="0"/>
        </w:rPr>
        <w:t>The clinical diagnosis of secondary (recurrent) caries is the leading reason for amalgam replacement; fracture is second</w:t>
      </w:r>
      <w:r>
        <w:rPr>
          <w:b w:val="0"/>
          <w:i w:val="0"/>
        </w:rPr>
        <w:t xml:space="preserve"> [2, p.358]</w:t>
      </w:r>
      <w:r>
        <w:rPr>
          <w:b w:val="0"/>
          <w:i w:val="0"/>
        </w:rPr>
        <w:t>. Minor marginal breakdown (gaps ≤250µm) can be repaired rather than requiring full replacement — either by condensing fresh amalgam against a roughened old-amalgam surface (repair strength up to 50% of unrepaired amalgam; resin bonding agents give no added benefit once mechanical roughening is done) or, more conservatively, by etching and sealing the marginal gap with a dentin bonding adhesive, an approach with promising but still-limited long-term evidence</w:t>
      </w:r>
      <w:r>
        <w:rPr>
          <w:b w:val="0"/>
          <w:i w:val="0"/>
        </w:rPr>
        <w:t xml:space="preserve"> [2, p.358-359]</w:t>
      </w:r>
      <w:r>
        <w:rPr>
          <w:b w:val="0"/>
          <w:i w:val="0"/>
        </w:rPr>
        <w:t>.</w:t>
      </w:r>
    </w:p>
    <w:p>
      <w:pPr>
        <w:pStyle w:val="Heading3"/>
      </w:pPr>
      <w:r>
        <w:t>1.6 Bonding, Advantages/Disadvantages, and Safety</w:t>
      </w:r>
    </w:p>
    <w:p>
      <w:pPr>
        <w:spacing w:after="120"/>
      </w:pPr>
      <w:r>
        <w:rPr>
          <w:b w:val="0"/>
          <w:i w:val="0"/>
        </w:rPr>
        <w:t>Amalgam does not chemically bond to tooth structure; large restorations require pins, slots, or grooves for mechanical retention (which do not reinforce the amalgam itself)</w:t>
      </w:r>
      <w:r>
        <w:rPr>
          <w:b w:val="0"/>
          <w:i w:val="0"/>
        </w:rPr>
        <w:t xml:space="preserve"> [1, p.177]</w:t>
      </w:r>
      <w:r>
        <w:rPr>
          <w:b w:val="0"/>
          <w:i w:val="0"/>
        </w:rPr>
        <w:t>. 4-META-based adhesive systems can achieve amalgam-to-dentin shear bond strengths up to 10 MPa (vs. 20-22 MPa for composite-to-dentin with the same adhesive) — this is described as commingling at the interface, not true adhesion. Bonded amalgam MOD restorations show more than double the fracture resistance of unbonded amalgam MODs, and bonding reduces marginal leakage in Class V restorations, though bonding does NOT improve amalgam-to-amalgam repair strength</w:t>
      </w:r>
      <w:r>
        <w:rPr>
          <w:b w:val="0"/>
          <w:i w:val="0"/>
        </w:rPr>
        <w:t xml:space="preserve"> [1, p.177-178]</w:t>
      </w:r>
      <w:r>
        <w:rPr>
          <w:b w:val="0"/>
          <w:i w:val="0"/>
        </w:rPr>
        <w:t>.</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Advantages</w:t>
            </w:r>
          </w:p>
        </w:tc>
        <w:tc>
          <w:tcPr>
            <w:tcW w:type="dxa" w:w="4320"/>
          </w:tcPr>
          <w:p>
            <w:r>
              <w:rPr>
                <w:b/>
                <w:sz w:val="18"/>
              </w:rPr>
              <w:t>Disadvantages</w:t>
            </w:r>
          </w:p>
        </w:tc>
      </w:tr>
      <w:tr>
        <w:tc>
          <w:tcPr>
            <w:tcW w:type="dxa" w:w="4320"/>
          </w:tcPr>
          <w:p>
            <w:r>
              <w:rPr>
                <w:sz w:val="18"/>
              </w:rPr>
              <w:t>Easy to insert, not overly technique-sensitive</w:t>
            </w:r>
          </w:p>
        </w:tc>
        <w:tc>
          <w:tcPr>
            <w:tcW w:type="dxa" w:w="4320"/>
          </w:tcPr>
          <w:p>
            <w:r>
              <w:rPr>
                <w:sz w:val="18"/>
              </w:rPr>
              <w:t>Silver color does not match tooth structure</w:t>
            </w:r>
          </w:p>
        </w:tc>
      </w:tr>
      <w:tr>
        <w:tc>
          <w:tcPr>
            <w:tcW w:type="dxa" w:w="4320"/>
          </w:tcPr>
          <w:p>
            <w:r>
              <w:rPr>
                <w:sz w:val="18"/>
              </w:rPr>
              <w:t>Maintains anatomical form; adequate fracture resistance</w:t>
            </w:r>
          </w:p>
        </w:tc>
        <w:tc>
          <w:tcPr>
            <w:tcW w:type="dxa" w:w="4320"/>
          </w:tcPr>
          <w:p>
            <w:r>
              <w:rPr>
                <w:sz w:val="18"/>
              </w:rPr>
              <w:t>Somewhat brittle; subject to corrosion and galvanic action</w:t>
            </w:r>
          </w:p>
        </w:tc>
      </w:tr>
      <w:tr>
        <w:tc>
          <w:tcPr>
            <w:tcW w:type="dxa" w:w="4320"/>
          </w:tcPr>
          <w:p>
            <w:r>
              <w:rPr>
                <w:sz w:val="18"/>
              </w:rPr>
              <w:t>Prevents marginal leakage after a period in service</w:t>
            </w:r>
          </w:p>
        </w:tc>
        <w:tc>
          <w:tcPr>
            <w:tcW w:type="dxa" w:w="4320"/>
          </w:tcPr>
          <w:p>
            <w:r>
              <w:rPr>
                <w:sz w:val="18"/>
              </w:rPr>
              <w:t>May show marginal breakdown over time</w:t>
            </w:r>
          </w:p>
        </w:tc>
      </w:tr>
      <w:tr>
        <w:tc>
          <w:tcPr>
            <w:tcW w:type="dxa" w:w="4320"/>
          </w:tcPr>
          <w:p>
            <w:r>
              <w:rPr>
                <w:sz w:val="18"/>
              </w:rPr>
              <w:t>Usable in stress-bearing areas</w:t>
            </w:r>
          </w:p>
        </w:tc>
        <w:tc>
          <w:tcPr>
            <w:tcW w:type="dxa" w:w="4320"/>
          </w:tcPr>
          <w:p>
            <w:r>
              <w:rPr>
                <w:sz w:val="18"/>
              </w:rPr>
              <w:t>Does not help retain weakened tooth structure (no adhesion)</w:t>
            </w:r>
          </w:p>
        </w:tc>
      </w:tr>
      <w:tr>
        <w:tc>
          <w:tcPr>
            <w:tcW w:type="dxa" w:w="4320"/>
          </w:tcPr>
          <w:p>
            <w:r>
              <w:rPr>
                <w:sz w:val="18"/>
              </w:rPr>
              <w:t>Long service life; cost-effective</w:t>
            </w:r>
          </w:p>
        </w:tc>
        <w:tc>
          <w:tcPr>
            <w:tcW w:type="dxa" w:w="4320"/>
          </w:tcPr>
          <w:p>
            <w:r>
              <w:rPr>
                <w:sz w:val="18"/>
              </w:rPr>
              <w:t>Regulatory/environmental concerns over mercury wastewater disposal</w:t>
            </w:r>
          </w:p>
        </w:tc>
      </w:tr>
    </w:tbl>
    <w:p>
      <w:r>
        <w:rPr>
          <w:i/>
          <w:sz w:val="18"/>
        </w:rPr>
        <w:t>Source: [1, p.171].</w:t>
      </w:r>
    </w:p>
    <w:p/>
    <w:p>
      <w:pPr>
        <w:spacing w:after="120"/>
      </w:pPr>
      <w:r>
        <w:rPr>
          <w:b w:val="0"/>
          <w:i w:val="0"/>
        </w:rPr>
        <w:t>On safety specifically: Coombs' type IV hypersensitivity/contact dermatitis reactions to amalgam occur in less than 1% of treated patients and should be confirmed by an allergist before switching materials</w:t>
      </w:r>
      <w:r>
        <w:rPr>
          <w:b w:val="0"/>
          <w:i w:val="0"/>
        </w:rPr>
        <w:t xml:space="preserve"> [2, p.359]</w:t>
      </w:r>
      <w:r>
        <w:rPr>
          <w:b w:val="0"/>
          <w:i w:val="0"/>
        </w:rPr>
        <w:t xml:space="preserve">. Philips' textbook frames the broader mercury-safety debate directly: amalgam's “unfounded concerns about health hazards from the leakage of mercury” are listed alongside its genuinely real disadvantages (poor esthetics, waste disposal concerns) — </w:t>
      </w:r>
      <w:r>
        <w:rPr>
          <w:b/>
          <w:i w:val="0"/>
        </w:rPr>
        <w:t>explicitly characterizing the health-hazard concern, specifically, as unfounded</w:t>
      </w:r>
      <w:r>
        <w:rPr>
          <w:b w:val="0"/>
          <w:i w:val="0"/>
        </w:rPr>
        <w:t>, while treating waste disposal as a separate, legitimate environmental issue rather than a patient-safety one</w:t>
      </w:r>
      <w:r>
        <w:rPr>
          <w:b w:val="0"/>
          <w:i w:val="0"/>
        </w:rPr>
        <w:t xml:space="preserve"> [2, p.277]</w:t>
      </w:r>
      <w:r>
        <w:rPr>
          <w:b w:val="0"/>
          <w:i w:val="0"/>
        </w:rPr>
        <w:t>.</w:t>
      </w:r>
    </w:p>
    <w:p>
      <w:r>
        <w:br w:type="page"/>
      </w:r>
    </w:p>
    <w:p>
      <w:r>
        <w:rPr>
          <w:b/>
        </w:rPr>
        <w:t xml:space="preserve">A second-opinion, sharper framing of the safety debate (McCabe): </w:t>
      </w:r>
      <w:r>
        <w:t>where amalgam use is restricted or deprecated, “the potential hazardous effects of alternative materials are often conveniently neglected” — mercury toxicity concerns are frequently highlighted with far less scrutiny applied to potential harms of resin-matrix composites themselves, including component cytotoxicity, the oestrogenicity of some resin precursors, and potentially tumour-inducing aerosols from polishing fine glass filler particles. The source's explicit position: the evidence for each of these composite-related concerns “may be tenuous,” but is “no more tenuous than the body of evidence on the toxicity of mercury in dental amalgam” — a direct claim that neither material's safety critics have a stronger evidence base than the other's.</w:t>
      </w:r>
      <w:r>
        <w:t xml:space="preserve"> [3, p.189]</w:t>
      </w:r>
    </w:p>
    <w:p>
      <w:r>
        <w:t>On occupational exposure specifically: despite dental personnel's increased mercury vapour exposure (released during trituration, condensation, or removal of old restorations, and worsened by spillage near heat sources, since mercury vapour pressure rises with temperature), studies of dentists' health, mortality, and morbidity rates have found NO significant difference from the general population — offered as reassurance against occupational mercury-toxicity fears, while still noting practical precautions (good ventilation, sealed/fixative storage of waste amalgam, never handling mercury/fresh amalgam by bare hand, since mercury is readily skin-absorbed).</w:t>
      </w:r>
      <w:r>
        <w:t xml:space="preserve"> [3, p.189]</w:t>
      </w:r>
    </w:p>
    <w:p>
      <w:pPr>
        <w:pStyle w:val="Heading3"/>
      </w:pPr>
      <w:r>
        <w:t>A Third, Quantified Opinion on Mercury Safety (Summitt's)</w:t>
      </w:r>
    </w:p>
    <w:p>
      <w:r>
        <w:t xml:space="preserve">Beyond Craig's “unfounded” framing and McCabe's “no more tenuous than composite’s own concerns” framing (Section 1.6 above), Summitt's adds real quantification: mercury is bound within amalgam's matrix phase by metallic bonds that are difficult to break, but mastication forces (commonly 200 MPa or higher, with associated frictional heat) have been theorized to release small amounts of vapor during function. For a patient with 12 amalgam restorations, the estimated metallic mercury release is only about </w:t>
      </w:r>
      <w:r>
        <w:t>1.7 µg per day</w:t>
      </w:r>
      <w:r>
        <w:t>.</w:t>
      </w:r>
      <w:r>
        <w:t xml:space="preserve"> [5, p.650]</w:t>
      </w:r>
    </w:p>
    <w:p>
      <w:r>
        <w:t>Multiple named regulatory/scientific bodies — the World Health Organization, US Public Health Service, National Institutes of Health, and Swedish Medical Research Council — have each reaffirmed no data compelling a change to current amalgam use, though a separate, general cross-industry push to reduce mercury use exists specifically for environmental (not patient-safety) reasons — consistent with the environmental-vs-safety distinction already drawn in Section 5.3 below.</w:t>
      </w:r>
      <w:r>
        <w:t xml:space="preserve"> [5, p.650-651]</w:t>
      </w:r>
    </w:p>
    <w:p>
      <w:r>
        <w:t>Specific allergy data: fewer than 1% of patients with an established mercury allergy show any clinically observable reaction to mercury specifically in dental amalgam. One cited study (Raap et al.) patch-tested 206 patients suspected of dental-metal contact allergy — only 28 had any positive reaction, and of those, just 4 reacted to amalgam specifically (versus 10 to gold sodium thiosulfate, 10 to palladium chloride, and 10 to nickel sulfate) — i.e. amalgam was the LEAST common positive reaction among the dental metals actually tested, not the most.</w:t>
      </w:r>
      <w:r>
        <w:t xml:space="preserve"> [5, p.651]</w:t>
      </w:r>
    </w:p>
    <w:p>
      <w:pPr>
        <w:pStyle w:val="Heading3"/>
      </w:pPr>
      <w:r>
        <w:t>1.7 Cavity Design, Retention Features, and Manipulative Variables (McCabe)</w:t>
      </w:r>
    </w:p>
    <w:p>
      <w:r>
        <w:t>Because amalgam has no intrinsic ability to bond to enamel/dentine, cavities must be prepared UNDERCUT (wider within the tooth than at the surface) for mechanical retention, while staying no wider than needed for caries removal, unsupported-enamel removal, and adequate packing access. Internal line angles should be rounded (minimizes internal restoration stress, aids adaptation); pulpal and gingival floors should be flat to permit condensation.</w:t>
      </w:r>
      <w:r>
        <w:t xml:space="preserve"> [3, p.189]</w:t>
      </w:r>
    </w:p>
    <w:p>
      <w:r>
        <w:t>The cavo-surface margin is described as particularly critical for amalgam: since amalgam is weak in thin section, a cavo-surface angle approaching 90° is desirable — difficult to achieve on a cusp slope without sacrificing tooth tissue, sometimes requiring local margin modification in enamel. Because enamel prism orientation near the GINGIVAL margin is apical (not perpendicular to the surface), this specific area needs finishing with a gingival margin trimmer; failure to remove unsupported enamel here creates an intrinsic weakness that can fail under matrix-band packing pressure, causing rapid marginal ditch formation and early recurrent-decay failure.</w:t>
      </w:r>
      <w:r>
        <w:t xml:space="preserve"> [3, p.189-190]</w:t>
      </w:r>
    </w:p>
    <w:p>
      <w:r>
        <w:t xml:space="preserve">Where a cusp has fractured and simple undercut retention is insufficient, alternative retention includes pits/grooves prepared in remaining dentine, or dentine pins (most commonly self-threading pins, which cut their own thread — in practice the thread quality is poor and retention actually comes from tightly-packed dentine chips around the pin). Pins must avoid the pulp/periodontium, leave adequate bulk for amalgam condensation around them, and not be placed too close together, since </w:t>
      </w:r>
      <w:r>
        <w:rPr>
          <w:i/>
        </w:rPr>
        <w:t>all dentine pins weaken the tooth</w:t>
      </w:r>
      <w:r>
        <w:t xml:space="preserve"> they are placed in — pins should therefore be used sparingly, not as a default retention method.</w:t>
      </w:r>
      <w:r>
        <w:t xml:space="preserve"> [3, p.190]</w:t>
      </w:r>
    </w:p>
    <w:p>
      <w:r>
        <w:t>Where an external wall is breached, a steel matrix band re-establishes the missing wall and must adapt closely to the gingival margin to prevent amalgam “ledges” outside the cavity during packing. Because the matrix thickness sits between the filling material and the adjacent tooth, proximal contact is re-established in two ways: burnishing the matrix outward against the adjacent tooth after adaptation, and inserting a wedge between the teeth — which both maintains cervical band adaptation and separates the teeth slightly to compensate for the matrix thickness.</w:t>
      </w:r>
      <w:r>
        <w:t xml:space="preserve"> [3, p.190-191]</w:t>
      </w:r>
    </w:p>
    <w:p>
      <w:pPr>
        <w:pStyle w:val="Heading3"/>
      </w:pPr>
      <w:r>
        <w:t>Manipulative Variables</w:t>
      </w:r>
    </w:p>
    <w:p>
      <w:r>
        <w:t>Amalgam manipulation proceeds through five stages, each affecting final restoration properties: proportioning/dispensing, trituration, condensation, carving, polishing.</w:t>
      </w:r>
      <w:r>
        <w:t xml:space="preserve"> [3, p.191]</w:t>
      </w:r>
    </w:p>
    <w:p>
      <w:r>
        <w:t>Alloy:mercury ratios range from 5:8 to 10:8 — mixes with MORE mercury (“wetter”) suit hand mixing; mixes with LESS mercury (“drier”) suit mechanical mixing; spherical-particle alloys need less mercury than lathe-cut for a workable mix. A key, easily-missed distinction: the mercury needed to produce a workable PLASTIC mix during condensation is GREATER than the mercury content optimal for the FINAL set material's properties — optimal final mercury content averages 45% for lathe-cut materials and 40% for spherical materials, which is why excess mercury is deliberately expressed out during condensation for alloy:mercury ratios near 5:8.</w:t>
      </w:r>
      <w:r>
        <w:t xml:space="preserve"> [3, p.191]</w:t>
      </w:r>
    </w:p>
    <w:p>
      <w:r>
        <w:t>Too much residual mercury converts more of the hard γ phase into the weak, soft γ2 phase (leaving excess unreacted mercury); too little mercury fails to fully wet alloy particle surfaces, leaving insufficient matrix phase to bind unreacted particles together — producing porosity. Both over- and under-mercury conditions degrade the restoration, for different structural reasons.</w:t>
      </w:r>
      <w:r>
        <w:t xml:space="preserve"> [3, p.191]</w:t>
      </w:r>
    </w:p>
    <w:p>
      <w:pPr>
        <w:pStyle w:val="Heading3"/>
      </w:pPr>
      <w:r>
        <w:t>1.8 Clinical Indications, Contraindications, Advantages, Disadvantages (Sturdevant's)</w:t>
      </w:r>
    </w:p>
    <w:p>
      <w:r>
        <w:t>Sturdevant's frames the amalgam-vs-composite choice around three practical decision factors — occlusal load, isolation, and operator ability/commitment — since amalgam and composite are typically the two materials actually being chosen between for a given direct restoration.</w:t>
      </w:r>
      <w:r>
        <w:t xml:space="preserve"> [4, p.694]</w:t>
      </w:r>
    </w:p>
    <w:p>
      <w:r>
        <w:t>Amalgam is indicated specifically for: moderate-large Class I/II restorations (especially under heavy occlusion, poor isolation, or root-surface extension), Class V restorations that are not esthetically critical/poorly isolated/entirely on the root surface, temporary caries-control restorations in badly broken-down teeth pending a pulpal-health reassessment, and foundations/core buildups needing extra retention before a subsequent crown.</w:t>
      </w:r>
      <w:r>
        <w:t xml:space="preserve"> [4, p.694-695]</w:t>
      </w:r>
    </w:p>
    <w:p>
      <w:r>
        <w:t>Contraindications are narrower than commonly assumed: there are FEW indications for amalgam in anterior teeth at all — occasional Class III use only if isolation is genuinely compromised, and Class V anterior use only where esthetics is explicitly unimportant to that patient. Because amalgam's tooth preparation is inherently LARGER than composite's for an equivalent lesion, most small-to-moderate posterior defects are now better restored with composite specifically for tooth-structure conservation, not only for esthetics.</w:t>
      </w:r>
      <w:r>
        <w:t xml:space="preserve"> [4, p.695]</w:t>
      </w:r>
    </w:p>
    <w:tbl>
      <w:tblPr>
        <w:tblStyle w:val="LightGrid-Accent1"/>
        <w:tblW w:type="auto" w:w="0"/>
        <w:tblLook w:firstColumn="1" w:firstRow="1" w:lastColumn="0" w:lastRow="0" w:noHBand="0" w:noVBand="1" w:val="04A0"/>
      </w:tblPr>
      <w:tblGrid>
        <w:gridCol w:w="4320"/>
        <w:gridCol w:w="4320"/>
      </w:tblGrid>
      <w:tr>
        <w:tc>
          <w:tcPr>
            <w:tcW w:type="dxa" w:w="4320"/>
          </w:tcPr>
          <w:p>
            <w:r>
              <w:rPr>
                <w:b/>
              </w:rPr>
              <w:t>Amalgam advantages</w:t>
            </w:r>
          </w:p>
        </w:tc>
        <w:tc>
          <w:tcPr>
            <w:tcW w:type="dxa" w:w="4320"/>
          </w:tcPr>
          <w:p>
            <w:r>
              <w:rPr>
                <w:b/>
              </w:rPr>
              <w:t>Amalgam disadvantages</w:t>
            </w:r>
          </w:p>
        </w:tc>
      </w:tr>
      <w:tr>
        <w:tc>
          <w:tcPr>
            <w:tcW w:type="dxa" w:w="4320"/>
          </w:tcPr>
          <w:p>
            <w:r>
              <w:t>Ease of use; high compressive strength; excellent wear resistance; favourable long-term clinical research; lower cost than composite</w:t>
            </w:r>
          </w:p>
        </w:tc>
        <w:tc>
          <w:tcPr>
            <w:tcW w:type="dxa" w:w="4320"/>
          </w:tcPr>
          <w:p>
            <w:r>
              <w:t>Noninsulating; nonesthetic; less conservative of tooth structure (more removal needed); weakens remaining tooth structure; more technique-sensitive IF bonded; more difficult tooth preparation; initial marginal leakage</w:t>
            </w:r>
          </w:p>
        </w:tc>
      </w:tr>
    </w:tbl>
    <w:p>
      <w:r>
        <w:rPr>
          <w:i/>
        </w:rPr>
        <w:t xml:space="preserve">Source: [4, p.695]. </w:t>
      </w:r>
      <w:r>
        <w:rPr>
          <w:i/>
        </w:rPr>
        <w:t>A specific, honest editorial aside from the source, captioned under a figure of five amalgam restorations: “Most practitioners would restore all of these teeth with composite except tooth No. 30”</w:t>
      </w:r>
      <w:r>
        <w:t xml:space="preserve"> — i.e. even this amalgam-focused chapter's own illustrative examples concede that, in current practice, amalgam is now the exception rather than the default choice for most of the classic amalgam indications shown.</w:t>
      </w:r>
      <w:r>
        <w:t xml:space="preserve"> [4, p.694]</w:t>
      </w:r>
    </w:p>
    <w:p>
      <w:pPr>
        <w:pStyle w:val="Heading2"/>
      </w:pPr>
      <w:r>
        <w:t>2. Composite Resins (Direct Restorations)</w:t>
      </w:r>
    </w:p>
    <w:p>
      <w:pPr>
        <w:spacing w:before="80" w:after="80"/>
      </w:pPr>
      <w:r>
        <w:rPr>
          <w:b/>
        </w:rPr>
        <w:t xml:space="preserve">DEFINITION — Resin composite: </w:t>
      </w:r>
      <w:r>
        <w:rPr>
          <w:b w:val="0"/>
          <w:i w:val="0"/>
        </w:rPr>
        <w:t>a reinforced polymer matrix material — technically a “particulate-reinforced polymer matrix composite” — composed of four major components: an organic polymer matrix, inorganic filler particles, a coupling agent, and an initiator-accelerator system. Conventional and resin-modified glass ionomers are technically composites too, but are traditionally categorized separately owing to their distinct water-based, acid-base setting chemistry.</w:t>
      </w:r>
      <w:r>
        <w:t xml:space="preserve"> [1, p.135]</w:t>
      </w:r>
    </w:p>
    <w:p>
      <w:pPr>
        <w:pStyle w:val="Heading3"/>
      </w:pPr>
      <w:r>
        <w:t>2.1 Resin Matrix Composition</w:t>
      </w:r>
    </w:p>
    <w:p>
      <w:pPr>
        <w:spacing w:after="120"/>
      </w:pPr>
      <w:r>
        <w:rPr>
          <w:b w:val="0"/>
          <w:i w:val="0"/>
        </w:rPr>
        <w:t>The organic matrix is a cross-linked network of dimethacrylate monomers, most commonly Bis-GMA (bisphenol A-glycidyl methacrylate) and/or UDMA (urethane dimethacrylate), both bearing reactive carbon double bonds at each end for free-radical addition polymerization; their aromatic groups also help match refractive index with radiopaque glass fillers for good optical properties</w:t>
      </w:r>
      <w:r>
        <w:rPr>
          <w:b w:val="0"/>
          <w:i w:val="0"/>
        </w:rPr>
        <w:t xml:space="preserve"> [1, p.137]</w:t>
      </w:r>
      <w:r>
        <w:rPr>
          <w:b w:val="0"/>
          <w:i w:val="0"/>
        </w:rPr>
        <w:t>. Because Bis-GMA is highly viscous, low-molecular-weight diluent monomers — typically TEGDMA (triethylene glycol dimethacrylate) or Bis-EMA6 — are blended in by the manufacturer to reach a clinically workable consistency</w:t>
      </w:r>
      <w:r>
        <w:rPr>
          <w:b w:val="0"/>
          <w:i w:val="0"/>
        </w:rPr>
        <w:t xml:space="preserve"> [1, p.137]</w:t>
      </w:r>
      <w:r>
        <w:rPr>
          <w:b w:val="0"/>
          <w:i w:val="0"/>
        </w:rPr>
        <w:t>.</w:t>
      </w:r>
    </w:p>
    <w:p>
      <w:pPr>
        <w:spacing w:after="120"/>
      </w:pPr>
      <w:r>
        <w:rPr>
          <w:b w:val="0"/>
          <w:i w:val="0"/>
        </w:rPr>
        <w:t xml:space="preserve">Newer low-shrink monomer systems reduce volumetric shrinkage/polymerization stress by increasing the distance between methacrylate groups (lowering cross-link density) or increasing monomer stiffness — including </w:t>
      </w:r>
      <w:r>
        <w:rPr>
          <w:b/>
          <w:i w:val="0"/>
        </w:rPr>
        <w:t>silorane</w:t>
      </w:r>
      <w:r>
        <w:rPr>
          <w:b w:val="0"/>
          <w:i w:val="0"/>
        </w:rPr>
        <w:t xml:space="preserve"> monomers (from </w:t>
      </w:r>
      <w:r>
        <w:rPr>
          <w:b w:val="0"/>
          <w:i/>
        </w:rPr>
        <w:t>sil</w:t>
      </w:r>
      <w:r>
        <w:rPr>
          <w:b w:val="0"/>
          <w:i w:val="0"/>
        </w:rPr>
        <w:t xml:space="preserve">oxane + </w:t>
      </w:r>
      <w:r>
        <w:rPr>
          <w:b w:val="0"/>
          <w:i/>
        </w:rPr>
        <w:t>o</w:t>
      </w:r>
      <w:r>
        <w:rPr>
          <w:b w:val="0"/>
          <w:i w:val="0"/>
        </w:rPr>
        <w:t>xir</w:t>
      </w:r>
      <w:r>
        <w:rPr>
          <w:b w:val="0"/>
          <w:i/>
        </w:rPr>
        <w:t>ane</w:t>
      </w:r>
      <w:r>
        <w:rPr>
          <w:b w:val="0"/>
          <w:i w:val="0"/>
        </w:rPr>
        <w:t>), which use a cationic ring-opening polymerization mechanism instead of free-radical addition, require a dedicated initiator system, and need a matched adhesive/filler system since residual basicity in some glass fillers can destabilize the composite</w:t>
      </w:r>
      <w:r>
        <w:rPr>
          <w:b w:val="0"/>
          <w:i w:val="0"/>
        </w:rPr>
        <w:t xml:space="preserve"> [1, p.138]</w:t>
      </w:r>
      <w:r>
        <w:rPr>
          <w:b w:val="0"/>
          <w:i w:val="0"/>
        </w:rPr>
        <w:t>.</w:t>
      </w:r>
    </w:p>
    <w:p>
      <w:pPr>
        <w:pStyle w:val="Heading3"/>
      </w:pPr>
      <w:r>
        <w:t>2.2 Fillers and Classification by Filler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Type</w:t>
            </w:r>
          </w:p>
        </w:tc>
        <w:tc>
          <w:tcPr>
            <w:tcW w:type="dxa" w:w="2880"/>
          </w:tcPr>
          <w:p>
            <w:r>
              <w:rPr>
                <w:b/>
                <w:sz w:val="18"/>
              </w:rPr>
              <w:t>Filler particle size</w:t>
            </w:r>
          </w:p>
        </w:tc>
        <w:tc>
          <w:tcPr>
            <w:tcW w:type="dxa" w:w="2880"/>
          </w:tcPr>
          <w:p>
            <w:r>
              <w:rPr>
                <w:b/>
                <w:sz w:val="18"/>
              </w:rPr>
              <w:t>Key characteristics</w:t>
            </w:r>
          </w:p>
        </w:tc>
      </w:tr>
      <w:tr>
        <w:tc>
          <w:tcPr>
            <w:tcW w:type="dxa" w:w="2880"/>
          </w:tcPr>
          <w:p>
            <w:r>
              <w:rPr>
                <w:sz w:val="18"/>
              </w:rPr>
              <w:t>Macrofill (early/historical)</w:t>
            </w:r>
          </w:p>
        </w:tc>
        <w:tc>
          <w:tcPr>
            <w:tcW w:type="dxa" w:w="2880"/>
          </w:tcPr>
          <w:p>
            <w:r>
              <w:rPr>
                <w:sz w:val="18"/>
              </w:rPr>
              <w:t>20-30 µm</w:t>
            </w:r>
          </w:p>
        </w:tc>
        <w:tc>
          <w:tcPr>
            <w:tcW w:type="dxa" w:w="2880"/>
          </w:tcPr>
          <w:p>
            <w:r>
              <w:rPr>
                <w:sz w:val="18"/>
              </w:rPr>
              <w:t>Opaque; low wear resistance</w:t>
            </w:r>
          </w:p>
        </w:tc>
      </w:tr>
      <w:tr>
        <w:tc>
          <w:tcPr>
            <w:tcW w:type="dxa" w:w="2880"/>
          </w:tcPr>
          <w:p>
            <w:r>
              <w:rPr>
                <w:sz w:val="18"/>
              </w:rPr>
              <w:t>Hybrid/microhybrid</w:t>
            </w:r>
          </w:p>
        </w:tc>
        <w:tc>
          <w:tcPr>
            <w:tcW w:type="dxa" w:w="2880"/>
          </w:tcPr>
          <w:p>
            <w:r>
              <w:rPr>
                <w:sz w:val="18"/>
              </w:rPr>
              <w:t>Fine particles 2-4µm (hybrid) or 0.04-1µm (microhybrid) + 5-15% microfine silica (0.04-0.2µm)</w:t>
            </w:r>
          </w:p>
        </w:tc>
        <w:tc>
          <w:tcPr>
            <w:tcW w:type="dxa" w:w="2880"/>
          </w:tcPr>
          <w:p>
            <w:r>
              <w:rPr>
                <w:sz w:val="18"/>
              </w:rPr>
              <w:t>60-70% filler by volume; good wear resistance and mechanical properties for stress-bearing use; lose surface polish/become dull over time</w:t>
            </w:r>
          </w:p>
        </w:tc>
      </w:tr>
      <w:tr>
        <w:tc>
          <w:tcPr>
            <w:tcW w:type="dxa" w:w="2880"/>
          </w:tcPr>
          <w:p>
            <w:r>
              <w:rPr>
                <w:sz w:val="18"/>
              </w:rPr>
              <w:t>Nanofill (true)</w:t>
            </w:r>
          </w:p>
        </w:tc>
        <w:tc>
          <w:tcPr>
            <w:tcW w:type="dxa" w:w="2880"/>
          </w:tcPr>
          <w:p>
            <w:r>
              <w:rPr>
                <w:sz w:val="18"/>
              </w:rPr>
              <w:t>1-100nm throughout (nanomers and/or nanoclusters, no larger primary particles)</w:t>
            </w:r>
          </w:p>
        </w:tc>
        <w:tc>
          <w:tcPr>
            <w:tcW w:type="dxa" w:w="2880"/>
          </w:tcPr>
          <w:p>
            <w:r>
              <w:rPr>
                <w:sz w:val="18"/>
              </w:rPr>
              <w:t>Combines microhybrid-level strength with microfill-level long-term polish retention (nanoclusters shear at a rate similar to the matrix during abrasion); highly translucent, opalescent, esthetic</w:t>
            </w:r>
          </w:p>
        </w:tc>
      </w:tr>
      <w:tr>
        <w:tc>
          <w:tcPr>
            <w:tcW w:type="dxa" w:w="2880"/>
          </w:tcPr>
          <w:p>
            <w:r>
              <w:rPr>
                <w:sz w:val="18"/>
              </w:rPr>
              <w:t>Nanohybrid</w:t>
            </w:r>
          </w:p>
        </w:tc>
        <w:tc>
          <w:tcPr>
            <w:tcW w:type="dxa" w:w="2880"/>
          </w:tcPr>
          <w:p>
            <w:r>
              <w:rPr>
                <w:sz w:val="18"/>
              </w:rPr>
              <w:t>Large particles (0.4-5µm) + added nanoparticles — a hybrid, not a true nanofill</w:t>
            </w:r>
          </w:p>
        </w:tc>
        <w:tc>
          <w:tcPr>
            <w:tcW w:type="dxa" w:w="2880"/>
          </w:tcPr>
          <w:p>
            <w:r>
              <w:rPr>
                <w:sz w:val="18"/>
              </w:rPr>
              <w:t>Gradually dulls over years like other hybrids, despite the “nano” label — the source flags this terminology as sometimes overstated/misused commercially</w:t>
            </w:r>
          </w:p>
        </w:tc>
      </w:tr>
      <w:tr>
        <w:tc>
          <w:tcPr>
            <w:tcW w:type="dxa" w:w="2880"/>
          </w:tcPr>
          <w:p>
            <w:r>
              <w:rPr>
                <w:sz w:val="18"/>
              </w:rPr>
              <w:t>Microfill</w:t>
            </w:r>
          </w:p>
        </w:tc>
        <w:tc>
          <w:tcPr>
            <w:tcW w:type="dxa" w:w="2880"/>
          </w:tcPr>
          <w:p>
            <w:r>
              <w:rPr>
                <w:sz w:val="18"/>
              </w:rPr>
              <w:t>0.04µm (microfine silica only)</w:t>
            </w:r>
          </w:p>
        </w:tc>
        <w:tc>
          <w:tcPr>
            <w:tcW w:type="dxa" w:w="2880"/>
          </w:tcPr>
          <w:p>
            <w:r>
              <w:rPr>
                <w:sz w:val="18"/>
              </w:rPr>
              <w:t>32-50% filler by volume; best polish/esthetics but higher shrinkage and lower strength</w:t>
            </w:r>
          </w:p>
        </w:tc>
      </w:tr>
    </w:tbl>
    <w:p>
      <w:r>
        <w:rPr>
          <w:i/>
          <w:sz w:val="18"/>
        </w:rPr>
        <w:t>Source: [1, p.139-143].</w:t>
      </w:r>
    </w:p>
    <w:p/>
    <w:p>
      <w:pPr>
        <w:spacing w:after="120"/>
      </w:pPr>
      <w:r>
        <w:rPr>
          <w:b w:val="0"/>
          <w:i w:val="0"/>
        </w:rPr>
        <w:t>Coupling agents (organosilanes, typically 3-methacryloxypropyltrimethoxysilane) are applied to filler particles before compounding: one functional end hydrolyzes and bonds to the inorganic filler, the other copolymerizes with the resin matrix during cure. This interfacial bridge strongly binds filler to matrix, enhances mechanical properties, minimizes filler “plucking” during wear, distributes stress between particles and matrix, and provides a hydrophobic barrier reducing water absorption</w:t>
      </w:r>
      <w:r>
        <w:rPr>
          <w:b w:val="0"/>
          <w:i w:val="0"/>
        </w:rPr>
        <w:t xml:space="preserve"> [1, p.142-143]</w:t>
      </w:r>
      <w:r>
        <w:rPr>
          <w:b w:val="0"/>
          <w:i w:val="0"/>
        </w:rPr>
        <w:t>.</w:t>
      </w:r>
    </w:p>
    <w:p>
      <w:pPr>
        <w:pStyle w:val="Heading3"/>
      </w:pPr>
      <w:r>
        <w:t>2.3 Curing and Setting Properties</w:t>
      </w:r>
    </w:p>
    <w:p>
      <w:pPr>
        <w:spacing w:after="120"/>
      </w:pPr>
      <w:r>
        <w:rPr>
          <w:b w:val="0"/>
          <w:i w:val="0"/>
        </w:rPr>
        <w:t>Light-cured composites polymerize “on demand” via blue light (~465nm peak) absorbed by a photosensitizer, usually camphorquinone (0.1-1.0%), with an organic amine accelerating free-radical generation; chemically-activated (self-cure) composites set in 3-5 minutes via an amine/peroxide two-paste reaction; some products are dual-cured for situations needing both modes (e.g., cores)</w:t>
      </w:r>
      <w:r>
        <w:rPr>
          <w:b w:val="0"/>
          <w:i w:val="0"/>
        </w:rPr>
        <w:t xml:space="preserve"> [1, p.143]</w:t>
      </w:r>
      <w:r>
        <w:rPr>
          <w:b w:val="0"/>
          <w:i w:val="0"/>
        </w:rPr>
        <w:t>. Even after the restoration feels hard, the setting reaction continues for 24 hours, with roughly 25% of carbon double bonds remaining unreacted in the bulk — a thin air-inhibited unpolymerized surface layer actually aids incremental layering technique</w:t>
      </w:r>
      <w:r>
        <w:rPr>
          <w:b w:val="0"/>
          <w:i w:val="0"/>
        </w:rPr>
        <w:t xml:space="preserve"> [1, p.147-148]</w:t>
      </w:r>
      <w:r>
        <w:rPr>
          <w:b w:val="0"/>
          <w:i w:val="0"/>
        </w:rPr>
        <w:t>.</w:t>
      </w:r>
    </w:p>
    <w:p>
      <w:pPr>
        <w:spacing w:after="120"/>
      </w:pPr>
      <w:r>
        <w:rPr>
          <w:b w:val="0"/>
          <w:i w:val="0"/>
        </w:rPr>
        <w:t>All composites shrink volumetrically on setting, generating contraction stresses up to 13 MPa at the tooth interface — straining the bond, risking a marginal gap (leakage, recurrent caries, staining) and potentially exceeding enamel's tensile strength (stress cracking, enamel fracture)</w:t>
      </w:r>
      <w:r>
        <w:rPr>
          <w:b w:val="0"/>
          <w:i w:val="0"/>
        </w:rPr>
        <w:t xml:space="preserve"> [1, p.148]</w:t>
      </w:r>
      <w:r>
        <w:rPr>
          <w:b w:val="0"/>
          <w:i w:val="0"/>
        </w:rPr>
        <w:t xml:space="preserve">. Because shrinkage </w:t>
      </w:r>
      <w:r>
        <w:rPr>
          <w:b w:val="0"/>
          <w:i/>
        </w:rPr>
        <w:t>stress</w:t>
      </w:r>
      <w:r>
        <w:rPr>
          <w:b w:val="0"/>
          <w:i w:val="0"/>
        </w:rPr>
        <w:t xml:space="preserve"> depends on both shrinkage strain AND the composite's stiffness at the time of shrinkage, a low-shrinkage composite with a high elastic modulus can still generate high stress — shrinkage percentage alone does not predict clinical stress outcome. Incremental (2mm layer) placement, curing each increment independently, reduces net shrinkage stress since a smaller volume shrinks per increment</w:t>
      </w:r>
      <w:r>
        <w:rPr>
          <w:b w:val="0"/>
          <w:i w:val="0"/>
        </w:rPr>
        <w:t xml:space="preserve"> [1, p.148]</w:t>
      </w:r>
      <w:r>
        <w:rPr>
          <w:b w:val="0"/>
          <w:i w:val="0"/>
        </w:rPr>
        <w:t>. Representative data: low-shrink universal composites show 0.9-1.8% volumetric shrinkage (pycnometer method) with 1.2-1.6 MPa polymerization stress, versus flowables at 2.4-2.9% shrinkage</w:t>
      </w:r>
      <w:r>
        <w:rPr>
          <w:b w:val="0"/>
          <w:i w:val="0"/>
        </w:rPr>
        <w:t xml:space="preserve"> [1, p.148]</w:t>
      </w:r>
      <w:r>
        <w:rPr>
          <w:b w:val="0"/>
          <w:i w:val="0"/>
        </w:rPr>
        <w:t>.</w:t>
      </w:r>
    </w:p>
    <w:p>
      <w:pPr>
        <w:pStyle w:val="Heading3"/>
      </w:pPr>
      <w:r>
        <w:t>2.4 Clinical Indications by Restoration Type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Restoration type</w:t>
            </w:r>
          </w:p>
        </w:tc>
        <w:tc>
          <w:tcPr>
            <w:tcW w:type="dxa" w:w="4320"/>
          </w:tcPr>
          <w:p>
            <w:r>
              <w:rPr>
                <w:b/>
                <w:sz w:val="18"/>
              </w:rPr>
              <w:t>Recommended composite category</w:t>
            </w:r>
          </w:p>
        </w:tc>
      </w:tr>
      <w:tr>
        <w:tc>
          <w:tcPr>
            <w:tcW w:type="dxa" w:w="4320"/>
          </w:tcPr>
          <w:p>
            <w:r>
              <w:rPr>
                <w:sz w:val="18"/>
              </w:rPr>
              <w:t>Class I</w:t>
            </w:r>
          </w:p>
        </w:tc>
        <w:tc>
          <w:tcPr>
            <w:tcW w:type="dxa" w:w="4320"/>
          </w:tcPr>
          <w:p>
            <w:r>
              <w:rPr>
                <w:sz w:val="18"/>
              </w:rPr>
              <w:t>Multipurpose, nanocomposite, bulk-filled, microfilled (posterior), compomer (posterior)</w:t>
            </w:r>
          </w:p>
        </w:tc>
      </w:tr>
      <w:tr>
        <w:tc>
          <w:tcPr>
            <w:tcW w:type="dxa" w:w="4320"/>
          </w:tcPr>
          <w:p>
            <w:r>
              <w:rPr>
                <w:sz w:val="18"/>
              </w:rPr>
              <w:t>Class II</w:t>
            </w:r>
          </w:p>
        </w:tc>
        <w:tc>
          <w:tcPr>
            <w:tcW w:type="dxa" w:w="4320"/>
          </w:tcPr>
          <w:p>
            <w:r>
              <w:rPr>
                <w:sz w:val="18"/>
              </w:rPr>
              <w:t>Multipurpose, nanocomposite, bulk-filled, laboratory, microfilled (posterior), compomer (posterior)</w:t>
            </w:r>
          </w:p>
        </w:tc>
      </w:tr>
      <w:tr>
        <w:tc>
          <w:tcPr>
            <w:tcW w:type="dxa" w:w="4320"/>
          </w:tcPr>
          <w:p>
            <w:r>
              <w:rPr>
                <w:sz w:val="18"/>
              </w:rPr>
              <w:t>Class III</w:t>
            </w:r>
          </w:p>
        </w:tc>
        <w:tc>
          <w:tcPr>
            <w:tcW w:type="dxa" w:w="4320"/>
          </w:tcPr>
          <w:p>
            <w:r>
              <w:rPr>
                <w:sz w:val="18"/>
              </w:rPr>
              <w:t>Multipurpose, nanocomposite, microfilled, compomer</w:t>
            </w:r>
          </w:p>
        </w:tc>
      </w:tr>
      <w:tr>
        <w:tc>
          <w:tcPr>
            <w:tcW w:type="dxa" w:w="4320"/>
          </w:tcPr>
          <w:p>
            <w:r>
              <w:rPr>
                <w:sz w:val="18"/>
              </w:rPr>
              <w:t>Class IV</w:t>
            </w:r>
          </w:p>
        </w:tc>
        <w:tc>
          <w:tcPr>
            <w:tcW w:type="dxa" w:w="4320"/>
          </w:tcPr>
          <w:p>
            <w:r>
              <w:rPr>
                <w:sz w:val="18"/>
              </w:rPr>
              <w:t>Multipurpose, nanocomposite</w:t>
            </w:r>
          </w:p>
        </w:tc>
      </w:tr>
      <w:tr>
        <w:tc>
          <w:tcPr>
            <w:tcW w:type="dxa" w:w="4320"/>
          </w:tcPr>
          <w:p>
            <w:r>
              <w:rPr>
                <w:sz w:val="18"/>
              </w:rPr>
              <w:t>Class V</w:t>
            </w:r>
          </w:p>
        </w:tc>
        <w:tc>
          <w:tcPr>
            <w:tcW w:type="dxa" w:w="4320"/>
          </w:tcPr>
          <w:p>
            <w:r>
              <w:rPr>
                <w:sz w:val="18"/>
              </w:rPr>
              <w:t>Multipurpose, nanocomposite, microfilled, RMGI, compomer</w:t>
            </w:r>
          </w:p>
        </w:tc>
      </w:tr>
      <w:tr>
        <w:tc>
          <w:tcPr>
            <w:tcW w:type="dxa" w:w="4320"/>
          </w:tcPr>
          <w:p>
            <w:r>
              <w:rPr>
                <w:sz w:val="18"/>
              </w:rPr>
              <w:t>Class VI (MOD)</w:t>
            </w:r>
          </w:p>
        </w:tc>
        <w:tc>
          <w:tcPr>
            <w:tcW w:type="dxa" w:w="4320"/>
          </w:tcPr>
          <w:p>
            <w:r>
              <w:rPr>
                <w:sz w:val="18"/>
              </w:rPr>
              <w:t>Bulk-filled, nanocomposite</w:t>
            </w:r>
          </w:p>
        </w:tc>
      </w:tr>
      <w:tr>
        <w:tc>
          <w:tcPr>
            <w:tcW w:type="dxa" w:w="4320"/>
          </w:tcPr>
          <w:p>
            <w:r>
              <w:rPr>
                <w:sz w:val="18"/>
              </w:rPr>
              <w:t>Cervical lesions / pediatric restorations</w:t>
            </w:r>
          </w:p>
        </w:tc>
        <w:tc>
          <w:tcPr>
            <w:tcW w:type="dxa" w:w="4320"/>
          </w:tcPr>
          <w:p>
            <w:r>
              <w:rPr>
                <w:sz w:val="18"/>
              </w:rPr>
              <w:t>Flowable, RMGI, compomer</w:t>
            </w:r>
          </w:p>
        </w:tc>
      </w:tr>
      <w:tr>
        <w:tc>
          <w:tcPr>
            <w:tcW w:type="dxa" w:w="4320"/>
          </w:tcPr>
          <w:p>
            <w:r>
              <w:rPr>
                <w:sz w:val="18"/>
              </w:rPr>
              <w:t>High caries-risk patients</w:t>
            </w:r>
          </w:p>
        </w:tc>
        <w:tc>
          <w:tcPr>
            <w:tcW w:type="dxa" w:w="4320"/>
          </w:tcPr>
          <w:p>
            <w:r>
              <w:rPr>
                <w:sz w:val="18"/>
              </w:rPr>
              <w:t>Glass ionomer, RMGI</w:t>
            </w:r>
          </w:p>
        </w:tc>
      </w:tr>
    </w:tbl>
    <w:p>
      <w:r>
        <w:rPr>
          <w:i/>
          <w:sz w:val="18"/>
        </w:rPr>
        <w:t>Source: [1, p.136], Table 9.1.</w:t>
      </w:r>
    </w:p>
    <w:p/>
    <w:p>
      <w:r>
        <w:br w:type="page"/>
      </w:r>
    </w:p>
    <w:p>
      <w:pPr>
        <w:pStyle w:val="Heading3"/>
      </w:pPr>
      <w:r>
        <w:t>2.5 Cavity Design for Composite: The Cavo-Surface Angle Trade-off (McCabe)</w:t>
      </w:r>
    </w:p>
    <w:p>
      <w:r>
        <w:t>Enamel etch-pattern quality depends on prism orientation relative to the etched surface: prisms etched PERPENDICULAR to their long axes give a better pattern than those etched PARALLEL to it. A 90° cavo-surface angle (well-supported enamel margins) unfortunately exposes prisms parallel to their long axes — the WORSE etching orientation. A 120° cavo-surface angle instead exposes a combination etch pattern, improving bond quality, though it is harder to finish a tooth-coloured restoration accurately to an oblique margin.</w:t>
      </w:r>
      <w:r>
        <w:t xml:space="preserve"> [3, p.216-217]</w:t>
      </w:r>
    </w:p>
    <w:p>
      <w:r>
        <w:t>This trade-off is resolved differently depending on restoration type: the 120° angle is acceptable where a tightly-adapted matrix band is NOT needed during initial restoration. For Class II cavities specifically, where a matrix band IS used, unfilled resin tends to pool in the V-shaped defect between the matrix and an obtusely-finished margin, producing a weak, wear-prone all-resin marginal zone — so a 90° cavo-surface angle is preferable there DESPITE its worse etch-pattern orientation, because the matrix-compatibility problem is judged the more clinically important factor for that restoration type.</w:t>
      </w:r>
      <w:r>
        <w:t xml:space="preserve"> [3, p.217]</w:t>
      </w:r>
    </w:p>
    <w:p>
      <w:r>
        <w:t>A further specific finding: a dentine bonding agent (DBA), though designed to attach composite to dentine, also bonds well to enamel — and the bond strength of composite to ETCHED ENAMEL using a DBA as the intermediary layer is often GREATER than using a simple unfilled resin alone, even though an unfilled resin is the traditional/classic intermediary for enamel bonding. Either intermediary layer is necessary because modern composites contain too little free resin to wet the enamel surface adequately on their own.</w:t>
      </w:r>
      <w:r>
        <w:t xml:space="preserve"> [3, p.217]</w:t>
      </w:r>
    </w:p>
    <w:p>
      <w:pPr>
        <w:pStyle w:val="Heading3"/>
      </w:pPr>
      <w:r>
        <w:t>2.6 Clinical Indications, Contraindications, Advantages, Disadvantages (Sturdevant's)</w:t>
      </w:r>
    </w:p>
    <w:p>
      <w:r>
        <w:t>Sturdevant's states composite “now enjoys universal clinical application” and lists explicit indications: Class I-VI restorations; foundations/core buildups; sealants and preventive resin restorations; esthetic enhancement (partial/full veneers, contour modification, diastema closure); luting cement for indirect restorations; temporary restorations; and periodontal splinting.</w:t>
      </w:r>
      <w:r>
        <w:t xml:space="preserve"> [4, p.506]</w:t>
      </w:r>
    </w:p>
    <w:p>
      <w:r>
        <w:t>The ADA's own position (as quoted by this source) is more specific still: composites are appropriate for sealants, preventive resins, initial Class I/II lesions with modified conservative preparations, moderate-sized Class I/II restorations, Class V restorations, esthetically important areas, and patients with metal allergy/sensitivity — but the ADA does NOT support composite in teeth with heavy occlusal stress, sites that cannot be isolated, or patients sensitive to composite itself. Used as indicated, the ADA states composite's “expected lifetime... can be comparable to that of amalgam in Class I, Class II, and Class V restorations.”</w:t>
      </w:r>
      <w:r>
        <w:t xml:space="preserve"> [4, p.506]</w:t>
      </w:r>
    </w:p>
    <w:p>
      <w:r>
        <w:t xml:space="preserve">Three practical selection factors mirror the amalgam framing above: </w:t>
      </w:r>
      <w:r>
        <w:t>isolation</w:t>
      </w:r>
      <w:r>
        <w:t xml:space="preserve"> (bonding requires a contamination-free field — if isolation is genuinely impossible, a nonbonded amalgam may be preferable since minor fluid contamination is less damaging to it); </w:t>
      </w:r>
      <w:r>
        <w:t>occlusion</w:t>
      </w:r>
      <w:r>
        <w:t xml:space="preserve"> (modern composite wear resistance is not substantially different from amalgam's, but for heavy bruxism/full-occlusal-contact restorations amalgam is still usually preferred); and </w:t>
      </w:r>
      <w:r>
        <w:t>operator ability/commitment</w:t>
      </w:r>
      <w:r>
        <w:t xml:space="preserve"> (composite tooth PREPARATION is easier than amalgam's, but isolation, etch/prime/bond placement, insertion, and finishing/polishing are all MORE demanding — i.e. composite trades preparation simplicity for placement-technique difficulty, the reverse of amalgam).</w:t>
      </w:r>
      <w:r>
        <w:t xml:space="preserve"> [4, p.506]</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Composite advantages</w:t>
            </w:r>
          </w:p>
        </w:tc>
        <w:tc>
          <w:tcPr>
            <w:tcW w:type="dxa" w:w="4320"/>
          </w:tcPr>
          <w:p>
            <w:r>
              <w:rPr>
                <w:b/>
              </w:rPr>
              <w:t>Composite disadvantages</w:t>
            </w:r>
          </w:p>
        </w:tc>
      </w:tr>
      <w:tr>
        <w:tc>
          <w:tcPr>
            <w:tcW w:type="dxa" w:w="4320"/>
          </w:tcPr>
          <w:p>
            <w:r>
              <w:t>Esthetic; conservative of tooth structure (less extension, uniform depth/mechanical retention usually unnecessary); simpler tooth preparation; insulative (low thermal conductivity); near-universal applicability; bonded (good retention, low microleakage, minimal interfacial staining, strengthens remaining tooth structure); repairable</w:t>
            </w:r>
          </w:p>
        </w:tc>
        <w:tc>
          <w:tcPr>
            <w:tcW w:type="dxa" w:w="4320"/>
          </w:tcPr>
          <w:p>
            <w:r>
              <w:t>Gap formation risk (esp. root-surface margins, where shrinkage force can exceed early dentin bond strength — a V-shaped contraction gap forms); more difficult/time-consuming/costly placement (multi-step bonding, harder insertion, harder to establish proximal contacts/contours, harder finishing/polishing)</w:t>
            </w:r>
          </w:p>
        </w:tc>
      </w:tr>
    </w:tbl>
    <w:p>
      <w:r>
        <w:rPr>
          <w:i/>
        </w:rPr>
        <w:t>Source: [4, p.507].</w:t>
      </w:r>
    </w:p>
    <w:p>
      <w:pPr>
        <w:pStyle w:val="Heading2"/>
      </w:pPr>
      <w:r>
        <w:t>3. Glass Ionomer Cements (GIC)</w:t>
      </w:r>
    </w:p>
    <w:p>
      <w:pPr>
        <w:spacing w:before="80" w:after="80"/>
      </w:pPr>
      <w:r>
        <w:rPr>
          <w:b/>
        </w:rPr>
        <w:t xml:space="preserve">DEFINITION — Glass ionomer cement: </w:t>
      </w:r>
      <w:r>
        <w:rPr>
          <w:b w:val="0"/>
          <w:i w:val="0"/>
        </w:rPr>
        <w:t>a water-based, self-adhesive restorative material in which the filler is a reactive fluoroaluminosilicate (FAS) glass and the matrix is a polymer/copolymer of carboxylic acids (typically acrylic and itaconic or maleic acid), set via an acid-base reaction — combining the ion-leachable chemistry of silicate cements with the acid chemistry of zinc polycarboxylate cements while avoiding silicates' susceptibility to dissolution.</w:t>
      </w:r>
      <w:r>
        <w:t xml:space="preserve"> [1, p.156]</w:t>
      </w:r>
    </w:p>
    <w:p>
      <w:pPr>
        <w:pStyle w:val="Heading3"/>
      </w:pPr>
      <w:r>
        <w:t>3.1 Composition and Setting Reaction</w:t>
      </w:r>
    </w:p>
    <w:p>
      <w:pPr>
        <w:spacing w:after="120"/>
      </w:pPr>
      <w:r>
        <w:rPr>
          <w:b w:val="0"/>
          <w:i w:val="0"/>
        </w:rPr>
        <w:t>Essential components: polycarboxylic acid, FAS glass, water, and tartaric acid (which controls working/setting characteristics)</w:t>
      </w:r>
      <w:r>
        <w:rPr>
          <w:b w:val="0"/>
          <w:i w:val="0"/>
        </w:rPr>
        <w:t xml:space="preserve"> [1, p.156]</w:t>
      </w:r>
      <w:r>
        <w:rPr>
          <w:b w:val="0"/>
          <w:i w:val="0"/>
        </w:rPr>
        <w:t>. On mixing, the acid's COOH groups partially ionize (releasing a hydrated proton that attacks the glass surface, releasing calcium and aluminium ions), and carboxylate anions from the polymer bind these metal ions to form a salt bridge — gelation and setting. Calcium binds the polyacrylate chains first; aluminium binding occurs later, and cement strength continues building as this proceeds</w:t>
      </w:r>
      <w:r>
        <w:rPr>
          <w:b w:val="0"/>
          <w:i w:val="0"/>
        </w:rPr>
        <w:t xml:space="preserve"> [1, p.156]</w:t>
      </w:r>
      <w:r>
        <w:rPr>
          <w:b w:val="0"/>
          <w:i w:val="0"/>
        </w:rPr>
        <w:t>. Initial set occurs within 3-4 minutes, but the ionic reaction continues for 24+ hours, with full maturation taking longer still (improved in newer formulations to allow finishing after only 15 minutes)</w:t>
      </w:r>
      <w:r>
        <w:rPr>
          <w:b w:val="0"/>
          <w:i w:val="0"/>
        </w:rPr>
        <w:t xml:space="preserve"> [1, p.156]</w:t>
      </w:r>
      <w:r>
        <w:rPr>
          <w:b w:val="0"/>
          <w:i w:val="0"/>
        </w:rPr>
        <w:t>.</w:t>
      </w:r>
    </w:p>
    <w:p>
      <w:pPr>
        <w:spacing w:after="120"/>
      </w:pPr>
      <w:r>
        <w:rPr>
          <w:b w:val="0"/>
          <w:i w:val="0"/>
        </w:rPr>
        <w:t xml:space="preserve">A critical by-product: </w:t>
      </w:r>
      <w:r>
        <w:rPr>
          <w:b/>
          <w:i w:val="0"/>
        </w:rPr>
        <w:t>fluoride ion release</w:t>
      </w:r>
      <w:r>
        <w:rPr>
          <w:b w:val="0"/>
          <w:i w:val="0"/>
        </w:rPr>
        <w:t>, which occurs as part of the same ion-exchange setting process (fluoride from the glass being replaced by carboxylates and water) — meaning properly formulated GIC does not lose strength as it releases fluoride over time, a point the source specifically emphasizes since intuition might suggest otherwise</w:t>
      </w:r>
      <w:r>
        <w:rPr>
          <w:b w:val="0"/>
          <w:i w:val="0"/>
        </w:rPr>
        <w:t xml:space="preserve"> [1, p.156]</w:t>
      </w:r>
      <w:r>
        <w:rPr>
          <w:b w:val="0"/>
          <w:i w:val="0"/>
        </w:rPr>
        <w:t>.</w:t>
      </w:r>
    </w:p>
    <w:p>
      <w:pPr>
        <w:pStyle w:val="Heading3"/>
      </w:pPr>
      <w:r>
        <w:t>3.2 Clinical Applications</w:t>
      </w:r>
    </w:p>
    <w:p>
      <w:pPr>
        <w:pStyle w:val="ListBullet"/>
        <w:spacing w:after="60"/>
      </w:pPr>
      <w:r>
        <w:rPr>
          <w:b w:val="0"/>
          <w:i w:val="0"/>
        </w:rPr>
        <w:t>Small, long-term non-stress-bearing restorations in permanent teeth, especially where one or more margins are on dentin</w:t>
      </w:r>
    </w:p>
    <w:p>
      <w:pPr>
        <w:pStyle w:val="ListBullet"/>
        <w:spacing w:after="60"/>
      </w:pPr>
      <w:r>
        <w:rPr>
          <w:b w:val="0"/>
          <w:i w:val="0"/>
        </w:rPr>
        <w:t>Interim restorations, including the Atraumatic Restorative Technique (ART)</w:t>
      </w:r>
    </w:p>
    <w:p>
      <w:pPr>
        <w:pStyle w:val="ListBullet"/>
        <w:spacing w:after="60"/>
      </w:pPr>
      <w:r>
        <w:rPr>
          <w:b w:val="0"/>
          <w:i w:val="0"/>
        </w:rPr>
        <w:t>Liner/base in deep lesions where demineralized dentin remains on the cavity floor for remineralization</w:t>
      </w:r>
    </w:p>
    <w:p>
      <w:pPr>
        <w:pStyle w:val="ListBullet"/>
        <w:spacing w:after="60"/>
      </w:pPr>
      <w:r>
        <w:rPr>
          <w:b w:val="0"/>
          <w:i w:val="0"/>
        </w:rPr>
        <w:t>“Sandwiching”/layering/stratification — resin composite bonded over a GIC base</w:t>
      </w:r>
    </w:p>
    <w:p>
      <w:pPr>
        <w:pStyle w:val="ListBullet"/>
        <w:spacing w:after="60"/>
      </w:pPr>
      <w:r>
        <w:rPr>
          <w:b w:val="0"/>
          <w:i w:val="0"/>
        </w:rPr>
        <w:t>Class V restorations and abfraction lesions specifically, owing to GIC's low elastic modulus accommodating greater tooth flexure at these sites</w:t>
      </w:r>
    </w:p>
    <w:p>
      <w:pPr>
        <w:spacing w:after="120"/>
      </w:pPr>
      <w:r>
        <w:rPr>
          <w:b w:val="0"/>
          <w:i w:val="0"/>
        </w:rPr>
        <w:t>Source: [1, p.161].</w:t>
      </w:r>
    </w:p>
    <w:p>
      <w:pPr>
        <w:pStyle w:val="Heading3"/>
      </w:pPr>
      <w:r>
        <w:t>The Fluoride-Release Continuum and Real Wear Data (Summitt's)</w:t>
      </w:r>
    </w:p>
    <w:p>
      <w:r>
        <w:t>Summitt's frames GIC, RMGI, fluoride-releasing composite, and giomer (surface pre-reacted glass, PRG, filler technology) materials as points along a single continuum: fluoride release AND recharge ability increase together from fluoride-releasing composite (lowest of both) through giomer through RMGI to conventional GIC (highest of both) — but this comes at the cost of progressively worse mechanical properties/wear resistance in the same direction.</w:t>
      </w:r>
      <w:r>
        <w:t xml:space="preserve"> [5, p.753, 758]</w:t>
      </w:r>
    </w:p>
    <w:p>
      <w:r>
        <w:rPr>
          <w:b/>
        </w:rPr>
        <w:t xml:space="preserve">DEFINITION — Fluoride recharge: </w:t>
      </w:r>
      <w:r>
        <w:t>the ability of a fluoride-releasing material (especially GIC) to replenish its OWN depleted fluoride reservoir when exposed to a topically-applied high-fluoride source (e.g. varnish, gel), then re-release that recharged fluoride back into the oral environment over time — giving GIC restorations a sustained, renewable low-level fluoride reservoir effect rather than a one-time release that simply exhausts itself.</w:t>
      </w:r>
      <w:r>
        <w:t xml:space="preserve"> [5, p.753]</w:t>
      </w:r>
    </w:p>
    <w:p>
      <w:r>
        <w:t>Coefficient of thermal expansion (CTE) data directly explains a real clinical difference already implicit in Sub-Module 3.1's earlier sections: GIC's CTE is similar to enamel/dentin (8.3-11×10⁻⁶/°C), while composite's CTE is roughly TWICE that of tooth structure — meaning GIC experiences less thermal-cycling stress at the restoration margin than composite does, independent of any bonding/shrinkage considerations already covered.</w:t>
      </w:r>
      <w:r>
        <w:t xml:space="preserve"> [5, p.753]</w:t>
      </w:r>
    </w:p>
    <w:p>
      <w:r>
        <w:t xml:space="preserve">Real comparative wear data, worth knowing precisely rather than only qualitatively: high-viscosity GIC (e.g. Ketac Molar, Fuji IX) shows a 1-year wear rate around </w:t>
      </w:r>
      <w:r>
        <w:t>73µm/year</w:t>
      </w:r>
      <w:r>
        <w:t>, compared with LESS THAN 10µm/year reported for various resin composites — confirming quantitatively why even improved high-viscosity GICs remain unsuitable for load-bearing permanent-dentition restorations despite their fluoride advantages.</w:t>
      </w:r>
      <w:r>
        <w:t xml:space="preserve"> [5, p.759]</w:t>
      </w:r>
    </w:p>
    <w:p>
      <w:pPr>
        <w:pStyle w:val="Heading3"/>
      </w:pPr>
      <w:r>
        <w:t>3.3 Properties</w:t>
      </w:r>
    </w:p>
    <w:p>
      <w:pPr>
        <w:spacing w:after="120"/>
      </w:pPr>
      <w:r>
        <w:rPr>
          <w:b w:val="0"/>
          <w:i w:val="0"/>
        </w:rPr>
        <w:t>Physical/mechanical properties are markedly lower than composite resins (flexural strength only 7-15 MPa for conventional GIC vs. 60-180 MPa for various composites), which is why GIC is indicated for conservative, non-stress-bearing restorations rather than as a general-purpose material</w:t>
      </w:r>
      <w:r>
        <w:rPr>
          <w:b w:val="0"/>
          <w:i w:val="0"/>
        </w:rPr>
        <w:t xml:space="preserve"> [1, p.149]</w:t>
      </w:r>
      <w:r>
        <w:rPr>
          <w:b w:val="0"/>
          <w:i w:val="0"/>
        </w:rPr>
        <w:t>. Its thermal diffusivity/expansion coefficient is closer to dentin than composite resin is, making it a good thermal-shock insulator as a liner/base</w:t>
      </w:r>
      <w:r>
        <w:rPr>
          <w:b w:val="0"/>
          <w:i w:val="0"/>
        </w:rPr>
        <w:t xml:space="preserve"> [1, p.162]</w:t>
      </w:r>
      <w:r>
        <w:rPr>
          <w:b w:val="0"/>
          <w:i w:val="0"/>
        </w:rPr>
        <w:t xml:space="preserve">. Released fluoride ions are taken up by adjacent enamel/dentin, reducing solubility and disrupting cariogenic bacterial activity; GIC restorations also act as fluoride </w:t>
      </w:r>
      <w:r>
        <w:rPr>
          <w:b w:val="0"/>
          <w:i/>
        </w:rPr>
        <w:t>reservoirs</w:t>
      </w:r>
      <w:r>
        <w:rPr>
          <w:b w:val="0"/>
          <w:i w:val="0"/>
        </w:rPr>
        <w:t>, re-absorbing salivary fluoride from dentifrices/mouthwashes for later re-release — a genuinely two-way fluoride dynamic, not simply a one-time release</w:t>
      </w:r>
      <w:r>
        <w:rPr>
          <w:b w:val="0"/>
          <w:i w:val="0"/>
        </w:rPr>
        <w:t xml:space="preserve"> [1, p.162]</w:t>
      </w:r>
      <w:r>
        <w:rPr>
          <w:b w:val="0"/>
          <w:i w:val="0"/>
        </w:rPr>
        <w:t>.</w:t>
      </w:r>
    </w:p>
    <w:p>
      <w:r>
        <w:br w:type="page"/>
      </w:r>
    </w:p>
    <w:p>
      <w:pPr>
        <w:pStyle w:val="Heading2"/>
      </w:pPr>
      <w:r>
        <w:t>4. Resin-Modified Glass Ionomers (RMGI) and Hybrid Materials</w:t>
      </w:r>
    </w:p>
    <w:p>
      <w:pPr>
        <w:spacing w:before="80" w:after="80"/>
      </w:pPr>
      <w:r>
        <w:rPr>
          <w:b/>
        </w:rPr>
        <w:t xml:space="preserve">DEFINITION — Resin-modified glass ionomer: </w:t>
      </w:r>
      <w:r>
        <w:rPr>
          <w:b w:val="0"/>
          <w:i w:val="0"/>
        </w:rPr>
        <w:t>a glass ionomer to which limited amounts of hydrophilic methacrylate monomer and free-radical initiators are added, so that a photoinitiated and/or redox (self-cure) polymerization of double bonds occurs ALONGSIDE the traditional acid-base GIC setting reaction — introduced in the late 1980s specifically to give a longer working time plus immediate light-cure finishing, addressing conventional GIC's slow initial maturation.</w:t>
      </w:r>
      <w:r>
        <w:t xml:space="preserve"> [1, p.157]</w:t>
      </w:r>
    </w:p>
    <w:p>
      <w:pPr>
        <w:pStyle w:val="Heading3"/>
      </w:pPr>
      <w:r>
        <w:t>4.1 Composition and Setting</w:t>
      </w:r>
    </w:p>
    <w:p>
      <w:pPr>
        <w:spacing w:after="120"/>
      </w:pPr>
      <w:r>
        <w:rPr>
          <w:b w:val="0"/>
          <w:i w:val="0"/>
        </w:rPr>
        <w:t>Essential RMGI components: polycarboxylic acid polymer (sometimes chemically modified with pendant methacrylate groups via isocyanatoethyl methacrylate), FAS glass, water, a hydrophilic methacrylate monomer (e.g., hydroxyethyl methacrylate or glycerol dimethacrylate), and free-radical initiators</w:t>
      </w:r>
      <w:r>
        <w:rPr>
          <w:b w:val="0"/>
          <w:i w:val="0"/>
        </w:rPr>
        <w:t xml:space="preserve"> [1, p.157]</w:t>
      </w:r>
      <w:r>
        <w:rPr>
          <w:b w:val="0"/>
          <w:i w:val="0"/>
        </w:rPr>
        <w:t>. Two genuinely distinct curing reactions occur simultaneously: the traditional acid-base GIC reaction, and free-radical methacrylate chain polymerization, the latter proceeding several orders of magnitude faster. The balance between the two depends on formulation — a system low in water and high in methacrylate content will have severely suppressed acid-base reaction, verifiable via FTIR/ESCA spectroscopy</w:t>
      </w:r>
      <w:r>
        <w:rPr>
          <w:b w:val="0"/>
          <w:i w:val="0"/>
        </w:rPr>
        <w:t xml:space="preserve"> [1, p.158]</w:t>
      </w:r>
      <w:r>
        <w:rPr>
          <w:b w:val="0"/>
          <w:i w:val="0"/>
        </w:rPr>
        <w:t xml:space="preserve">. </w:t>
      </w:r>
      <w:r>
        <w:rPr>
          <w:b/>
          <w:i w:val="0"/>
        </w:rPr>
        <w:t>Nanoionomer</w:t>
      </w:r>
      <w:r>
        <w:rPr>
          <w:b w:val="0"/>
          <w:i w:val="0"/>
        </w:rPr>
        <w:t xml:space="preserve"> is the latest RMGI advancement, incorporating nanoparticles alongside the conventional FAS glass component</w:t>
      </w:r>
      <w:r>
        <w:rPr>
          <w:b w:val="0"/>
          <w:i w:val="0"/>
        </w:rPr>
        <w:t xml:space="preserve"> [1, p.158]</w:t>
      </w:r>
      <w:r>
        <w:rPr>
          <w:b w:val="0"/>
          <w:i w:val="0"/>
        </w:rPr>
        <w:t>.</w:t>
      </w:r>
    </w:p>
    <w:p>
      <w:pPr>
        <w:pStyle w:val="Heading3"/>
      </w:pPr>
      <w:r>
        <w:t>4.2 Properties Compared to Conventional GIC</w:t>
      </w:r>
    </w:p>
    <w:p>
      <w:pPr>
        <w:spacing w:after="120"/>
      </w:pPr>
      <w:r>
        <w:rPr>
          <w:b w:val="0"/>
          <w:i w:val="0"/>
        </w:rPr>
        <w:t>RMGI's added covalent cross-linking (from methacrylate polymerization) improves wear resistance and dimensional stability over conventional GIC</w:t>
      </w:r>
      <w:r>
        <w:rPr>
          <w:b w:val="0"/>
          <w:i w:val="0"/>
        </w:rPr>
        <w:t xml:space="preserve"> [1, p.161]</w:t>
      </w:r>
      <w:r>
        <w:rPr>
          <w:b w:val="0"/>
          <w:i w:val="0"/>
        </w:rPr>
        <w:t xml:space="preserve"> (flexural strength 50-60 MPa vs. 7-15 MPa for conventional GIC</w:t>
      </w:r>
      <w:r>
        <w:rPr>
          <w:b w:val="0"/>
          <w:i w:val="0"/>
        </w:rPr>
        <w:t xml:space="preserve"> [1, p.149]</w:t>
      </w:r>
      <w:r>
        <w:rPr>
          <w:b w:val="0"/>
          <w:i w:val="0"/>
        </w:rPr>
        <w:t xml:space="preserve">). A distinctive, clinically useful characteristic: RMGI's modulus is </w:t>
      </w:r>
      <w:r>
        <w:rPr>
          <w:b w:val="0"/>
          <w:i/>
        </w:rPr>
        <w:t>low</w:t>
      </w:r>
      <w:r>
        <w:rPr>
          <w:b w:val="0"/>
          <w:i w:val="0"/>
        </w:rPr>
        <w:t xml:space="preserve"> immediately after the initial light-cure set, then </w:t>
      </w:r>
      <w:r>
        <w:rPr>
          <w:b w:val="0"/>
          <w:i/>
        </w:rPr>
        <w:t>increases over time</w:t>
      </w:r>
      <w:r>
        <w:rPr>
          <w:b w:val="0"/>
          <w:i w:val="0"/>
        </w:rPr>
        <w:t xml:space="preserve"> as the acid-base reaction completes — this makes RMGI particularly attractive as a liner/base beneath resin composite in sandwich restorations, since its initially-low modulus can absorb/relieve the composite's own polymerization shrinkage stress</w:t>
      </w:r>
      <w:r>
        <w:rPr>
          <w:b w:val="0"/>
          <w:i w:val="0"/>
        </w:rPr>
        <w:t xml:space="preserve"> [1, p.161]</w:t>
      </w:r>
      <w:r>
        <w:rPr>
          <w:b w:val="0"/>
          <w:i w:val="0"/>
        </w:rPr>
        <w:t>.</w:t>
      </w:r>
    </w:p>
    <w:p>
      <w:pPr>
        <w:pStyle w:val="Heading3"/>
      </w:pPr>
      <w:r>
        <w:t>4.3 Clinical Applications</w:t>
      </w:r>
    </w:p>
    <w:p>
      <w:pPr>
        <w:pStyle w:val="ListBullet"/>
        <w:spacing w:after="60"/>
      </w:pPr>
      <w:r>
        <w:rPr>
          <w:b w:val="0"/>
          <w:i w:val="0"/>
        </w:rPr>
        <w:t>Pediatric restorations and preventive applications (direct filling and core build-up) — favoured as a one-step procedure requiring minimal isolation</w:t>
      </w:r>
    </w:p>
    <w:p>
      <w:pPr>
        <w:pStyle w:val="ListBullet"/>
        <w:spacing w:after="60"/>
      </w:pPr>
      <w:r>
        <w:rPr>
          <w:b w:val="0"/>
          <w:i w:val="0"/>
        </w:rPr>
        <w:t>Erupting permanent molars with partially-exposed grooves not yet fully accessible for conventional resin sealant</w:t>
      </w:r>
    </w:p>
    <w:p>
      <w:pPr>
        <w:pStyle w:val="ListBullet"/>
        <w:spacing w:after="60"/>
      </w:pPr>
      <w:r>
        <w:rPr>
          <w:b w:val="0"/>
          <w:i w:val="0"/>
        </w:rPr>
        <w:t>Sandwich/layered restorations under resin composite, specifically leveraging the low-initial-modulus stress-relief property above</w:t>
      </w:r>
    </w:p>
    <w:p>
      <w:pPr>
        <w:spacing w:after="120"/>
      </w:pPr>
      <w:r>
        <w:rPr>
          <w:b w:val="0"/>
          <w:i w:val="0"/>
        </w:rPr>
        <w:t>Source: [1, p.161].</w:t>
      </w:r>
    </w:p>
    <w:p>
      <w:r>
        <w:br w:type="page"/>
      </w:r>
    </w:p>
    <w:p>
      <w:pPr>
        <w:pStyle w:val="Heading2"/>
      </w:pPr>
      <w:r>
        <w:t>5. Amalgam vs. Composite: A Direct Comparison</w:t>
      </w:r>
    </w:p>
    <w:p>
      <w:pPr>
        <w:pStyle w:val="Heading3"/>
      </w:pPr>
      <w:r>
        <w:t>5.1 Longevity</w:t>
      </w:r>
    </w:p>
    <w:p>
      <w:pPr>
        <w:spacing w:after="120"/>
      </w:pPr>
      <w:r>
        <w:rPr>
          <w:b w:val="0"/>
          <w:i w:val="0"/>
        </w:rPr>
        <w:t>Amalgam's median survival (7-15 years general practice; 55-70 years under controlled study conditions) was established in Section 1.5 above</w:t>
      </w:r>
      <w:r>
        <w:rPr>
          <w:b w:val="0"/>
          <w:i w:val="0"/>
        </w:rPr>
        <w:t xml:space="preserve"> [2, p.358]</w:t>
      </w:r>
      <w:r>
        <w:rPr>
          <w:b w:val="0"/>
          <w:i w:val="0"/>
        </w:rPr>
        <w:t xml:space="preserve">. Craig's frames amalgam explicitly as </w:t>
      </w:r>
      <w:r>
        <w:rPr>
          <w:b w:val="0"/>
          <w:i/>
        </w:rPr>
        <w:t>“the gold standard of reference”</w:t>
      </w:r>
      <w:r>
        <w:rPr>
          <w:b w:val="0"/>
          <w:i w:val="0"/>
        </w:rPr>
        <w:t xml:space="preserve"> against which resin composites are clinically benchmarked, while noting amalgam's own disadvantages (poor esthetics, the “unfounded” mercury health-hazard concern, and waste-disposal concerns) are precisely what drove composite's rise to become the most popular tooth-coloured filling material</w:t>
      </w:r>
      <w:r>
        <w:rPr>
          <w:b w:val="0"/>
          <w:i w:val="0"/>
        </w:rPr>
        <w:t xml:space="preserve"> [2, p.277]</w:t>
      </w:r>
      <w:r>
        <w:rPr>
          <w:b w:val="0"/>
          <w:i w:val="0"/>
        </w:rPr>
        <w:t>.</w:t>
      </w:r>
    </w:p>
    <w:p>
      <w:pPr>
        <w:pStyle w:val="Heading3"/>
      </w:pPr>
      <w:r>
        <w:t>5.2 Cost and Esthetic Considerations</w:t>
      </w:r>
    </w:p>
    <w:p>
      <w:pPr>
        <w:spacing w:after="120"/>
      </w:pPr>
      <w:r>
        <w:rPr>
          <w:b w:val="0"/>
          <w:i w:val="0"/>
        </w:rPr>
        <w:t>Amalgam is cost-effective and technique-forgiving — reasonably easy to insert and not overly technique-sensitive</w:t>
      </w:r>
      <w:r>
        <w:rPr>
          <w:b w:val="0"/>
          <w:i w:val="0"/>
        </w:rPr>
        <w:t xml:space="preserve"> [1, p.171]</w:t>
      </w:r>
      <w:r>
        <w:rPr>
          <w:b w:val="0"/>
          <w:i w:val="0"/>
        </w:rPr>
        <w:t>, which keeps chairside time and associated cost lower, particularly for large, stress-bearing posterior restorations. Composite's principal esthetic advantage is direct: it can be shade-matched and layered (opaque/dentin/enamel/incisal shades) to mimic natural tooth appearance, which amalgam's silver colour cannot achieve</w:t>
      </w:r>
      <w:r>
        <w:rPr>
          <w:b w:val="0"/>
          <w:i w:val="0"/>
        </w:rPr>
        <w:t xml:space="preserve"> [1, p.171]</w:t>
      </w:r>
      <w:r>
        <w:rPr>
          <w:b w:val="0"/>
          <w:i w:val="0"/>
        </w:rPr>
        <w:t>; this esthetic advantage is the primary driver of composite's popularity despite composite's own technique sensitivity (isolation, incremental placement, shrinkage management) and generally shorter typical clinical service life than amalgam in equivalent stress-bearing situations.</w:t>
      </w:r>
    </w:p>
    <w:p>
      <w:pPr>
        <w:pStyle w:val="Heading3"/>
      </w:pPr>
      <w:r>
        <w:t>5.3 Environmental and Safety Considerations</w:t>
      </w:r>
    </w:p>
    <w:p>
      <w:pPr>
        <w:spacing w:after="120"/>
      </w:pPr>
      <w:r>
        <w:rPr>
          <w:b w:val="0"/>
          <w:i w:val="0"/>
        </w:rPr>
        <w:t>The safety picture, per Section 1.6 above, distinguishes clearly between a genuinely rare hypersensitivity reaction (Coombs' type IV, &lt;1% of patients)</w:t>
      </w:r>
      <w:r>
        <w:rPr>
          <w:b w:val="0"/>
          <w:i w:val="0"/>
        </w:rPr>
        <w:t xml:space="preserve"> [2, p.359]</w:t>
      </w:r>
      <w:r>
        <w:rPr>
          <w:b w:val="0"/>
          <w:i w:val="0"/>
        </w:rPr>
        <w:t xml:space="preserve"> and the broader mercury “health hazard” public concern, which Craig's explicitly terms </w:t>
      </w:r>
      <w:r>
        <w:rPr>
          <w:b w:val="0"/>
          <w:i/>
        </w:rPr>
        <w:t>unfounded</w:t>
      </w:r>
      <w:r>
        <w:rPr>
          <w:b w:val="0"/>
          <w:i w:val="0"/>
        </w:rPr>
        <w:t xml:space="preserve"> [2, p.277]</w:t>
      </w:r>
      <w:r>
        <w:rPr>
          <w:b w:val="0"/>
          <w:i w:val="0"/>
        </w:rPr>
        <w:t xml:space="preserve"> — as distinct from the </w:t>
      </w:r>
      <w:r>
        <w:rPr>
          <w:b/>
          <w:i w:val="0"/>
        </w:rPr>
        <w:t>genuinely legitimate</w:t>
      </w:r>
      <w:r>
        <w:rPr>
          <w:b w:val="0"/>
          <w:i w:val="0"/>
        </w:rPr>
        <w:t xml:space="preserve"> waste-disposal/environmental concern around mercury entering wastewater, which is treated as real and is why amalgam separators and disposal regulations exist in contemporary practice</w:t>
      </w:r>
      <w:r>
        <w:rPr>
          <w:b w:val="0"/>
          <w:i w:val="0"/>
        </w:rPr>
        <w:t xml:space="preserve"> [1, p.171]</w:t>
      </w:r>
      <w:r>
        <w:rPr>
          <w:b w:val="0"/>
          <w:i w:val="0"/>
        </w:rPr>
        <w:t>. This distinction — patient-safety concern (largely unfounded per this source) vs. environmental-disposal concern (legitimate and regulated) — is worth keeping separate rather than treating “mercury concerns” as one undifferentiated issue.</w:t>
      </w:r>
    </w:p>
    <w:p>
      <w:r>
        <w:br w:type="page"/>
      </w:r>
    </w:p>
    <w:p>
      <w:pPr>
        <w:pStyle w:val="Heading1"/>
      </w:pPr>
      <w:r>
        <w:t>Quick-Revision Summary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Topic</w:t>
            </w:r>
          </w:p>
        </w:tc>
        <w:tc>
          <w:tcPr>
            <w:tcW w:type="dxa" w:w="2880"/>
          </w:tcPr>
          <w:p>
            <w:r>
              <w:rPr>
                <w:b/>
                <w:sz w:val="18"/>
              </w:rPr>
              <w:t>Key take-away</w:t>
            </w:r>
          </w:p>
        </w:tc>
        <w:tc>
          <w:tcPr>
            <w:tcW w:type="dxa" w:w="2880"/>
          </w:tcPr>
          <w:p>
            <w:r>
              <w:rPr>
                <w:b/>
                <w:sz w:val="18"/>
              </w:rPr>
              <w:t>Source</w:t>
            </w:r>
          </w:p>
        </w:tc>
      </w:tr>
      <w:tr>
        <w:tc>
          <w:tcPr>
            <w:tcW w:type="dxa" w:w="2880"/>
          </w:tcPr>
          <w:p>
            <w:r>
              <w:rPr>
                <w:sz w:val="18"/>
              </w:rPr>
              <w:t>Amalgam classification</w:t>
            </w:r>
          </w:p>
        </w:tc>
        <w:tc>
          <w:tcPr>
            <w:tcW w:type="dxa" w:w="2880"/>
          </w:tcPr>
          <w:p>
            <w:r>
              <w:rPr>
                <w:sz w:val="18"/>
              </w:rPr>
              <w:t>Low-copper (≤5% Cu, obsolete) vs. high-copper (13-30% Cu, current standard); admixed vs. unicompositional particle morphology</w:t>
            </w:r>
          </w:p>
        </w:tc>
        <w:tc>
          <w:tcPr>
            <w:tcW w:type="dxa" w:w="2880"/>
          </w:tcPr>
          <w:p>
            <w:r>
              <w:rPr>
                <w:sz w:val="18"/>
              </w:rPr>
              <w:t>[1, p.172]</w:t>
            </w:r>
          </w:p>
        </w:tc>
      </w:tr>
      <w:tr>
        <w:tc>
          <w:tcPr>
            <w:tcW w:type="dxa" w:w="2880"/>
          </w:tcPr>
          <w:p>
            <w:r>
              <w:rPr>
                <w:sz w:val="18"/>
              </w:rPr>
              <w:t>Amalgamation phases</w:t>
            </w:r>
          </w:p>
        </w:tc>
        <w:tc>
          <w:tcPr>
            <w:tcW w:type="dxa" w:w="2880"/>
          </w:tcPr>
          <w:p>
            <w:r>
              <w:rPr>
                <w:sz w:val="18"/>
              </w:rPr>
              <w:t>γ (Ag₃Sn) + Hg → γ1 (Ag₂Hg₃) matrix + η′ (Cu₆Sn₅); γ2 (Sn₇₋₈Hg) present ONLY in low-copper, and is the weak/corrosion-prone phase high-copper amalgams eliminate</w:t>
            </w:r>
          </w:p>
        </w:tc>
        <w:tc>
          <w:tcPr>
            <w:tcW w:type="dxa" w:w="2880"/>
          </w:tcPr>
          <w:p>
            <w:r>
              <w:rPr>
                <w:sz w:val="18"/>
              </w:rPr>
              <w:t>[1, p.173-174]</w:t>
            </w:r>
          </w:p>
        </w:tc>
      </w:tr>
      <w:tr>
        <w:tc>
          <w:tcPr>
            <w:tcW w:type="dxa" w:w="2880"/>
          </w:tcPr>
          <w:p>
            <w:r>
              <w:rPr>
                <w:sz w:val="18"/>
              </w:rPr>
              <w:t>Amalgam mechanical data</w:t>
            </w:r>
          </w:p>
        </w:tc>
        <w:tc>
          <w:tcPr>
            <w:tcW w:type="dxa" w:w="2880"/>
          </w:tcPr>
          <w:p>
            <w:r>
              <w:rPr>
                <w:sz w:val="18"/>
              </w:rPr>
              <w:t>Compressive strength up to 300+ MPa at 24h; elastic modulus 40-60 GPa (vs. composite's 5-15 GPa); creep limit 1.0% but poor correlate of clinical performance</w:t>
            </w:r>
          </w:p>
        </w:tc>
        <w:tc>
          <w:tcPr>
            <w:tcW w:type="dxa" w:w="2880"/>
          </w:tcPr>
          <w:p>
            <w:r>
              <w:rPr>
                <w:sz w:val="18"/>
              </w:rPr>
              <w:t>[1, p.175-176]</w:t>
            </w:r>
          </w:p>
        </w:tc>
      </w:tr>
      <w:tr>
        <w:tc>
          <w:tcPr>
            <w:tcW w:type="dxa" w:w="2880"/>
          </w:tcPr>
          <w:p>
            <w:r>
              <w:rPr>
                <w:sz w:val="18"/>
              </w:rPr>
              <w:t>Amalgam survival</w:t>
            </w:r>
          </w:p>
        </w:tc>
        <w:tc>
          <w:tcPr>
            <w:tcW w:type="dxa" w:w="2880"/>
          </w:tcPr>
          <w:p>
            <w:r>
              <w:rPr>
                <w:sz w:val="18"/>
              </w:rPr>
              <w:t>7-15yr (general practice) vs. 55-70yr (controlled studies); HCZ alloys ~90% survival at 12 years vs. LC alloys only 50% by 10 years</w:t>
            </w:r>
          </w:p>
        </w:tc>
        <w:tc>
          <w:tcPr>
            <w:tcW w:type="dxa" w:w="2880"/>
          </w:tcPr>
          <w:p>
            <w:r>
              <w:rPr>
                <w:sz w:val="18"/>
              </w:rPr>
              <w:t>[2, p.358]</w:t>
            </w:r>
          </w:p>
        </w:tc>
      </w:tr>
      <w:tr>
        <w:tc>
          <w:tcPr>
            <w:tcW w:type="dxa" w:w="2880"/>
          </w:tcPr>
          <w:p>
            <w:r>
              <w:rPr>
                <w:sz w:val="18"/>
              </w:rPr>
              <w:t>Amalgam safety framing</w:t>
            </w:r>
          </w:p>
        </w:tc>
        <w:tc>
          <w:tcPr>
            <w:tcW w:type="dxa" w:w="2880"/>
          </w:tcPr>
          <w:p>
            <w:r>
              <w:rPr>
                <w:sz w:val="18"/>
              </w:rPr>
              <w:t>True hypersensitivity &lt;1% of patients; the broader 'mercury health hazard' concern is explicitly called unfounded, DISTINCT from the legitimate wastewater-disposal concern</w:t>
            </w:r>
          </w:p>
        </w:tc>
        <w:tc>
          <w:tcPr>
            <w:tcW w:type="dxa" w:w="2880"/>
          </w:tcPr>
          <w:p>
            <w:r>
              <w:rPr>
                <w:sz w:val="18"/>
              </w:rPr>
              <w:t>[2, p.359]; [2, p.277]</w:t>
            </w:r>
          </w:p>
        </w:tc>
      </w:tr>
      <w:tr>
        <w:tc>
          <w:tcPr>
            <w:tcW w:type="dxa" w:w="2880"/>
          </w:tcPr>
          <w:p>
            <w:r>
              <w:rPr>
                <w:sz w:val="18"/>
              </w:rPr>
              <w:t>Composite matrix</w:t>
            </w:r>
          </w:p>
        </w:tc>
        <w:tc>
          <w:tcPr>
            <w:tcW w:type="dxa" w:w="2880"/>
          </w:tcPr>
          <w:p>
            <w:r>
              <w:rPr>
                <w:sz w:val="18"/>
              </w:rPr>
              <w:t>Bis-GMA/UDMA (high-viscosity base monomers) + TEGDMA/Bis-EMA6 (diluents); silorane = cationic ring-opening alternative for low shrinkage</w:t>
            </w:r>
          </w:p>
        </w:tc>
        <w:tc>
          <w:tcPr>
            <w:tcW w:type="dxa" w:w="2880"/>
          </w:tcPr>
          <w:p>
            <w:r>
              <w:rPr>
                <w:sz w:val="18"/>
              </w:rPr>
              <w:t>[1, p.137-138]</w:t>
            </w:r>
          </w:p>
        </w:tc>
      </w:tr>
      <w:tr>
        <w:tc>
          <w:tcPr>
            <w:tcW w:type="dxa" w:w="2880"/>
          </w:tcPr>
          <w:p>
            <w:r>
              <w:rPr>
                <w:sz w:val="18"/>
              </w:rPr>
              <w:t>Composite filler classes</w:t>
            </w:r>
          </w:p>
        </w:tc>
        <w:tc>
          <w:tcPr>
            <w:tcW w:type="dxa" w:w="2880"/>
          </w:tcPr>
          <w:p>
            <w:r>
              <w:rPr>
                <w:sz w:val="18"/>
              </w:rPr>
              <w:t>Macrofill (historic) → hybrid/microhybrid (strength) → nanofill (strength + polish retention) — nanohybrid is NOT a true nanofill despite the name</w:t>
            </w:r>
          </w:p>
        </w:tc>
        <w:tc>
          <w:tcPr>
            <w:tcW w:type="dxa" w:w="2880"/>
          </w:tcPr>
          <w:p>
            <w:r>
              <w:rPr>
                <w:sz w:val="18"/>
              </w:rPr>
              <w:t>[1, p.139-143]</w:t>
            </w:r>
          </w:p>
        </w:tc>
      </w:tr>
      <w:tr>
        <w:tc>
          <w:tcPr>
            <w:tcW w:type="dxa" w:w="2880"/>
          </w:tcPr>
          <w:p>
            <w:r>
              <w:rPr>
                <w:sz w:val="18"/>
              </w:rPr>
              <w:t>Polymerization shrinkage</w:t>
            </w:r>
          </w:p>
        </w:tc>
        <w:tc>
          <w:tcPr>
            <w:tcW w:type="dxa" w:w="2880"/>
          </w:tcPr>
          <w:p>
            <w:r>
              <w:rPr>
                <w:sz w:val="18"/>
              </w:rPr>
              <w:t>Up to 13 MPa contraction stress; STRESS depends on both shrinkage % AND stiffness at time of shrinkage — a low-shrink but stiff composite can still generate high stress</w:t>
            </w:r>
          </w:p>
        </w:tc>
        <w:tc>
          <w:tcPr>
            <w:tcW w:type="dxa" w:w="2880"/>
          </w:tcPr>
          <w:p>
            <w:r>
              <w:rPr>
                <w:sz w:val="18"/>
              </w:rPr>
              <w:t>[1, p.148]</w:t>
            </w:r>
          </w:p>
        </w:tc>
      </w:tr>
      <w:tr>
        <w:tc>
          <w:tcPr>
            <w:tcW w:type="dxa" w:w="2880"/>
          </w:tcPr>
          <w:p>
            <w:r>
              <w:rPr>
                <w:sz w:val="18"/>
              </w:rPr>
              <w:t>GIC setting</w:t>
            </w:r>
          </w:p>
        </w:tc>
        <w:tc>
          <w:tcPr>
            <w:tcW w:type="dxa" w:w="2880"/>
          </w:tcPr>
          <w:p>
            <w:r>
              <w:rPr>
                <w:sz w:val="18"/>
              </w:rPr>
              <w:t>Acid-base reaction (FAS glass + polycarboxylic acid); fluoride release is a BY-PRODUCT of the same ion-exchange process, not a separate leaching mechanism — doesn't weaken the cement</w:t>
            </w:r>
          </w:p>
        </w:tc>
        <w:tc>
          <w:tcPr>
            <w:tcW w:type="dxa" w:w="2880"/>
          </w:tcPr>
          <w:p>
            <w:r>
              <w:rPr>
                <w:sz w:val="18"/>
              </w:rPr>
              <w:t>[1, p.156]</w:t>
            </w:r>
          </w:p>
        </w:tc>
      </w:tr>
      <w:tr>
        <w:tc>
          <w:tcPr>
            <w:tcW w:type="dxa" w:w="2880"/>
          </w:tcPr>
          <w:p>
            <w:r>
              <w:rPr>
                <w:sz w:val="18"/>
              </w:rPr>
              <w:t>RMGI unique property</w:t>
            </w:r>
          </w:p>
        </w:tc>
        <w:tc>
          <w:tcPr>
            <w:tcW w:type="dxa" w:w="2880"/>
          </w:tcPr>
          <w:p>
            <w:r>
              <w:rPr>
                <w:sz w:val="18"/>
              </w:rPr>
              <w:t>Modulus is LOW right after light-cure, then INCREASES as acid-base reaction completes — ideal for stress-relieving sandwich technique under composite</w:t>
            </w:r>
          </w:p>
        </w:tc>
        <w:tc>
          <w:tcPr>
            <w:tcW w:type="dxa" w:w="2880"/>
          </w:tcPr>
          <w:p>
            <w:r>
              <w:rPr>
                <w:sz w:val="18"/>
              </w:rPr>
              <w:t>[1, p.161]</w:t>
            </w:r>
          </w:p>
        </w:tc>
      </w:tr>
      <w:tr>
        <w:tc>
          <w:tcPr>
            <w:tcW w:type="dxa" w:w="2880"/>
          </w:tcPr>
          <w:p>
            <w:r>
              <w:rPr>
                <w:sz w:val="18"/>
              </w:rPr>
              <w:t>GIC/RMGI vs composite strength</w:t>
            </w:r>
          </w:p>
        </w:tc>
        <w:tc>
          <w:tcPr>
            <w:tcW w:type="dxa" w:w="2880"/>
          </w:tcPr>
          <w:p>
            <w:r>
              <w:rPr>
                <w:sz w:val="18"/>
              </w:rPr>
              <w:t>Conventional GIC flexural strength only 7-15 MPa; RMGI 50-60 MPa; composites 60-180 MPa — explains why GIC/RMGI are reserved for non-stress-bearing/conservative situations</w:t>
            </w:r>
          </w:p>
        </w:tc>
        <w:tc>
          <w:tcPr>
            <w:tcW w:type="dxa" w:w="2880"/>
          </w:tcPr>
          <w:p>
            <w:r>
              <w:rPr>
                <w:sz w:val="18"/>
              </w:rPr>
              <w:t>[1, p.149]</w:t>
            </w:r>
          </w:p>
        </w:tc>
      </w:tr>
      <w:tr>
        <w:tc>
          <w:tcPr>
            <w:tcW w:type="dxa" w:w="2880"/>
          </w:tcPr>
          <w:p>
            <w:r>
              <w:rPr>
                <w:sz w:val="18"/>
              </w:rPr>
              <w:t>Amalgam cavity design</w:t>
            </w:r>
          </w:p>
        </w:tc>
        <w:tc>
          <w:tcPr>
            <w:tcW w:type="dxa" w:w="2880"/>
          </w:tcPr>
          <w:p>
            <w:r>
              <w:rPr>
                <w:sz w:val="18"/>
              </w:rPr>
              <w:t>Undercut required (no bonding); cavo-surface angle ~90° (amalgam is weak in thin section); gingival margin needs a margin trimmer since enamel prisms there run apical</w:t>
            </w:r>
          </w:p>
        </w:tc>
        <w:tc>
          <w:tcPr>
            <w:tcW w:type="dxa" w:w="2880"/>
          </w:tcPr>
          <w:p>
            <w:r>
              <w:rPr>
                <w:sz w:val="18"/>
              </w:rPr>
              <w:t>[3, p.189-190]</w:t>
            </w:r>
          </w:p>
        </w:tc>
      </w:tr>
      <w:tr>
        <w:tc>
          <w:tcPr>
            <w:tcW w:type="dxa" w:w="2880"/>
          </w:tcPr>
          <w:p>
            <w:r>
              <w:rPr>
                <w:sz w:val="18"/>
              </w:rPr>
              <w:t>Amalgam mercury content</w:t>
            </w:r>
          </w:p>
        </w:tc>
        <w:tc>
          <w:tcPr>
            <w:tcW w:type="dxa" w:w="2880"/>
          </w:tcPr>
          <w:p>
            <w:r>
              <w:rPr>
                <w:sz w:val="18"/>
              </w:rPr>
              <w:t>Alloy:Hg ratio 5:8-10:8 for a workable mix, but OPTIMAL final set mercury is lower (40-45%) — excess Hg is deliberately expressed out during condensation</w:t>
            </w:r>
          </w:p>
        </w:tc>
        <w:tc>
          <w:tcPr>
            <w:tcW w:type="dxa" w:w="2880"/>
          </w:tcPr>
          <w:p>
            <w:r>
              <w:rPr>
                <w:sz w:val="18"/>
              </w:rPr>
              <w:t>[3, p.191]</w:t>
            </w:r>
          </w:p>
        </w:tc>
      </w:tr>
      <w:tr>
        <w:tc>
          <w:tcPr>
            <w:tcW w:type="dxa" w:w="2880"/>
          </w:tcPr>
          <w:p>
            <w:r>
              <w:rPr>
                <w:sz w:val="18"/>
              </w:rPr>
              <w:t>Composite cavo-surface angle</w:t>
            </w:r>
          </w:p>
        </w:tc>
        <w:tc>
          <w:tcPr>
            <w:tcW w:type="dxa" w:w="2880"/>
          </w:tcPr>
          <w:p>
            <w:r>
              <w:rPr>
                <w:sz w:val="18"/>
              </w:rPr>
              <w:t>90° gives worse enamel-etch orientation but is needed for Class II matrix compatibility; 120° gives better etch pattern but only works without a tight matrix</w:t>
            </w:r>
          </w:p>
        </w:tc>
        <w:tc>
          <w:tcPr>
            <w:tcW w:type="dxa" w:w="2880"/>
          </w:tcPr>
          <w:p>
            <w:r>
              <w:rPr>
                <w:sz w:val="18"/>
              </w:rPr>
              <w:t>[3, p.216-217]</w:t>
            </w:r>
          </w:p>
        </w:tc>
      </w:tr>
    </w:tbl>
    <w:p/>
    <w:p>
      <w:r>
        <w:br w:type="page"/>
      </w:r>
    </w:p>
    <w:p>
      <w:pPr>
        <w:pStyle w:val="Heading1"/>
      </w:pPr>
      <w:r>
        <w:t>References (Vancouver Style)</w:t>
      </w:r>
    </w:p>
    <w:p>
      <w:pPr>
        <w:spacing w:after="120"/>
      </w:pPr>
      <w:r>
        <w:rPr>
          <w:b w:val="0"/>
          <w:i w:val="0"/>
        </w:rPr>
        <w:t>Page numbers refer to the page of the cited source, as printed in that source, on which the statement appears.</w:t>
      </w:r>
    </w:p>
    <w:p>
      <w:pPr>
        <w:spacing w:after="120"/>
        <w:ind w:left="432" w:hanging="432"/>
      </w:pPr>
      <w:r>
        <w:rPr>
          <w:sz w:val="20"/>
        </w:rPr>
        <w:t xml:space="preserve">1. </w:t>
      </w:r>
      <w:r>
        <w:rPr>
          <w:sz w:val="20"/>
        </w:rPr>
        <w:t>Sakaguchi RL, Ferracane JL, Powers JM, editors. Craig's Restorative Dental Materials. 14th ed. St. Louis: Elsevier; 2019. Chapter 9, “Restorative Materials: Resin Composites and Polymers,” p.135-166; Chapter 10, “Restorative Materials: Metals,” p.171-178.</w:t>
      </w:r>
    </w:p>
    <w:p>
      <w:pPr>
        <w:spacing w:after="120"/>
        <w:ind w:left="432" w:hanging="432"/>
      </w:pPr>
      <w:r>
        <w:rPr>
          <w:sz w:val="20"/>
        </w:rPr>
        <w:t xml:space="preserve">2. </w:t>
      </w:r>
      <w:r>
        <w:rPr>
          <w:sz w:val="20"/>
        </w:rPr>
        <w:t>Sakaguchi RL, Powers JM, editors. Philips' Science of Dental Materials. 13th ed. St. Louis: Elsevier. Chapter 13, “Resin-Based Composites,” p.277; Chapter 15, “Dental Amalgams,” p.358-359.</w:t>
      </w:r>
    </w:p>
    <w:p>
      <w:pPr>
        <w:spacing w:after="120"/>
        <w:ind w:left="432" w:hanging="432"/>
      </w:pPr>
      <w:r>
        <w:rPr>
          <w:sz w:val="20"/>
        </w:rPr>
        <w:t xml:space="preserve">3. </w:t>
      </w:r>
      <w:r>
        <w:rPr>
          <w:sz w:val="20"/>
        </w:rPr>
        <w:t>McCabe JF, Walls AWG. Applied Dental Materials. 9th ed. Oxford: Wiley-Blackwell. Chapter 21, “Dental Amalgam,” p.189-191; Chapter 22, “Resin-based Filling Materials,” p.216-217.</w:t>
      </w:r>
    </w:p>
    <w:p>
      <w:pPr>
        <w:spacing w:after="120"/>
        <w:ind w:left="432" w:hanging="432"/>
      </w:pPr>
      <w:r>
        <w:rPr>
          <w:sz w:val="20"/>
        </w:rPr>
        <w:t xml:space="preserve">4. </w:t>
      </w:r>
      <w:r>
        <w:rPr>
          <w:sz w:val="20"/>
        </w:rPr>
        <w:t>Roberson TM, Heymann HO, Swift EJ Jr, editors. Sturdevant's Art and Science of Operative Dentistry. 5th ed. St. Louis: Mosby (Elsevier); 2006. Chapter 11, “Introduction to Composite Restorations,” p.506-507; Chapter 16, “Introduction to Amalgam Restorations,” p.694-695.</w:t>
      </w:r>
    </w:p>
    <w:p>
      <w:pPr>
        <w:spacing w:after="120"/>
        <w:ind w:left="432" w:hanging="432"/>
      </w:pPr>
      <w:r>
        <w:rPr>
          <w:sz w:val="20"/>
        </w:rPr>
        <w:t xml:space="preserve">5. </w:t>
      </w:r>
      <w:r>
        <w:rPr>
          <w:sz w:val="20"/>
        </w:rPr>
        <w:t>Overton JD, Summitt JB, Osborne JW. Amalgam Restorations. In: Hilton TJ, Ferracane JL, Broome JC, editors. Summitt's Fundamentals of Operative Dentistry. 4th ed. Chicago: Quintessence Publishing. p.650-651; Cakir-Ustun D, Lawson NC, Burgess JO. Fluoride-Releasing Materials. In: ibid. p.753-754, 758-759.</w:t>
      </w:r>
    </w:p>
    <w:p>
      <w:r>
        <w:t>6. Bhat VS, Nandish BT, Jayaprakash K. Science of Dental Materials with Clinical Applications. 3rd ed. New Delhi: CBS Publishers &amp; Distributors.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