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3.2: ADHESIVE SYSTEMS &amp; BONDING</w:t>
      </w:r>
    </w:p>
    <w:p/>
    <w:p>
      <w:pPr>
        <w:jc w:val="center"/>
      </w:pPr>
      <w:r>
        <w:rPr>
          <w:i/>
          <w:sz w:val="26"/>
        </w:rPr>
        <w:t>Compiled Study Notes — Organized by Topic</w:t>
      </w:r>
    </w:p>
    <w:p>
      <w:pPr>
        <w:jc w:val="center"/>
      </w:pPr>
      <w:r>
        <w:rPr>
          <w:i/>
          <w:sz w:val="24"/>
        </w:rPr>
        <w:t>Adhesion mechanisms, etching, enamel/dentin bonding, and application protocol,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continues Sub-Module 3 with the second of its topics: adhesive systems and bonding. As with 3.1, the scope is a </w:t>
      </w:r>
      <w:r>
        <w:rPr>
          <w:b/>
          <w:i w:val="0"/>
        </w:rPr>
        <w:t>clinical/restorative lens</w:t>
      </w:r>
      <w:r>
        <w:rPr>
          <w:b w:val="0"/>
          <w:i w:val="0"/>
        </w:rPr>
        <w:t xml:space="preserve"> — the mechanisms, classification, and clinical protocol a restorative dentist needs — rather than the deeper polymer/adhesion-science chemistry that Module 3 will cover later. </w:t>
      </w:r>
      <w:r>
        <w:rPr>
          <w:b w:val="0"/>
          <w:i/>
        </w:rPr>
        <w:t>Applied Dental Materials</w:t>
      </w:r>
      <w:r>
        <w:rPr>
          <w:b w:val="0"/>
          <w:i w:val="0"/>
        </w:rPr>
        <w:t xml:space="preserve"> (McCabe), a standing secondary source, remains unavailable in the user's library (checked and flagged in 3.1) and is not used here either.</w:t>
      </w:r>
    </w:p>
    <w:p>
      <w:pPr>
        <w:spacing w:after="120"/>
      </w:pPr>
      <w:r>
        <w:rPr>
          <w:b/>
          <w:i w:val="0"/>
        </w:rPr>
        <w:t>Sources used in this document:</w:t>
      </w:r>
      <w:r>
        <w:t xml:space="preserve"> (source [7], added on audit — see revision note below.)</w:t>
      </w:r>
    </w:p>
    <w:p>
      <w:pPr>
        <w:pStyle w:val="ListBullet"/>
        <w:spacing w:after="60"/>
      </w:pPr>
      <w:r>
        <w:rPr>
          <w:b w:val="0"/>
          <w:i w:val="0"/>
        </w:rPr>
        <w:t xml:space="preserve">Sakaguchi RL, Ferracane JL, Powers JM, editors. Craig's Restorative Dental Materials. 14th ed. St. Louis: Elsevier; 2019. Chapter 13, “Materials for Adhesion and Luting,” p.273-282. </w:t>
      </w:r>
      <w:r>
        <w:rPr>
          <w:b w:val="0"/>
          <w:i/>
        </w:rPr>
        <w:t>(standardised textbook — core explanation for adhesion principles, classification, enamel/dentin bonding mechanism)</w:t>
      </w:r>
    </w:p>
    <w:p>
      <w:pPr>
        <w:pStyle w:val="ListBullet"/>
        <w:spacing w:after="60"/>
      </w:pPr>
      <w:r>
        <w:rPr>
          <w:b w:val="0"/>
          <w:i w:val="0"/>
        </w:rPr>
        <w:t xml:space="preserve">Sakaguchi RL, Powers JM, editors. Philips' Science of Dental Materials. 13th ed. St. Louis: Elsevier. Chapter 6, “Chemistry of Polymerization,” p.104-105 (oxygen inhibition/air-thinning); Chapter 12, “Dentin Bonding Agents,” p.266-267 (bond aging, MMP-mediated hybrid-layer degradation). </w:t>
      </w:r>
      <w:r>
        <w:rPr>
          <w:b w:val="0"/>
          <w:i/>
        </w:rPr>
        <w:t>(standardised textbook — supplementary depth on bond durability not covered in the same detail by Craig's)</w:t>
      </w:r>
    </w:p>
    <w:p>
      <w:r>
        <w:t xml:space="preserve">McCabe JF, Walls AWG. Applied Dental Materials. 9th ed. Oxford: Wiley-Blackwell. Chapter 22, p.216-217 (cavo-surface angle/enamel etch); Chapter 23, “Adhesive Restorative Materials: Bonding of Resin-based Materials,” p.237-238. </w:t>
      </w:r>
      <w:r>
        <w:rPr>
          <w:i/>
        </w:rPr>
        <w:t>(standardised textbook — supplied by the user after initial delivery; see revision note below)</w:t>
      </w:r>
    </w:p>
    <w:p>
      <w:r>
        <w:rPr>
          <w:b/>
        </w:rPr>
        <w:t xml:space="preserve">Fourth revision note (audit): </w:t>
      </w:r>
      <w:r>
        <w:t>added Craig RG, ed. Restorative Dental Materials, 11th ed. (Michigan) as source [7], at the user's request to audit this module against two Module 3 dental-materials sources. Real addition: a quantified composite repair-bond-strength figure (60-80% of original cohesive strength) in Section 7.3. Bhat's was also checked and found to have nothing genuinely additive for this document's specific topics beyond what Sections 2-7 already cover.</w:t>
      </w:r>
    </w:p>
    <w:p>
      <w:r>
        <w:rPr>
          <w:b/>
        </w:rPr>
        <w:t>Third revision note: audited again after the 4.2 Marzouk's/Summitt's gap was found. Summitt's has its own dedicated “Adhesion to Enamel and Dentin” chapter (source [5]), added in new Section 2.2: the Type I/II/III enamel etch-pattern classification, the 550µm etch-depth figure, the finding that 60-second etching roughens enamel without improving bond strength, fluoride/aprismatic enamel etch-resistance, Fusayama's resolved dentin total-etch pulpal-safety controversy, and specific 3-step-system clinical errors. Marzouk's (source [6]) does NOT have a dedicated adhesion chapter, but its Composite Resins chapter includes real acid-etching content that was initially, incorrectly, assumed absent — corrected in new Section 2.3: Buonocore's original 1959 discovery, the interprismatic-then-prism-tops-then-prism-sides dissolution order, and quantified surface-area/depth figures (2000x surface area increase; 25-micron average etch depth) distinct from Summitt's complementary 550µm figure.</w:t>
      </w:r>
      <w:r/>
    </w:p>
    <w:p>
      <w:r>
        <w:rPr>
          <w:b/>
        </w:rPr>
        <w:t xml:space="preserve">Second revision note: </w:t>
      </w:r>
      <w:r>
        <w:t>this document originally did not draw on Sturdevant's, despite it being a standing core text. Its Chapter 4 (“Biomaterials”) covers adhesion classification largely redundantly with what Craig's/Philips' already provided here, EXCEPT for one genuinely new methodology point on macro- vs. micro- and tensile- vs. shear-test comparability, added as new Section 6.3 (source [4]).</w:t>
      </w:r>
    </w:p>
    <w:p>
      <w:r>
        <w:rPr>
          <w:b/>
        </w:rPr>
        <w:t xml:space="preserve">Revision note: </w:t>
      </w:r>
      <w:r>
        <w:t>Applied Dental Materials (McCabe) has since been supplied by the user and added as source [3]. New content: Section 3.2 (a skeptical critique of “generation” classification for bonding systems) and Section 6.2 (real dentine shear bond-strength data, the population-mean-vs-weak-tail caution, and elastomeric-resin/multi-layer shrinkage-stress buffering techniques).</w:t>
      </w:r>
    </w:p>
    <w:p>
      <w:r>
        <w:br w:type="page"/>
      </w:r>
    </w:p>
    <w:p>
      <w:pPr>
        <w:pStyle w:val="Heading1"/>
      </w:pPr>
      <w:r>
        <w:t>Sub-Module 3.2: Adhesive Systems &amp; Bonding</w:t>
      </w:r>
    </w:p>
    <w:p>
      <w:pPr>
        <w:pStyle w:val="Heading2"/>
      </w:pPr>
      <w:r>
        <w:t>1. Adhesion Mechanisms</w:t>
      </w:r>
    </w:p>
    <w:p>
      <w:pPr>
        <w:spacing w:before="80" w:after="80"/>
      </w:pPr>
      <w:r>
        <w:rPr>
          <w:b/>
        </w:rPr>
        <w:t xml:space="preserve">DEFINITION — Adhesion: </w:t>
      </w:r>
      <w:r>
        <w:rPr>
          <w:b w:val="0"/>
          <w:i w:val="0"/>
        </w:rPr>
        <w:t>the establishment of molecular interactions between a substrate (adherend) and an adhesive brought into close contact, creating an adhesive joint. Distinct from cohesion, which describes the interaction of similar atoms/molecules WITHIN a single material via primary (covalent/ionic) or strong secondary (hydrogen-bonding) forces.</w:t>
      </w:r>
      <w:r>
        <w:t xml:space="preserve"> [1, p.273]</w:t>
      </w:r>
    </w:p>
    <w:p>
      <w:pPr>
        <w:spacing w:after="120"/>
      </w:pPr>
      <w:r>
        <w:rPr>
          <w:b w:val="0"/>
          <w:i w:val="0"/>
        </w:rPr>
        <w:t>Three mechanisms are relevant to dental adhesion, with very unequal practical importance</w:t>
      </w:r>
      <w:r>
        <w:rPr>
          <w:b w:val="0"/>
          <w:i w:val="0"/>
        </w:rPr>
        <w:t xml:space="preserve"> [1, p.274]</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Mechanism</w:t>
            </w:r>
          </w:p>
        </w:tc>
        <w:tc>
          <w:tcPr>
            <w:tcW w:type="dxa" w:w="4320"/>
          </w:tcPr>
          <w:p>
            <w:r>
              <w:rPr>
                <w:b/>
                <w:sz w:val="18"/>
              </w:rPr>
              <w:t>Role in dentistry</w:t>
            </w:r>
          </w:p>
        </w:tc>
      </w:tr>
      <w:tr>
        <w:tc>
          <w:tcPr>
            <w:tcW w:type="dxa" w:w="4320"/>
          </w:tcPr>
          <w:p>
            <w:r>
              <w:rPr>
                <w:sz w:val="18"/>
              </w:rPr>
              <w:t>Mechanical interlocking (micromechanical retention)</w:t>
            </w:r>
          </w:p>
        </w:tc>
        <w:tc>
          <w:tcPr>
            <w:tcW w:type="dxa" w:w="4320"/>
          </w:tcPr>
          <w:p>
            <w:r>
              <w:rPr>
                <w:sz w:val="18"/>
              </w:rPr>
              <w:t>The DOMINANT mechanism in daily clinical practice — achieved by roughening/etching the substrate so the adhesive can flow into and lock within surface irregularities</w:t>
            </w:r>
          </w:p>
        </w:tc>
      </w:tr>
      <w:tr>
        <w:tc>
          <w:tcPr>
            <w:tcW w:type="dxa" w:w="4320"/>
          </w:tcPr>
          <w:p>
            <w:r>
              <w:rPr>
                <w:sz w:val="18"/>
              </w:rPr>
              <w:t>True chemical bonding</w:t>
            </w:r>
          </w:p>
        </w:tc>
        <w:tc>
          <w:tcPr>
            <w:tcW w:type="dxa" w:w="4320"/>
          </w:tcPr>
          <w:p>
            <w:r>
              <w:rPr>
                <w:sz w:val="18"/>
              </w:rPr>
              <w:t>Difficult to achieve given dentin's complex composition, surface contaminants, and water content; only specific materials (zinc polycarboxylate, glass ionomer, RMGI, calcium aluminate/GIC, self-adhesive resin cements) can chemically interact with hydroxyapatite</w:t>
            </w:r>
          </w:p>
        </w:tc>
      </w:tr>
      <w:tr>
        <w:tc>
          <w:tcPr>
            <w:tcW w:type="dxa" w:w="4320"/>
          </w:tcPr>
          <w:p>
            <w:r>
              <w:rPr>
                <w:sz w:val="18"/>
              </w:rPr>
              <w:t>Physical/electrostatic bonding (e.g., van der Waals)</w:t>
            </w:r>
          </w:p>
        </w:tc>
        <w:tc>
          <w:tcPr>
            <w:tcW w:type="dxa" w:w="4320"/>
          </w:tcPr>
          <w:p>
            <w:r>
              <w:rPr>
                <w:sz w:val="18"/>
              </w:rPr>
              <w:t>ALWAYS present when two materials are in close contact, but weak — especially in a wet (oral) environment — and does not meaningfully contribute to adhesive joint integrity</w:t>
            </w:r>
          </w:p>
        </w:tc>
      </w:tr>
    </w:tbl>
    <w:p>
      <w:r>
        <w:rPr>
          <w:i/>
          <w:sz w:val="18"/>
        </w:rPr>
        <w:t>Source: [1, p.274].</w:t>
      </w:r>
    </w:p>
    <w:p/>
    <w:p>
      <w:pPr>
        <w:spacing w:after="120"/>
      </w:pPr>
      <w:r>
        <w:rPr>
          <w:b w:val="0"/>
          <w:i w:val="0"/>
        </w:rPr>
        <w:t>Most dental adhesive joints involve more than one interface (e.g., tooth/adhesive AND adhesive/restorative material), which adds complexity because an adhesive rarely bonds equally well to every substrate it contacts</w:t>
      </w:r>
      <w:r>
        <w:rPr>
          <w:b w:val="0"/>
          <w:i w:val="0"/>
        </w:rPr>
        <w:t xml:space="preserve"> [1, p.274]</w:t>
      </w:r>
      <w:r>
        <w:rPr>
          <w:b w:val="0"/>
          <w:i w:val="0"/>
        </w:rPr>
        <w:t xml:space="preserve">. The most fundamental practical requirement for any adhesive joint is substrate </w:t>
      </w:r>
      <w:r>
        <w:rPr>
          <w:b/>
          <w:i w:val="0"/>
        </w:rPr>
        <w:t>cleanliness</w:t>
      </w:r>
      <w:r>
        <w:rPr>
          <w:b w:val="0"/>
          <w:i w:val="0"/>
        </w:rPr>
        <w:t xml:space="preserve">: saliva, biofilm, organic debris, and (in a cavity) the smear layer all reduce the surface energy and therefore the </w:t>
      </w:r>
      <w:r>
        <w:rPr>
          <w:b w:val="0"/>
          <w:i/>
        </w:rPr>
        <w:t>wettability</w:t>
      </w:r>
      <w:r>
        <w:rPr>
          <w:b w:val="0"/>
          <w:i w:val="0"/>
        </w:rPr>
        <w:t xml:space="preserve"> of the bonding substrate</w:t>
      </w:r>
      <w:r>
        <w:rPr>
          <w:b w:val="0"/>
          <w:i w:val="0"/>
        </w:rPr>
        <w:t xml:space="preserve"> [1, p.274]</w:t>
      </w:r>
      <w:r>
        <w:rPr>
          <w:b w:val="0"/>
          <w:i w:val="0"/>
        </w:rPr>
        <w:t>.</w:t>
      </w:r>
    </w:p>
    <w:p>
      <w:pPr>
        <w:spacing w:before="80" w:after="80"/>
      </w:pPr>
      <w:r>
        <w:rPr>
          <w:b/>
        </w:rPr>
        <w:t xml:space="preserve">DEFINITION — Wettability / contact angle: </w:t>
      </w:r>
      <w:r>
        <w:rPr>
          <w:b w:val="0"/>
          <w:i w:val="0"/>
        </w:rPr>
        <w:t>the degree to which a liquid adhesive spreads across a substrate surface, evaluated via the contact angle (θ) between liquid and substrate. Contact angles under 90° indicate favourable wetting; ideal wetting approaches θ≈ 0° (the liquid spreads fully). Small contact angles occur when a low-surface-tension liquid meets a high-energy surface; surface roughness itself increases wettability.</w:t>
      </w:r>
      <w:r>
        <w:t xml:space="preserve"> [1, p.274]</w:t>
      </w:r>
    </w:p>
    <w:p>
      <w:pPr>
        <w:spacing w:after="120"/>
      </w:pPr>
      <w:r>
        <w:rPr>
          <w:b w:val="0"/>
          <w:i w:val="0"/>
        </w:rPr>
        <w:t>Adhesive viscosity must be low enough to flow into and penetrate substrate surface detail without trapping porosities at the interface, yet the adhesive must still set with enough strength to create durable micromechanical interlocks</w:t>
      </w:r>
      <w:r>
        <w:rPr>
          <w:b w:val="0"/>
          <w:i w:val="0"/>
        </w:rPr>
        <w:t xml:space="preserve"> [1, p.274]</w:t>
      </w:r>
      <w:r>
        <w:rPr>
          <w:b w:val="0"/>
          <w:i w:val="0"/>
        </w:rPr>
        <w:t>.</w:t>
      </w:r>
    </w:p>
    <w:p>
      <w:r>
        <w:br w:type="page"/>
      </w:r>
    </w:p>
    <w:p>
      <w:pPr>
        <w:pStyle w:val="Heading2"/>
      </w:pPr>
      <w:r>
        <w:t>2. Etching and Conditioning</w:t>
      </w:r>
    </w:p>
    <w:p>
      <w:pPr>
        <w:spacing w:after="120"/>
      </w:pPr>
      <w:r>
        <w:rPr>
          <w:b w:val="0"/>
          <w:i w:val="0"/>
        </w:rPr>
        <w:t>Etching serves two combined purposes: removing surface contaminants/the smear layer, and demineralizing the substrate to create the microporosity that micromechanical retention depends on</w:t>
      </w:r>
      <w:r>
        <w:rPr>
          <w:b w:val="0"/>
          <w:i w:val="0"/>
        </w:rPr>
        <w:t xml:space="preserve"> [1, p.274-275]</w:t>
      </w:r>
      <w:r>
        <w:rPr>
          <w:b w:val="0"/>
          <w:i w:val="0"/>
        </w:rPr>
        <w:t xml:space="preserve">. Etch-and-rinse systems use </w:t>
      </w:r>
      <w:r>
        <w:rPr>
          <w:b/>
          <w:i w:val="0"/>
        </w:rPr>
        <w:t>30% to 40% phosphoric acid gels</w:t>
      </w:r>
      <w:r>
        <w:rPr>
          <w:b w:val="0"/>
          <w:i w:val="0"/>
        </w:rPr>
        <w:t>. Gel (rather than free-flowing liquid) etchants were developed by adding microfiller or cellulose-thickening agents specifically so the etchant flows only under applied pressure, not under its own weight — giving the clinician real placement control</w:t>
      </w:r>
      <w:r>
        <w:rPr>
          <w:b w:val="0"/>
          <w:i w:val="0"/>
        </w:rPr>
        <w:t xml:space="preserve"> [1, p.275]</w:t>
      </w:r>
      <w:r>
        <w:rPr>
          <w:b w:val="0"/>
          <w:i w:val="0"/>
        </w:rPr>
        <w:t>.</w:t>
      </w:r>
    </w:p>
    <w:p>
      <w:pPr>
        <w:pStyle w:val="Heading3"/>
      </w:pPr>
      <w:r>
        <w:t>2.1 Effect on Enamel vs. Dentin</w:t>
      </w:r>
    </w:p>
    <w:p>
      <w:pPr>
        <w:spacing w:after="120"/>
      </w:pPr>
      <w:r>
        <w:rPr>
          <w:b w:val="0"/>
          <w:i w:val="0"/>
        </w:rPr>
        <w:t xml:space="preserve">On </w:t>
      </w:r>
      <w:r>
        <w:rPr>
          <w:b/>
          <w:i w:val="0"/>
        </w:rPr>
        <w:t>dentin</w:t>
      </w:r>
      <w:r>
        <w:rPr>
          <w:b w:val="0"/>
          <w:i w:val="0"/>
        </w:rPr>
        <w:t xml:space="preserve">, phosphoric acid etching removes the mineral (hydroxyapatite) content of the outer layer, creating microporosities within the residual collagen network; the etched zone is left with roughly </w:t>
      </w:r>
      <w:r>
        <w:rPr>
          <w:b/>
          <w:i w:val="0"/>
        </w:rPr>
        <w:t>50% unfilled space and 20% remaining water</w:t>
      </w:r>
      <w:r>
        <w:rPr>
          <w:b w:val="0"/>
          <w:i w:val="0"/>
        </w:rPr>
        <w:t xml:space="preserve"> [1, p.279]</w:t>
      </w:r>
      <w:r>
        <w:rPr>
          <w:b w:val="0"/>
          <w:i w:val="0"/>
        </w:rPr>
        <w:t xml:space="preserve">. On </w:t>
      </w:r>
      <w:r>
        <w:rPr>
          <w:b/>
          <w:i w:val="0"/>
        </w:rPr>
        <w:t>enamel</w:t>
      </w:r>
      <w:r>
        <w:rPr>
          <w:b w:val="0"/>
          <w:i w:val="0"/>
        </w:rPr>
        <w:t xml:space="preserve">, etching creates a retention pattern by penetrating the space surrounding enamel prisms, producing numerous </w:t>
      </w:r>
      <w:r>
        <w:rPr>
          <w:b w:val="0"/>
          <w:i/>
        </w:rPr>
        <w:t>microtags</w:t>
      </w:r>
      <w:r>
        <w:rPr>
          <w:b w:val="0"/>
          <w:i w:val="0"/>
        </w:rPr>
        <w:t xml:space="preserve"> where adhesive flows into etched prisms around individual hydroxyapatite crystals — microtags are far more numerous than the (also-present) larger “macrotags” and contribute most of the micromechanical retention on enamel</w:t>
      </w:r>
      <w:r>
        <w:rPr>
          <w:b w:val="0"/>
          <w:i w:val="0"/>
        </w:rPr>
        <w:t xml:space="preserve"> [1, p.277-278]</w:t>
      </w:r>
      <w:r>
        <w:rPr>
          <w:b w:val="0"/>
          <w:i w:val="0"/>
        </w:rPr>
        <w:t>. SEM imaging directly documents this pattern for both 40% phosphoric acid on dentin and 38% phosphoric acid on enamel, both at a 15-second etch time</w:t>
      </w:r>
      <w:r>
        <w:rPr>
          <w:b w:val="0"/>
          <w:i w:val="0"/>
        </w:rPr>
        <w:t xml:space="preserve"> [1, p.279]</w:t>
      </w:r>
      <w:r>
        <w:rPr>
          <w:b w:val="0"/>
          <w:i w:val="0"/>
        </w:rPr>
        <w:t>.</w:t>
      </w:r>
    </w:p>
    <w:p>
      <w:pPr>
        <w:spacing w:before="80" w:after="80"/>
      </w:pPr>
      <w:r>
        <w:rPr>
          <w:b/>
        </w:rPr>
        <w:t xml:space="preserve">DEFINITION — Selective etching: </w:t>
      </w:r>
      <w:r>
        <w:rPr>
          <w:b w:val="0"/>
          <w:i w:val="0"/>
        </w:rPr>
        <w:t>a technique in which phosphoric acid is applied to enamel only, while dentin is bonded using a self-etch approach — combining phosphoric acid's superior, more reliable enamel-etch pattern with self-etch's more predictable, less technique-sensitive dentin bonding. A universal adhesive is specifically designed to be usable in this selective-etch mode as well as full etch-and-rinse or full self-etch modes.</w:t>
      </w:r>
      <w:r>
        <w:t xml:space="preserve"> [1, p.279]</w:t>
      </w:r>
    </w:p>
    <w:p>
      <w:r>
        <w:br w:type="page"/>
      </w:r>
    </w:p>
    <w:p>
      <w:pPr>
        <w:pStyle w:val="Heading3"/>
      </w:pPr>
      <w:r>
        <w:t>2.2 Enamel Etch Patterns and the Dentin Total-Etch Controversy (Summitt's)</w:t>
      </w:r>
    </w:p>
    <w:p>
      <w:r>
        <w:t>Etching enamel substantially enlarges bondable surface area and nearly DOUBLES the original surface energy. Three distinct morphologic etch patterns have been described, and — importantly — the dentist has NO control over which pattern results, since it is determined by the enamel's own mineral content and prism morphology, not by technique:</w:t>
      </w:r>
      <w:r>
        <w:t xml:space="preserve"> [5, p.449]</w:t>
      </w:r>
    </w:p>
    <w:p>
      <w:r>
        <w:t>A specific, counter-intuitive finding on etch TIME: extending phosphoric acid etching time to 60 seconds produces a rougher enamel surface but does NOT enhance bond strength — i.e. longer etching past the standard duration is not simply “more effective,” it is functionally wasted time once the standard etch pattern has formed.</w:t>
      </w:r>
      <w:r>
        <w:t xml:space="preserve"> [5, p.449]</w:t>
      </w:r>
    </w:p>
    <w:p>
      <w:r>
        <w:t>Enamel etch resistance also varies by the enamel's own chemistry: high-fluoride-content enamel (e.g., from fluorosis or heavy topical fluoride exposure) is MORE resistant to etching, as is aprismatic enamel — a genuine biological variable outside the operator's control that can produce an unexpectedly weak etch pattern even with correct technique.</w:t>
      </w:r>
      <w:r>
        <w:t xml:space="preserve"> [5, p.449]</w:t>
      </w:r>
    </w:p>
    <w:p>
      <w:pPr>
        <w:pStyle w:val="Heading3"/>
      </w:pPr>
      <w:r>
        <w:t>Fusayama's Total-Etch Controversy — A Real Historical Safety Debate</w:t>
      </w:r>
    </w:p>
    <w:p>
      <w:r>
        <w:t>Fusayama's original total-etching technique for DENTIN (applying 40% phosphoric acid, the same concentration then used on enamel) was initially resisted by the dental profession over fears of adverse pulpal reactions. Subsequent research found that such reactions, when they occurred, were actually caused by BACTERIAL LEAKAGE rather than the acid itself — and that dentin etching is safe provided the remaining dentin thickness exceeds 0.5mm and the dentin is properly sealed after etching. This is a genuinely resolved historical controversy worth knowing, not a still-open safety question.</w:t>
      </w:r>
      <w:r>
        <w:t xml:space="preserve"> [5, p.450]</w:t>
      </w:r>
    </w:p>
    <w:p>
      <w:r>
        <w:t>Mechanistically, phosphoric acid on dentin removes the smear layer, demineralizes the first 3-5µm of dentinal tissue, and creates FUNNEL-SHAPED dentinal tubules — funnel-shaped specifically because peritubular dentin has higher mineral content than intratubular dentin, so it demineralizes/dissolves more slowly, leaving a tapered rather than uniform tubule opening. As with enamel, LONGER etching times increase substrate porosity but do NOT necessarily increase bond strength — the real limiting factors are (1) whether monomers can actually impregnate as deep as the acid has demineralized, and (2) whether collagen fibrils retain their structural integrity after a given acid exposure time, since over-etched, under-impregnated collagen is what creates the nanoleakage-prone weak zone already covered in Section 5.2.</w:t>
      </w:r>
      <w:r>
        <w:t xml:space="preserve"> [5, p.450-451]</w:t>
      </w:r>
    </w:p>
    <w:p>
      <w:pPr>
        <w:pStyle w:val="Heading3"/>
      </w:pPr>
      <w:r>
        <w:t>2.3 The Historical Origin and Mechanism of Acid Etching (Marzouk's)</w:t>
      </w:r>
    </w:p>
    <w:p>
      <w:r>
        <w:t>Buonocore first reported the effect of 85% phosphoric acid on enamel retention of acrylic resin restorations in 1959; the technique saw little clinical uptake until the methodology was further explored starting in 1969, after which it became integral to essentially all direct tooth-colored resin technique.</w:t>
      </w:r>
      <w:r>
        <w:t xml:space="preserve"> [6, PDF p.182]</w:t>
      </w:r>
    </w:p>
    <w:p>
      <w:r>
        <w:t>A specific dissolution ORDER during etching, distinct from simply describing the resulting pattern (Section 2.2 above): interprismatic enamel dissolves FIRST, followed by the tops/surfaces of the prisms themselves, with the SIDES of the prisms being the least dissolvable structure of all.</w:t>
      </w:r>
      <w:r>
        <w:t xml:space="preserve"> [6, PDF p.182]</w:t>
      </w:r>
    </w:p>
    <w:p>
      <w:r>
        <w:t xml:space="preserve">Quantified effect on surface area: etching increases enamel surface area by up to </w:t>
      </w:r>
      <w:r>
        <w:t>2000 times</w:t>
      </w:r>
      <w:r>
        <w:t xml:space="preserve"> its original unetched value — a considerably larger multiplier than commonly cited, worth knowing alongside Summitt's complementary 550µm etch-depth figure (Section 2.2) and this source's own average valley/depression depth figure of </w:t>
      </w:r>
      <w:r>
        <w:t>25 microns</w:t>
      </w:r>
      <w:r>
        <w:t>.</w:t>
      </w:r>
      <w:r>
        <w:t xml:space="preserve"> [6, PDF p.182]</w:t>
      </w:r>
    </w:p>
    <w:p>
      <w:r>
        <w:t>Etching also exposes the enamel's proteinaceous organic matrix, which can itself contribute to retention if adequately embedded within the restorative material, and mechanically/chemically removes surface contaminants (cuticle, salivary deposits, plaque, prior adhesive residue) to expose a cleaner, more wettable surface. A specific caution: enamel long exposed to the oral environment can become fully “reacted” with minimal remaining surface energy, meaning some etching may only be removing this energy-depleted layer to expose fresher enamel beneath, rather than creating retention pattern on the original surface itself.</w:t>
      </w:r>
      <w:r>
        <w:t xml:space="preserve"> [6, PDF p.182-183]</w:t>
      </w:r>
    </w:p>
    <w:p>
      <w:pPr>
        <w:pStyle w:val="Heading2"/>
      </w:pPr>
      <w:r>
        <w:t>3. Adhesive Systems Classification</w:t>
      </w:r>
    </w:p>
    <w:p>
      <w:pPr>
        <w:spacing w:after="120"/>
      </w:pPr>
      <w:r>
        <w:rPr>
          <w:b w:val="0"/>
          <w:i w:val="0"/>
        </w:rPr>
        <w:t>Adhesive systems are classified by their etching strategy</w:t>
      </w:r>
      <w:r>
        <w:rPr>
          <w:b w:val="0"/>
          <w:i w:val="0"/>
        </w:rPr>
        <w:t xml:space="preserve"> [1, p.275]</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Sub-type</w:t>
            </w:r>
          </w:p>
        </w:tc>
        <w:tc>
          <w:tcPr>
            <w:tcW w:type="dxa" w:w="2880"/>
          </w:tcPr>
          <w:p>
            <w:r>
              <w:rPr>
                <w:b/>
                <w:sz w:val="18"/>
              </w:rPr>
              <w:t>Key features</w:t>
            </w:r>
          </w:p>
        </w:tc>
      </w:tr>
      <w:tr>
        <w:tc>
          <w:tcPr>
            <w:tcW w:type="dxa" w:w="2880"/>
          </w:tcPr>
          <w:p>
            <w:r>
              <w:rPr>
                <w:sz w:val="18"/>
              </w:rPr>
              <w:t>Etch-and-rinse (total-etch)</w:t>
            </w:r>
          </w:p>
        </w:tc>
        <w:tc>
          <w:tcPr>
            <w:tcW w:type="dxa" w:w="2880"/>
          </w:tcPr>
          <w:p>
            <w:r>
              <w:rPr>
                <w:sz w:val="18"/>
              </w:rPr>
              <w:t>3-step</w:t>
            </w:r>
          </w:p>
        </w:tc>
        <w:tc>
          <w:tcPr>
            <w:tcW w:type="dxa" w:w="2880"/>
          </w:tcPr>
          <w:p>
            <w:r>
              <w:rPr>
                <w:sz w:val="18"/>
              </w:rPr>
              <w:t>Etching, priming, and bonding as three SEPARATE application steps</w:t>
            </w:r>
          </w:p>
        </w:tc>
      </w:tr>
      <w:tr>
        <w:tc>
          <w:tcPr>
            <w:tcW w:type="dxa" w:w="2880"/>
          </w:tcPr>
          <w:p>
            <w:r>
              <w:rPr>
                <w:sz w:val="18"/>
              </w:rPr>
            </w:r>
          </w:p>
        </w:tc>
        <w:tc>
          <w:tcPr>
            <w:tcW w:type="dxa" w:w="2880"/>
          </w:tcPr>
          <w:p>
            <w:r>
              <w:rPr>
                <w:sz w:val="18"/>
              </w:rPr>
              <w:t>2-step</w:t>
            </w:r>
          </w:p>
        </w:tc>
        <w:tc>
          <w:tcPr>
            <w:tcW w:type="dxa" w:w="2880"/>
          </w:tcPr>
          <w:p>
            <w:r>
              <w:rPr>
                <w:sz w:val="18"/>
              </w:rPr>
              <w:t>Primer and bonding resin combined into a single component, applied after separate etch/rinse</w:t>
            </w:r>
          </w:p>
        </w:tc>
      </w:tr>
      <w:tr>
        <w:tc>
          <w:tcPr>
            <w:tcW w:type="dxa" w:w="2880"/>
          </w:tcPr>
          <w:p>
            <w:r>
              <w:rPr>
                <w:sz w:val="18"/>
              </w:rPr>
              <w:t>Self-etch</w:t>
            </w:r>
          </w:p>
        </w:tc>
        <w:tc>
          <w:tcPr>
            <w:tcW w:type="dxa" w:w="2880"/>
          </w:tcPr>
          <w:p>
            <w:r>
              <w:rPr>
                <w:sz w:val="18"/>
              </w:rPr>
              <w:t>Strong (pH ≤1)</w:t>
            </w:r>
          </w:p>
        </w:tc>
        <w:tc>
          <w:tcPr>
            <w:tcW w:type="dxa" w:w="2880"/>
          </w:tcPr>
          <w:p>
            <w:r>
              <w:rPr>
                <w:sz w:val="18"/>
              </w:rPr>
              <w:t>Aggressive demineralization; produces an enamel pattern similar to phosphoric acid</w:t>
            </w:r>
          </w:p>
        </w:tc>
      </w:tr>
      <w:tr>
        <w:tc>
          <w:tcPr>
            <w:tcW w:type="dxa" w:w="2880"/>
          </w:tcPr>
          <w:p>
            <w:r>
              <w:rPr>
                <w:sz w:val="18"/>
              </w:rPr>
            </w:r>
          </w:p>
        </w:tc>
        <w:tc>
          <w:tcPr>
            <w:tcW w:type="dxa" w:w="2880"/>
          </w:tcPr>
          <w:p>
            <w:r>
              <w:rPr>
                <w:sz w:val="18"/>
              </w:rPr>
              <w:t>Moderate (pH 1-2)</w:t>
            </w:r>
          </w:p>
        </w:tc>
        <w:tc>
          <w:tcPr>
            <w:tcW w:type="dxa" w:w="2880"/>
          </w:tcPr>
          <w:p>
            <w:r>
              <w:rPr>
                <w:sz w:val="18"/>
              </w:rPr>
              <w:t>Intermediate aggressiveness</w:t>
            </w:r>
          </w:p>
        </w:tc>
      </w:tr>
      <w:tr>
        <w:tc>
          <w:tcPr>
            <w:tcW w:type="dxa" w:w="2880"/>
          </w:tcPr>
          <w:p>
            <w:r>
              <w:rPr>
                <w:sz w:val="18"/>
              </w:rPr>
            </w:r>
          </w:p>
        </w:tc>
        <w:tc>
          <w:tcPr>
            <w:tcW w:type="dxa" w:w="2880"/>
          </w:tcPr>
          <w:p>
            <w:r>
              <w:rPr>
                <w:sz w:val="18"/>
              </w:rPr>
              <w:t>Mild (pH ≥2)</w:t>
            </w:r>
          </w:p>
        </w:tc>
        <w:tc>
          <w:tcPr>
            <w:tcW w:type="dxa" w:w="2880"/>
          </w:tcPr>
          <w:p>
            <w:r>
              <w:rPr>
                <w:sz w:val="18"/>
              </w:rPr>
              <w:t>Superficial demineralization only (a few micrometres); leaves residual hydroxyapatite attached to collagen fibrils, which some monomers (4-META, 10-MDP) can chemically bond to</w:t>
            </w:r>
          </w:p>
        </w:tc>
      </w:tr>
      <w:tr>
        <w:tc>
          <w:tcPr>
            <w:tcW w:type="dxa" w:w="2880"/>
          </w:tcPr>
          <w:p>
            <w:r>
              <w:rPr>
                <w:sz w:val="18"/>
              </w:rPr>
            </w:r>
          </w:p>
        </w:tc>
        <w:tc>
          <w:tcPr>
            <w:tcW w:type="dxa" w:w="2880"/>
          </w:tcPr>
          <w:p>
            <w:r>
              <w:rPr>
                <w:sz w:val="18"/>
              </w:rPr>
              <w:t>2-step (self-etching primer)</w:t>
            </w:r>
          </w:p>
        </w:tc>
        <w:tc>
          <w:tcPr>
            <w:tcW w:type="dxa" w:w="2880"/>
          </w:tcPr>
          <w:p>
            <w:r>
              <w:rPr>
                <w:sz w:val="18"/>
              </w:rPr>
              <w:t>Hydrophobic bonding resin in a separate bottle from the self-etch primer</w:t>
            </w:r>
          </w:p>
        </w:tc>
      </w:tr>
      <w:tr>
        <w:tc>
          <w:tcPr>
            <w:tcW w:type="dxa" w:w="2880"/>
          </w:tcPr>
          <w:p>
            <w:r>
              <w:rPr>
                <w:sz w:val="18"/>
              </w:rPr>
            </w:r>
          </w:p>
        </w:tc>
        <w:tc>
          <w:tcPr>
            <w:tcW w:type="dxa" w:w="2880"/>
          </w:tcPr>
          <w:p>
            <w:r>
              <w:rPr>
                <w:sz w:val="18"/>
              </w:rPr>
              <w:t>1-step / all-in-one</w:t>
            </w:r>
          </w:p>
        </w:tc>
        <w:tc>
          <w:tcPr>
            <w:tcW w:type="dxa" w:w="2880"/>
          </w:tcPr>
          <w:p>
            <w:r>
              <w:rPr>
                <w:sz w:val="18"/>
              </w:rPr>
              <w:t>Single-component system; typically the LOWEST bond strength of the self-etch group, attributed to high initial acidity and high water content</w:t>
            </w:r>
          </w:p>
        </w:tc>
      </w:tr>
      <w:tr>
        <w:tc>
          <w:tcPr>
            <w:tcW w:type="dxa" w:w="2880"/>
          </w:tcPr>
          <w:p>
            <w:r>
              <w:rPr>
                <w:sz w:val="18"/>
              </w:rPr>
              <w:t>Universal (multimode)</w:t>
            </w:r>
          </w:p>
        </w:tc>
        <w:tc>
          <w:tcPr>
            <w:tcW w:type="dxa" w:w="2880"/>
          </w:tcPr>
          <w:p>
            <w:r>
              <w:rPr>
                <w:sz w:val="18"/>
              </w:rPr>
              <w:t>—</w:t>
            </w:r>
          </w:p>
        </w:tc>
        <w:tc>
          <w:tcPr>
            <w:tcW w:type="dxa" w:w="2880"/>
          </w:tcPr>
          <w:p>
            <w:r>
              <w:rPr>
                <w:sz w:val="18"/>
              </w:rPr>
              <w:t>A single adhesive usable in etch-and-rinse, self-etch, OR selective-etch mode per clinician preference; when used self-etch, behaves as a mild self-etch system</w:t>
            </w:r>
          </w:p>
        </w:tc>
      </w:tr>
    </w:tbl>
    <w:p>
      <w:r>
        <w:rPr>
          <w:i/>
          <w:sz w:val="18"/>
        </w:rPr>
        <w:t>Source: [1, p.275].</w:t>
      </w:r>
    </w:p>
    <w:p/>
    <w:p>
      <w:pPr>
        <w:spacing w:after="120"/>
      </w:pPr>
      <w:r>
        <w:rPr>
          <w:b w:val="0"/>
          <w:i w:val="0"/>
        </w:rPr>
        <w:t>Primers are hydrophilic monomers/oligomers/polymers carried in a solvent (acetone, ethanol-water, or primarily water — sometimes up to 90% solvent), and different solvent systems produce genuinely different evaporation rates, drying patterns, and penetration characteristics that directly affect resulting bond strength — i.e., solvent choice is not a minor formulation detail but a real clinical-performance variable</w:t>
      </w:r>
      <w:r>
        <w:rPr>
          <w:b w:val="0"/>
          <w:i w:val="0"/>
        </w:rPr>
        <w:t xml:space="preserve"> [1, p.275]</w:t>
      </w:r>
      <w:r>
        <w:rPr>
          <w:b w:val="0"/>
          <w:i w:val="0"/>
        </w:rPr>
        <w:t>.</w:t>
      </w:r>
    </w:p>
    <w:p>
      <w:pPr>
        <w:spacing w:after="120"/>
      </w:pPr>
      <w:r>
        <w:rPr>
          <w:b w:val="0"/>
          <w:i w:val="0"/>
        </w:rPr>
        <w:t>Most bonding agents are light-cured (camphorquinone + organic amine activator); dual-cured versions add a self-cure catalyst for situations light cannot fully reach. Most are unfilled, though some contain 0.5-40wt% nanofillers/submicron glass, which can ease placement and raise in-vitro bond strength; some products also add fluoride, antimicrobials, or desensitizers (e.g., glutaraldehyde) — though the source notes the clinical effectiveness of fluoride/antimicrobial RELEASE specifically from a bonding agent has not actually been demonstrated, an honest evidence caveat worth keeping rather than treating as a settled marketing claim</w:t>
      </w:r>
      <w:r>
        <w:rPr>
          <w:b w:val="0"/>
          <w:i w:val="0"/>
        </w:rPr>
        <w:t xml:space="preserve"> [1, p.275]</w:t>
      </w:r>
      <w:r>
        <w:rPr>
          <w:b w:val="0"/>
          <w:i w:val="0"/>
        </w:rPr>
        <w:t>.</w:t>
      </w:r>
    </w:p>
    <w:p>
      <w:pPr>
        <w:pStyle w:val="Heading3"/>
      </w:pPr>
      <w:r>
        <w:t>3.1 Universal Adhesives — What “Universal” Actually Requires</w:t>
      </w:r>
    </w:p>
    <w:p>
      <w:pPr>
        <w:spacing w:after="120"/>
      </w:pPr>
      <w:r>
        <w:rPr>
          <w:b w:val="0"/>
          <w:i w:val="0"/>
        </w:rPr>
        <w:t>An ideal universal adhesive should be a single-bottle, no-mix system usable in total-etch, self-etch, AND selective-etch modes; should bond to enamel, dentin, direct restoratives (methacrylate composite, GIC/RMGI), and indirect restoratives (metals, glass-ceramics, high-strength alumina/zirconia) without a separate primer; and should be compatible with self-cure, light-cure, and dual-cure resin cements</w:t>
      </w:r>
      <w:r>
        <w:rPr>
          <w:b w:val="0"/>
          <w:i w:val="0"/>
        </w:rPr>
        <w:t xml:space="preserve"> [1, p.279]</w:t>
      </w:r>
      <w:r>
        <w:rPr>
          <w:b w:val="0"/>
          <w:i w:val="0"/>
        </w:rPr>
        <w:t xml:space="preserve">. A specific, practically important caveat: </w:t>
      </w:r>
      <w:r>
        <w:rPr>
          <w:b/>
          <w:i w:val="0"/>
        </w:rPr>
        <w:t>many commercial “universal” products do not actually meet this full definition</w:t>
      </w:r>
      <w:r>
        <w:rPr>
          <w:b w:val="0"/>
          <w:i w:val="0"/>
        </w:rPr>
        <w:t xml:space="preserve"> — some still require a separate activator for self-/dual-cure cements, some need two components mixed before use, and some require sequential application of separate components</w:t>
      </w:r>
      <w:r>
        <w:rPr>
          <w:b w:val="0"/>
          <w:i w:val="0"/>
        </w:rPr>
        <w:t xml:space="preserve"> [1, p.279]</w:t>
      </w:r>
      <w:r>
        <w:rPr>
          <w:b w:val="0"/>
          <w:i w:val="0"/>
        </w:rPr>
        <w:t xml:space="preserve">. The key formulation challenge is the hydrophilic-hydrophobic balance: hydrophilicity is needed to wet dentin, hydrophobicity is needed post-cure to minimize hydrolysis/water absorption over time; best clinical performance is reported in the </w:t>
      </w:r>
      <w:r>
        <w:rPr>
          <w:b/>
          <w:i w:val="0"/>
        </w:rPr>
        <w:t>pH range of 2.2 to 3.2</w:t>
      </w:r>
      <w:r>
        <w:rPr>
          <w:b w:val="0"/>
          <w:i w:val="0"/>
        </w:rPr>
        <w:t xml:space="preserve"> [1, p.279]</w:t>
      </w:r>
      <w:r>
        <w:rPr>
          <w:b w:val="0"/>
          <w:i w:val="0"/>
        </w:rPr>
        <w:t xml:space="preserve"> — acidic enough to etch effectively across substrates, but not so acidic that it deactivates the initiators needed for self-/dual-cure resin cements.</w:t>
      </w:r>
    </w:p>
    <w:p>
      <w:r>
        <w:br w:type="page"/>
      </w:r>
    </w:p>
    <w:p>
      <w:pPr>
        <w:pStyle w:val="Heading3"/>
      </w:pPr>
      <w:r>
        <w:t>3.2 A Critique of “Generation” Classification (McCabe)</w:t>
      </w:r>
    </w:p>
    <w:p>
      <w:r>
        <w:t xml:space="preserve">Beyond the etch-strategy classification in Section 3 above, bonding systems are also very widely marketed and taught by “generation” number (1st through 8th+ generation) and by number of bottles/steps. McCabe offers a genuinely skeptical, worth-preserving critique of this popular framework rather than treating it as neutral shorthand: it implies that a higher generation number is automatically an improvement over the last, but inspection reveals two problems — </w:t>
      </w:r>
      <w:r>
        <w:t>new “generations” are often claimed for very small formulation changes, and the generation sequence tends to follow a circular route, with recently-developed generations sometimes closely resembling a much earlier one.</w:t>
      </w:r>
      <w:r>
        <w:t xml:space="preserve"> [3, p.237]</w:t>
      </w:r>
    </w:p>
    <w:p>
      <w:r>
        <w:t>The same critique extends to counting bottles/steps as a proxy for progress: fewer bottles/steps is often implied to mean a better product, but this can be misleading since, for example, a single bottle may still require multiple sequential applications. McCabe's stated preference is descriptive terms that reference the actual bonding MECHANISM — “self-etching primer”, “total-etch” — which is the classification approach this document itself follows in Section 3, rather than generation numbering.</w:t>
      </w:r>
      <w:r>
        <w:t xml:space="preserve"> [3, p.237]</w:t>
      </w:r>
    </w:p>
    <w:p>
      <w:pPr>
        <w:pStyle w:val="Heading2"/>
      </w:pPr>
      <w:r>
        <w:t>4. Enamel Bonding</w:t>
      </w:r>
    </w:p>
    <w:p>
      <w:pPr>
        <w:spacing w:after="120"/>
      </w:pPr>
      <w:r>
        <w:rPr>
          <w:b w:val="0"/>
          <w:i w:val="0"/>
        </w:rPr>
        <w:t>Strong self-etch adhesives produce an enamel etching pattern similar to phosphoric acid. Mild self-etch systems, by contrast, show LOWER bond strength to enamel than etch-and-rinse systems, attributed to their shallower etching pattern</w:t>
      </w:r>
      <w:r>
        <w:rPr>
          <w:b w:val="0"/>
          <w:i w:val="0"/>
        </w:rPr>
        <w:t xml:space="preserve"> [1, p.278]</w:t>
      </w:r>
      <w:r>
        <w:rPr>
          <w:b w:val="0"/>
          <w:i w:val="0"/>
        </w:rPr>
        <w:t xml:space="preserve"> — this is a direct, practical reason selective etching (phosphoric acid on enamel specifically, even within an otherwise self-etch or universal-adhesive protocol) remains a recommended technique rather than a redundant extra step.</w:t>
      </w:r>
    </w:p>
    <w:p>
      <w:pPr>
        <w:pStyle w:val="Heading2"/>
      </w:pPr>
      <w:r>
        <w:t>5. Dentin Bonding</w:t>
      </w:r>
    </w:p>
    <w:p>
      <w:pPr>
        <w:pStyle w:val="Heading3"/>
      </w:pPr>
      <w:r>
        <w:t>5.1 The Wet-Bonding Challenge</w:t>
      </w:r>
    </w:p>
    <w:p>
      <w:pPr>
        <w:spacing w:after="120"/>
      </w:pPr>
      <w:r>
        <w:rPr>
          <w:b w:val="0"/>
          <w:i w:val="0"/>
        </w:rPr>
        <w:t>Dentin's high water content is the central extra challenge versus enamel bonding. Primers therefore contain hydrophilic components (e.g., HEMA) specifically to wet dentin and penetrate its structure</w:t>
      </w:r>
      <w:r>
        <w:rPr>
          <w:b w:val="0"/>
          <w:i w:val="0"/>
        </w:rPr>
        <w:t xml:space="preserve"> [1, p.279]</w:t>
      </w:r>
      <w:r>
        <w:rPr>
          <w:b w:val="0"/>
          <w:i w:val="0"/>
        </w:rPr>
        <w:t xml:space="preserve">. After phosphoric acid etching and rinsing, drying must be done </w:t>
      </w:r>
      <w:r>
        <w:rPr>
          <w:b/>
          <w:i w:val="0"/>
        </w:rPr>
        <w:t>cautiously</w:t>
      </w:r>
      <w:r>
        <w:rPr>
          <w:b w:val="0"/>
          <w:i w:val="0"/>
        </w:rPr>
        <w:t>: even a brief air-water spray blast can dehydrate the outer surface and collapse the exposed collagen scaffold onto itself — once collapsed, the mesh excludes primer penetration and bonding fails. Conversely, EXCESS moisture dilutes the primer and interferes with resin interpenetration</w:t>
      </w:r>
      <w:r>
        <w:rPr>
          <w:b w:val="0"/>
          <w:i w:val="0"/>
        </w:rPr>
        <w:t xml:space="preserve"> [1, p.279]</w:t>
      </w:r>
      <w:r>
        <w:rPr>
          <w:b w:val="0"/>
          <w:i w:val="0"/>
        </w:rPr>
        <w:t>. The ideal moisture level is therefore solvent-dependent (not a single fixed target), and this genuinely subjective step is one of the practical advantages self-etch systems eliminate entirely, since they never require a separate rinse-and-judge-moisture step</w:t>
      </w:r>
      <w:r>
        <w:rPr>
          <w:b w:val="0"/>
          <w:i w:val="0"/>
        </w:rPr>
        <w:t xml:space="preserve"> [1, p.279]</w:t>
      </w:r>
      <w:r>
        <w:rPr>
          <w:b w:val="0"/>
          <w:i w:val="0"/>
        </w:rPr>
        <w:t>.</w:t>
      </w:r>
    </w:p>
    <w:p>
      <w:pPr>
        <w:pStyle w:val="Heading3"/>
      </w:pPr>
      <w:r>
        <w:t>5.2 The Hybrid Layer</w:t>
      </w:r>
    </w:p>
    <w:p>
      <w:pPr>
        <w:spacing w:before="80" w:after="80"/>
      </w:pPr>
      <w:r>
        <w:rPr>
          <w:b/>
        </w:rPr>
        <w:t xml:space="preserve">DEFINITION — Hybrid layer (hybridization): </w:t>
      </w:r>
      <w:r>
        <w:rPr>
          <w:b w:val="0"/>
          <w:i w:val="0"/>
        </w:rPr>
        <w:t>the resin-interpenetration/resin-interdiffusion zone formed when primer/adhesive monomers infiltrate the demineralized collagen scaffold of etched dentin. Concurrent with hybrid layer formation, primer also penetrates fluid-filled dentinal tubules, forming resin tags (macrotags) — though these tags appear to contribute little to actual bond strength despite being visually prominent on SEM.</w:t>
      </w:r>
      <w:r>
        <w:t xml:space="preserve"> [1, p.279]</w:t>
      </w:r>
    </w:p>
    <w:p>
      <w:pPr>
        <w:spacing w:after="120"/>
      </w:pPr>
      <w:r>
        <w:rPr>
          <w:b w:val="0"/>
          <w:i w:val="0"/>
        </w:rPr>
        <w:t xml:space="preserve">A genuinely important, easily-misunderstood point: hybrid layer </w:t>
      </w:r>
      <w:r>
        <w:rPr>
          <w:b/>
          <w:i w:val="0"/>
        </w:rPr>
        <w:t>thickness is NOT a critical requirement for bond success</w:t>
      </w:r>
      <w:r>
        <w:rPr>
          <w:b w:val="0"/>
          <w:i w:val="0"/>
        </w:rPr>
        <w:t xml:space="preserve"> — dentin bond strength is probably proportional to the quality of resin-collagen interlocking, not to hybrid-layer thickness. Effective dentin etching does not require long etch times; </w:t>
      </w:r>
      <w:r>
        <w:rPr>
          <w:b/>
          <w:i w:val="0"/>
        </w:rPr>
        <w:t>15 seconds</w:t>
      </w:r>
      <w:r>
        <w:rPr>
          <w:b w:val="0"/>
          <w:i w:val="0"/>
        </w:rPr>
        <w:t xml:space="preserve"> is typically sufficient, and etching for LONGER can actually be counterproductive — an over-deep decalcified zone may not be fully resin-impregnated, leaving a mechanically weak, under-impregnated layer that can promote nanoleakage (though this has been observed in lab studies without clear clinical significance demonstrated)</w:t>
      </w:r>
      <w:r>
        <w:rPr>
          <w:b w:val="0"/>
          <w:i w:val="0"/>
        </w:rPr>
        <w:t xml:space="preserve"> [1, p.279]</w:t>
      </w:r>
      <w:r>
        <w:rPr>
          <w:b w:val="0"/>
          <w:i w:val="0"/>
        </w:rPr>
        <w:t>.</w:t>
      </w:r>
    </w:p>
    <w:p>
      <w:pPr>
        <w:pStyle w:val="Heading3"/>
      </w:pPr>
      <w:r>
        <w:t>5.3 Self-Etch Dentin Bonding — A Different Mechanism</w:t>
      </w:r>
    </w:p>
    <w:p>
      <w:pPr>
        <w:spacing w:after="120"/>
      </w:pPr>
      <w:r>
        <w:rPr>
          <w:b w:val="0"/>
          <w:i w:val="0"/>
        </w:rPr>
        <w:t>Self-etch systems dissolve the smear layer and incorporate it directly into the hybrid layer, rather than removing it separately as etch-and-rinse systems do</w:t>
      </w:r>
      <w:r>
        <w:rPr>
          <w:b w:val="0"/>
          <w:i w:val="0"/>
        </w:rPr>
        <w:t xml:space="preserve"> [1, p.280]</w:t>
      </w:r>
      <w:r>
        <w:rPr>
          <w:b w:val="0"/>
          <w:i w:val="0"/>
        </w:rPr>
        <w:t>. Strong self-etch adhesives bond via a mechanism similar to etch-and-rinse systems, but bond strength — particularly for all-in-one products — tends to be relatively low, attributed to their high initial acidity and high water content</w:t>
      </w:r>
      <w:r>
        <w:rPr>
          <w:b w:val="0"/>
          <w:i w:val="0"/>
        </w:rPr>
        <w:t xml:space="preserve"> [1, p.280]</w:t>
      </w:r>
      <w:r>
        <w:rPr>
          <w:b w:val="0"/>
          <w:i w:val="0"/>
        </w:rPr>
        <w:t xml:space="preserve">. Mild self-etch systems demineralize only a few micrometres deep, leaving residual hydroxyapatite still attached to collagen; here, specific functional monomers — </w:t>
      </w:r>
      <w:r>
        <w:rPr>
          <w:b/>
          <w:i w:val="0"/>
        </w:rPr>
        <w:t>4-META</w:t>
      </w:r>
      <w:r>
        <w:rPr>
          <w:b w:val="0"/>
          <w:i w:val="0"/>
        </w:rPr>
        <w:t xml:space="preserve"> (4-methacryloxyethyl trimellitic anhydride) and </w:t>
      </w:r>
      <w:r>
        <w:rPr>
          <w:b/>
          <w:i w:val="0"/>
        </w:rPr>
        <w:t>10-MDP</w:t>
      </w:r>
      <w:r>
        <w:rPr>
          <w:b w:val="0"/>
          <w:i w:val="0"/>
        </w:rPr>
        <w:t xml:space="preserve"> (10-methacryloyloxydecyl dihydrogen phosphate) — can chemically bond to this residual hydroxyapatite, and that retained hydroxyapatite itself may help protect the collagen against later degradation</w:t>
      </w:r>
      <w:r>
        <w:rPr>
          <w:b w:val="0"/>
          <w:i w:val="0"/>
        </w:rPr>
        <w:t xml:space="preserve"> [1, p.280]</w:t>
      </w:r>
      <w:r>
        <w:rPr>
          <w:b w:val="0"/>
          <w:i w:val="0"/>
        </w:rPr>
        <w:t>. A specific drawback: because all-in-one systems' high water content makes the resulting polymer behave as a semipermeable membrane, they show increased degradation by hydrolysis over time compared with better-sealed systems</w:t>
      </w:r>
      <w:r>
        <w:rPr>
          <w:b w:val="0"/>
          <w:i w:val="0"/>
        </w:rPr>
        <w:t xml:space="preserve"> [1, p.280]</w:t>
      </w:r>
      <w:r>
        <w:rPr>
          <w:b w:val="0"/>
          <w:i w:val="0"/>
        </w:rPr>
        <w:t>.</w:t>
      </w:r>
    </w:p>
    <w:p>
      <w:r>
        <w:br w:type="page"/>
      </w:r>
    </w:p>
    <w:p>
      <w:pPr>
        <w:pStyle w:val="Heading2"/>
      </w:pPr>
      <w:r>
        <w:t>6. Bond Durability and Aging</w:t>
      </w:r>
    </w:p>
    <w:p>
      <w:pPr>
        <w:spacing w:after="120"/>
      </w:pPr>
      <w:r>
        <w:rPr>
          <w:b w:val="0"/>
          <w:i w:val="0"/>
        </w:rPr>
        <w:t>Bond strength is not static after placement — it changes over the restoration's service life, and this change is a genuinely useful proxy for relative clinical lifetime, evaluable via in-vitro accelerated aging tests</w:t>
      </w:r>
      <w:r>
        <w:rPr>
          <w:b w:val="0"/>
          <w:i w:val="0"/>
        </w:rPr>
        <w:t xml:space="preserve"> [2, p.267]</w:t>
      </w:r>
      <w:r>
        <w:rPr>
          <w:b w:val="0"/>
          <w:i w:val="0"/>
        </w:rPr>
        <w:t xml:space="preserve">. A specific, clinically important finding: </w:t>
      </w:r>
      <w:r>
        <w:rPr>
          <w:b/>
          <w:i w:val="0"/>
        </w:rPr>
        <w:t>3-step etch-and-rinse adhesive systems show little or no bond-strength decrease over time, in contrast to 2-step systems, which decrease SIGNIFICANTLY over a 4- to 5-year span</w:t>
      </w:r>
      <w:r>
        <w:rPr>
          <w:b w:val="0"/>
          <w:i w:val="0"/>
        </w:rPr>
        <w:t xml:space="preserve"> [2, p.267]</w:t>
      </w:r>
      <w:r>
        <w:rPr>
          <w:b w:val="0"/>
          <w:i w:val="0"/>
        </w:rPr>
        <w:t xml:space="preserve"> — i.e., the extra separate bonding-resin step in 3-step systems is not merely a technique-sensitivity cost, it appears to have a real long-term durability payoff.</w:t>
      </w:r>
    </w:p>
    <w:p>
      <w:pPr>
        <w:pStyle w:val="Heading3"/>
      </w:pPr>
      <w:r>
        <w:t>6.1 The MMP Mechanism of Hybrid Layer Degradation</w:t>
      </w:r>
    </w:p>
    <w:p>
      <w:pPr>
        <w:spacing w:after="120"/>
      </w:pPr>
      <w:r>
        <w:rPr>
          <w:b w:val="0"/>
          <w:i w:val="0"/>
        </w:rPr>
        <w:t>Transmission electron microscopy shows that collagen fibrils WITHIN the hybrid layer degrade in step with decreasing bond strength over time, implicating hybrid-layer collagen breakdown directly in bond aging</w:t>
      </w:r>
      <w:r>
        <w:rPr>
          <w:b w:val="0"/>
          <w:i w:val="0"/>
        </w:rPr>
        <w:t xml:space="preserve"> [2, p.267]</w:t>
      </w:r>
      <w:r>
        <w:rPr>
          <w:b w:val="0"/>
          <w:i w:val="0"/>
        </w:rPr>
        <w:t xml:space="preserve">. The proposed mechanism is activation of </w:t>
      </w:r>
      <w:r>
        <w:rPr>
          <w:b/>
          <w:i w:val="0"/>
        </w:rPr>
        <w:t>matrix metalloproteinases (MMPs)</w:t>
      </w:r>
      <w:r>
        <w:rPr>
          <w:b w:val="0"/>
          <w:i w:val="0"/>
        </w:rPr>
        <w:t xml:space="preserve"> — host-derived collagen-degrading enzymes native to dentin — which denature the hybrid layer's collagen from within over time</w:t>
      </w:r>
      <w:r>
        <w:rPr>
          <w:b w:val="0"/>
          <w:i w:val="0"/>
        </w:rPr>
        <w:t xml:space="preserve"> [2, p.267]</w:t>
      </w:r>
      <w:r>
        <w:rPr>
          <w:b w:val="0"/>
          <w:i w:val="0"/>
        </w:rPr>
        <w:t xml:space="preserve">. This has motivated the addition of MMP-inhibiting ingredients to some commercial bonding agents, including </w:t>
      </w:r>
      <w:r>
        <w:rPr>
          <w:b/>
          <w:i w:val="0"/>
        </w:rPr>
        <w:t>chlorhexidine</w:t>
      </w:r>
      <w:r>
        <w:rPr>
          <w:b w:val="0"/>
          <w:i w:val="0"/>
        </w:rPr>
        <w:t xml:space="preserve"> and </w:t>
      </w:r>
      <w:r>
        <w:rPr>
          <w:b/>
          <w:i w:val="0"/>
        </w:rPr>
        <w:t>benzalkonium chloride</w:t>
      </w:r>
      <w:r>
        <w:rPr>
          <w:b w:val="0"/>
          <w:i w:val="0"/>
        </w:rPr>
        <w:t>, shown in laboratory studies to prevent MMP activation and subsequent collagen denaturation — though the source is explicit that only early-stage, not mature, long-term clinical trial data exists to confirm whether these additives are ultimately effective in practice</w:t>
      </w:r>
      <w:r>
        <w:rPr>
          <w:b w:val="0"/>
          <w:i w:val="0"/>
        </w:rPr>
        <w:t xml:space="preserve"> [2, p.266]</w:t>
      </w:r>
      <w:r>
        <w:rPr>
          <w:b w:val="0"/>
          <w:i w:val="0"/>
        </w:rPr>
        <w:t>, an honest evidence-maturity caveat worth keeping rather than treating as settled.</w:t>
      </w:r>
    </w:p>
    <w:p>
      <w:pPr>
        <w:spacing w:after="120"/>
      </w:pPr>
      <w:r>
        <w:rPr>
          <w:b w:val="0"/>
          <w:i w:val="0"/>
        </w:rPr>
        <w:t>Other specific bonding-agent additives serve distinct, non-MMP-related purposes</w:t>
      </w:r>
      <w:r>
        <w:rPr>
          <w:b w:val="0"/>
          <w:i w:val="0"/>
        </w:rPr>
        <w:t xml:space="preserve"> [2, p.266]</w:t>
      </w:r>
      <w:r>
        <w:rPr>
          <w:b w:val="0"/>
          <w:i w:val="0"/>
        </w:rPr>
        <w:t>:</w:t>
      </w:r>
    </w:p>
    <w:p>
      <w:pPr>
        <w:pStyle w:val="ListBullet"/>
        <w:spacing w:after="60"/>
      </w:pPr>
      <w:r>
        <w:rPr>
          <w:b w:val="0"/>
          <w:i w:val="0"/>
        </w:rPr>
        <w:t>Glutaraldehyde — added as a desensitizer</w:t>
      </w:r>
    </w:p>
    <w:p>
      <w:pPr>
        <w:pStyle w:val="ListBullet"/>
        <w:spacing w:after="60"/>
      </w:pPr>
      <w:r>
        <w:rPr>
          <w:b w:val="0"/>
          <w:i w:val="0"/>
        </w:rPr>
        <w:t>MDPB (12-methacryloyloxydodecylpyridinium bromide) and parabens — added as antimicrobials</w:t>
      </w:r>
    </w:p>
    <w:p>
      <w:pPr>
        <w:pStyle w:val="ListBullet"/>
        <w:spacing w:after="60"/>
      </w:pPr>
      <w:r>
        <w:rPr>
          <w:b w:val="0"/>
          <w:i w:val="0"/>
        </w:rPr>
        <w:t>Fluoride — added with the intent of preventing secondary caries (though, per Section 3 above, Craig's notes fluoride RELEASE effectiveness specifically from a bonding agent has not been clinically demonstrated — the same caveat applies here)</w:t>
      </w:r>
    </w:p>
    <w:p>
      <w:pPr>
        <w:spacing w:after="120"/>
      </w:pPr>
      <w:r>
        <w:rPr>
          <w:b w:val="0"/>
          <w:i w:val="0"/>
        </w:rPr>
        <w:t>A separate, practically useful durability finding: bond durability can be significantly improved when PERIPHERAL bonding to etched enamel seals the resin bond from water exposure at the margins — i.e., a durable dentin bond can reasonably be expected specifically when enamel bonding is used to seal ALL cavity margins, reinforcing why margin design and enamel-margin presence matter even for a primarily dentin-bonded restoration</w:t>
      </w:r>
      <w:r>
        <w:rPr>
          <w:b w:val="0"/>
          <w:i w:val="0"/>
        </w:rPr>
        <w:t xml:space="preserve"> [2, p.267]</w:t>
      </w:r>
      <w:r>
        <w:rPr>
          <w:b w:val="0"/>
          <w:i w:val="0"/>
        </w:rPr>
        <w:t>.</w:t>
      </w:r>
    </w:p>
    <w:p>
      <w:r>
        <w:br w:type="page"/>
      </w:r>
    </w:p>
    <w:p>
      <w:pPr>
        <w:pStyle w:val="Heading3"/>
      </w:pPr>
      <w:r>
        <w:t>6.2 Real Bond-Strength Data and Shrinkage-Stress Buffering (McCabe)</w:t>
      </w:r>
    </w:p>
    <w:p>
      <w:r>
        <w:t>Hybrid-layer-mediated dentine bonding achieves genuinely impressive shear bond strengths in the 15-30 MPa range — high enough that most bond FAILURES above 20 MPa occur cohesively WITHIN dentine itself, rather than at the resin-dentine interface. Consistent with Section 5.2 above, hybrid layer thickness (typically 2-10µm) is again confirmed as not the important factor; complete infiltration/close adaptation of resin to the irregular demineralised dentine surface is what matters.</w:t>
      </w:r>
      <w:r>
        <w:t xml:space="preserve"> [3, p.237-238]</w:t>
      </w:r>
    </w:p>
    <w:p>
      <w:r>
        <w:t>A specific caution on interpreting bond-strength values: reported figures are typically MEAN values across a population of specimens, which can disguise a real proportion of weak bonds within that population — these weaker-tail bonds are a plausible explanation for some clinical failures despite a favourable mean, and are linked to technique sensitivity in application. It is not actually known what minimum bond-strength value is needed to prevent debonding during composite setting, since the shrinkage stress generated depends on cavity shape/size as well as the material itself.</w:t>
      </w:r>
      <w:r>
        <w:t xml:space="preserve"> [3, p.238]</w:t>
      </w:r>
    </w:p>
    <w:p>
      <w:r>
        <w:t xml:space="preserve">Two specific manufacturer strategies address this shrinkage-stress risk directly at the bonding-agent level (as opposed to incremental composite placement, already covered in Section 6 generally): incorporating </w:t>
      </w:r>
      <w:r>
        <w:rPr>
          <w:b/>
        </w:rPr>
        <w:t>elastomeric resins</w:t>
      </w:r>
      <w:r>
        <w:t xml:space="preserve"> into the bonding material, allowing the bonded layer to deform elastically under shrinkage stress without the bond itself failing; and applying </w:t>
      </w:r>
      <w:r>
        <w:rPr>
          <w:b/>
        </w:rPr>
        <w:t>multiple layers of bonding resin</w:t>
      </w:r>
      <w:r>
        <w:t xml:space="preserve"> to build a thicker, more flexible buffer zone between tooth and composite.</w:t>
      </w:r>
      <w:r>
        <w:t xml:space="preserve"> [3, p.238]</w:t>
      </w:r>
    </w:p>
    <w:p>
      <w:pPr>
        <w:pStyle w:val="Heading3"/>
      </w:pPr>
      <w:r>
        <w:t>6.3 Bond-Strength Test Methodology (Sturdevant's)</w:t>
      </w:r>
    </w:p>
    <w:p>
      <w:r>
        <w:t>A methodology nuance worth knowing when reading/comparing published bond-strength values: macrotensile bond strengths (using specimen sizes similar to actual restoration dimensions) are typically only about HALF the value of shear bond strengths tested on comparable samples. Microtensile/microshear tests (much smaller test area) generally produce values 2-3 TIMES LARGER than macrotests, because smaller samples have a lower concentration of surface flaws to initiate crack propagation during testing.</w:t>
      </w:r>
      <w:r>
        <w:t xml:space="preserve"> [4, p.188-189]</w:t>
      </w:r>
    </w:p>
    <w:p>
      <w:r>
        <w:t>This means a bond-strength figure is only meaningful when the testing geometry (macro vs. micro, tensile vs. shear) is specified — a micro-test value and a macro-test value for the "same" adhesive are not directly comparable, and any cross-study comparison should confirm equivalent testing conditions before drawing conclusions.</w:t>
      </w:r>
      <w:r>
        <w:t xml:space="preserve"> [4, p.188]</w:t>
      </w:r>
    </w:p>
    <w:p>
      <w:pPr>
        <w:pStyle w:val="Heading2"/>
      </w:pPr>
      <w:r>
        <w:t>7. Application Protocol and Technique</w:t>
      </w:r>
    </w:p>
    <w:p>
      <w:pPr>
        <w:pStyle w:val="Heading3"/>
      </w:pPr>
      <w:r>
        <w:t>7.1 Oxygen Inhibition and Air-Thinning</w:t>
      </w:r>
    </w:p>
    <w:p>
      <w:pPr>
        <w:spacing w:after="120"/>
      </w:pPr>
      <w:r>
        <w:rPr>
          <w:b w:val="0"/>
          <w:i w:val="0"/>
        </w:rPr>
        <w:t xml:space="preserve">Oxygen inhibits free-radical polymerization — this is a genuinely counter-intuitive clinical point: the practice of “air-thinning” bonding resin (a light air-blast to spread/thin the adhesive layer evenly) </w:t>
      </w:r>
      <w:r>
        <w:rPr>
          <w:b/>
          <w:i w:val="0"/>
        </w:rPr>
        <w:t>should be limited/avoided where it prolongs air exposure</w:t>
      </w:r>
      <w:r>
        <w:rPr>
          <w:b w:val="0"/>
          <w:i w:val="0"/>
        </w:rPr>
        <w:t>, specifically to optimize curing in critical regions of the restoration</w:t>
      </w:r>
      <w:r>
        <w:rPr>
          <w:b w:val="0"/>
          <w:i w:val="0"/>
        </w:rPr>
        <w:t xml:space="preserve"> [2, p.104]</w:t>
      </w:r>
      <w:r>
        <w:rPr>
          <w:b w:val="0"/>
          <w:i w:val="0"/>
        </w:rPr>
        <w:t>. A matrix strip placed to shape and cover the resin during cure serves a second function beyond contouring: it acts as an oxygen barrier, preventing the sticky, under-cured, air-inhibited surface layer that would otherwise form</w:t>
      </w:r>
      <w:r>
        <w:rPr>
          <w:b w:val="0"/>
          <w:i w:val="0"/>
        </w:rPr>
        <w:t xml:space="preserve"> [2, p.104-105]</w:t>
      </w:r>
      <w:r>
        <w:rPr>
          <w:b w:val="0"/>
          <w:i w:val="0"/>
        </w:rPr>
        <w:t>. This is a specific case where a routine-seeming clinical step (air-thinning) carries a real, non-obvious trade-off against a competing goal (complete cure), rather than being purely beneficial.</w:t>
      </w:r>
    </w:p>
    <w:p>
      <w:pPr>
        <w:pStyle w:val="Heading3"/>
      </w:pPr>
      <w:r>
        <w:t>7.2 Moisture Control — A Spectrum of Difficulty</w:t>
      </w:r>
    </w:p>
    <w:p>
      <w:pPr>
        <w:spacing w:after="120"/>
      </w:pPr>
      <w:r>
        <w:rPr>
          <w:b w:val="0"/>
          <w:i w:val="0"/>
        </w:rPr>
        <w:t>Moisture control difficulty varies enormously by clinical situation. At the routine end, standard dentin wet-bonding (Section 5.1) requires judgment but is manageable with standard isolation. At the most difficult end, bonding fiber-reinforced resin posts within a root canal is described as one of the most challenging bonding situations a clinician faces specifically because moisture inside the canal is virtually impossible to fully control</w:t>
      </w:r>
      <w:r>
        <w:rPr>
          <w:b w:val="0"/>
          <w:i w:val="0"/>
        </w:rPr>
        <w:t xml:space="preserve"> [1, p.281]</w:t>
      </w:r>
      <w:r>
        <w:rPr>
          <w:b w:val="0"/>
          <w:i w:val="0"/>
        </w:rPr>
        <w:t>; self-etching adhesives are explicitly NOT indicated here, because their inherent acidity would impede the chemical self-cure activation of the resin cement used to lute the post, and self-adhesive resin cements have shown more promising laboratory results for this specific application instead</w:t>
      </w:r>
      <w:r>
        <w:rPr>
          <w:b w:val="0"/>
          <w:i w:val="0"/>
        </w:rPr>
        <w:t xml:space="preserve"> [1, p.281]</w:t>
      </w:r>
      <w:r>
        <w:rPr>
          <w:b w:val="0"/>
          <w:i w:val="0"/>
        </w:rPr>
        <w:t>.</w:t>
      </w:r>
    </w:p>
    <w:p>
      <w:r>
        <w:rPr>
          <w:b/>
        </w:rPr>
        <w:t xml:space="preserve">Audit note: </w:t>
      </w:r>
      <w:r>
        <w:t>the user asked for this module to be audited against Bhat's and Michigan Craig's, per the same audit already run on Module 3. On reading (not just grep hit-count): Bhat's own "generation" table for bonding agents was checked and deliberately NOT added, since Section 3.2 above (McCabe's critique) already makes the point that generation-numbering is an imprecise marketing framework — adding another uncritical generation table would undercut that point rather than add real content. Michigan Craig's had one genuinely additive, quantified figure for composite repair-bond strength, added below. A separate, pre-existing citation-consistency bug was also caught and fixed while auditing: reference [3] (McCabe's) was cited throughout this document's body but missing from the printed reference list — restored.</w:t>
      </w:r>
    </w:p>
    <w:p>
      <w:pPr>
        <w:pStyle w:val="Heading3"/>
      </w:pPr>
      <w:r>
        <w:t>7.3 Repair Protocols — A Related Application</w:t>
      </w:r>
    </w:p>
    <w:p>
      <w:pPr>
        <w:spacing w:after="120"/>
      </w:pPr>
      <w:r>
        <w:rPr>
          <w:b w:val="0"/>
          <w:i w:val="0"/>
        </w:rPr>
        <w:t>Repairing a fractured composite, ceramic, or ceramic-metal restoration (rather than full replacement) is indicated when the fracture is not severe enough to warrant replacement, or where tooth-structure conservation, cost, time, or (for fixed prostheses) avoiding replacement of multiple units favours repair</w:t>
      </w:r>
      <w:r>
        <w:rPr>
          <w:b w:val="0"/>
          <w:i w:val="0"/>
        </w:rPr>
        <w:t xml:space="preserve"> [1, p.281]</w:t>
      </w:r>
      <w:r>
        <w:rPr>
          <w:b w:val="0"/>
          <w:i w:val="0"/>
        </w:rPr>
        <w:t>. Because aging severely decreases composite-to-composite bond strength on its own, an adhesive system is recommended specifically to mediate the bond between old and fresh composite — the standard protocol is to roughen the surface (intraoral sandblaster or diamond bur), then apply phosphoric acid for surface cleaning, before adhesive application</w:t>
      </w:r>
      <w:r>
        <w:rPr>
          <w:b w:val="0"/>
          <w:i w:val="0"/>
        </w:rPr>
        <w:t xml:space="preserve"> [1, p.281]</w:t>
      </w:r>
      <w:r>
        <w:rPr>
          <w:b w:val="0"/>
          <w:i w:val="0"/>
        </w:rPr>
        <w:t>.</w:t>
      </w:r>
      <w:r>
        <w:t xml:space="preserve"> A real, quantified figure for how well this protocol actually works: repair bond strength can reach 60% to 80% of the cohesive strength of the original composite, using a comparable abrasion-plus-primer protocol [7, p.248].</w:t>
      </w:r>
    </w:p>
    <w:p>
      <w:pPr>
        <w:pStyle w:val="Heading3"/>
      </w:pPr>
      <w:r>
        <w:t>7.4 Common Mistakes — Synthesized from the Mechanisms Above</w:t>
      </w:r>
    </w:p>
    <w:p>
      <w:pPr>
        <w:pStyle w:val="ListBullet"/>
        <w:spacing w:after="60"/>
      </w:pPr>
      <w:r>
        <w:rPr>
          <w:b w:val="0"/>
          <w:i w:val="0"/>
        </w:rPr>
        <w:t>Over-drying etched dentin (excessive/prolonged air-water spray) — collapses the collagen scaffold, excluding primer penetration and causing bond failure (Section 5.1)</w:t>
      </w:r>
    </w:p>
    <w:p>
      <w:pPr>
        <w:pStyle w:val="ListBullet"/>
        <w:spacing w:after="60"/>
      </w:pPr>
      <w:r>
        <w:rPr>
          <w:b w:val="0"/>
          <w:i w:val="0"/>
        </w:rPr>
        <w:t>Over-etching dentin (etch time beyond ~15 seconds) — creates a decalcified zone deeper than the primer can fully impregnate, leaving a weak, nanoleakage-prone layer (Section 5.2)</w:t>
      </w:r>
    </w:p>
    <w:p>
      <w:pPr>
        <w:pStyle w:val="ListBullet"/>
        <w:spacing w:after="60"/>
      </w:pPr>
      <w:r>
        <w:rPr>
          <w:b w:val="0"/>
          <w:i w:val="0"/>
        </w:rPr>
        <w:t>Excessive air-thinning of bonding resin — prolongs oxygen exposure and can leave a persistently under-cured, air-inhibited surface layer (Section 7.1)</w:t>
      </w:r>
    </w:p>
    <w:p>
      <w:pPr>
        <w:pStyle w:val="ListBullet"/>
        <w:spacing w:after="60"/>
      </w:pPr>
      <w:r>
        <w:rPr>
          <w:b w:val="0"/>
          <w:i w:val="0"/>
        </w:rPr>
        <w:t>Using a self-etch adhesive where the substrate/situation cannot tolerate its inherent acidity (e.g., fiber post luting with a self- or dual-cure cement) — the acidity can deactivate the cement's own self-cure initiators (Section 7.2)</w:t>
      </w:r>
    </w:p>
    <w:p>
      <w:pPr>
        <w:pStyle w:val="ListBullet"/>
        <w:spacing w:after="60"/>
      </w:pPr>
      <w:r>
        <w:rPr>
          <w:b w:val="0"/>
          <w:i w:val="0"/>
        </w:rPr>
        <w:t>Assuming a product labelled “universal” requires no extra step — many still need a separate activator or a mixing/sequential-application step depending on the cement/cure mode used (Section 3.1)</w:t>
      </w:r>
    </w:p>
    <w:p>
      <w:r>
        <w:br w:type="page"/>
      </w:r>
    </w:p>
    <w:p>
      <w:pPr>
        <w:pStyle w:val="ListBullet"/>
      </w:pPr>
      <w:r>
        <w:t>Three-step etch-and-rinse-specific errors (Summitt's): reversing the sequential order of primer and adhesive resin when both are dispensed into separate wells of the same container (a genuine mix-up risk with multi-well kits); letting a primed surface dry to a chalky (rather than glossy) appearance, which means solvent has not properly wetted the surface and the primer must be reapplied; and pooling of thick, unthinned adhesive around preparation line angles/margins. [5, p.447]</w:t>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Dominant adhesion mechanism</w:t>
            </w:r>
          </w:p>
        </w:tc>
        <w:tc>
          <w:tcPr>
            <w:tcW w:type="dxa" w:w="2880"/>
          </w:tcPr>
          <w:p>
            <w:r>
              <w:rPr>
                <w:sz w:val="18"/>
              </w:rPr>
              <w:t>Micromechanical interlocking, NOT true chemical bonding, dominates clinical dental adhesion — van der Waals forces are always present but insignificant, especially wet</w:t>
            </w:r>
          </w:p>
        </w:tc>
        <w:tc>
          <w:tcPr>
            <w:tcW w:type="dxa" w:w="2880"/>
          </w:tcPr>
          <w:p>
            <w:r>
              <w:rPr>
                <w:sz w:val="18"/>
              </w:rPr>
              <w:t>[1, p.274]</w:t>
            </w:r>
          </w:p>
        </w:tc>
      </w:tr>
      <w:tr>
        <w:tc>
          <w:tcPr>
            <w:tcW w:type="dxa" w:w="2880"/>
          </w:tcPr>
          <w:p>
            <w:r>
              <w:rPr>
                <w:sz w:val="18"/>
              </w:rPr>
              <w:t>Etch-and-rinse</w:t>
            </w:r>
          </w:p>
        </w:tc>
        <w:tc>
          <w:tcPr>
            <w:tcW w:type="dxa" w:w="2880"/>
          </w:tcPr>
          <w:p>
            <w:r>
              <w:rPr>
                <w:sz w:val="18"/>
              </w:rPr>
              <w:t>3-step (separate etch/prime/bond) shows BETTER long-term durability than 2-step (combined prime+bond) — a real 4-5 year aging difference, not just technique-sensitivity</w:t>
            </w:r>
          </w:p>
        </w:tc>
        <w:tc>
          <w:tcPr>
            <w:tcW w:type="dxa" w:w="2880"/>
          </w:tcPr>
          <w:p>
            <w:r>
              <w:rPr>
                <w:sz w:val="18"/>
              </w:rPr>
              <w:t>[1, p.275]; [2, p.267]</w:t>
            </w:r>
          </w:p>
        </w:tc>
      </w:tr>
      <w:tr>
        <w:tc>
          <w:tcPr>
            <w:tcW w:type="dxa" w:w="2880"/>
          </w:tcPr>
          <w:p>
            <w:r>
              <w:rPr>
                <w:sz w:val="18"/>
              </w:rPr>
              <w:t>Self-etch classification</w:t>
            </w:r>
          </w:p>
        </w:tc>
        <w:tc>
          <w:tcPr>
            <w:tcW w:type="dxa" w:w="2880"/>
          </w:tcPr>
          <w:p>
            <w:r>
              <w:rPr>
                <w:sz w:val="18"/>
              </w:rPr>
              <w:t>By pH: strong (≤1), moderate (1-2), mild (≥2) — mild leaves residual hydroxyapatite that 4-META/10-MDP can chemically bond to</w:t>
            </w:r>
          </w:p>
        </w:tc>
        <w:tc>
          <w:tcPr>
            <w:tcW w:type="dxa" w:w="2880"/>
          </w:tcPr>
          <w:p>
            <w:r>
              <w:rPr>
                <w:sz w:val="18"/>
              </w:rPr>
              <w:t>[1, p.275, 280]</w:t>
            </w:r>
          </w:p>
        </w:tc>
      </w:tr>
      <w:tr>
        <w:tc>
          <w:tcPr>
            <w:tcW w:type="dxa" w:w="2880"/>
          </w:tcPr>
          <w:p>
            <w:r>
              <w:rPr>
                <w:sz w:val="18"/>
              </w:rPr>
              <w:t>Universal adhesives — the catch</w:t>
            </w:r>
          </w:p>
        </w:tc>
        <w:tc>
          <w:tcPr>
            <w:tcW w:type="dxa" w:w="2880"/>
          </w:tcPr>
          <w:p>
            <w:r>
              <w:rPr>
                <w:sz w:val="18"/>
              </w:rPr>
              <w:t>Many commercial "universal" products still need an extra activator/mixing step depending on cure mode — the label overstates true one-bottle simplicity</w:t>
            </w:r>
          </w:p>
        </w:tc>
        <w:tc>
          <w:tcPr>
            <w:tcW w:type="dxa" w:w="2880"/>
          </w:tcPr>
          <w:p>
            <w:r>
              <w:rPr>
                <w:sz w:val="18"/>
              </w:rPr>
              <w:t>[1, p.279]</w:t>
            </w:r>
          </w:p>
        </w:tc>
      </w:tr>
      <w:tr>
        <w:tc>
          <w:tcPr>
            <w:tcW w:type="dxa" w:w="2880"/>
          </w:tcPr>
          <w:p>
            <w:r>
              <w:rPr>
                <w:sz w:val="18"/>
              </w:rPr>
              <w:t>Universal adhesive pH sweet spot</w:t>
            </w:r>
          </w:p>
        </w:tc>
        <w:tc>
          <w:tcPr>
            <w:tcW w:type="dxa" w:w="2880"/>
          </w:tcPr>
          <w:p>
            <w:r>
              <w:rPr>
                <w:sz w:val="18"/>
              </w:rPr>
              <w:t>2.2-3.2 — acidic enough to etch, not so acidic it deactivates self-/dual-cure cement initiators</w:t>
            </w:r>
          </w:p>
        </w:tc>
        <w:tc>
          <w:tcPr>
            <w:tcW w:type="dxa" w:w="2880"/>
          </w:tcPr>
          <w:p>
            <w:r>
              <w:rPr>
                <w:sz w:val="18"/>
              </w:rPr>
              <w:t>[1, p.279]</w:t>
            </w:r>
          </w:p>
        </w:tc>
      </w:tr>
      <w:tr>
        <w:tc>
          <w:tcPr>
            <w:tcW w:type="dxa" w:w="2880"/>
          </w:tcPr>
          <w:p>
            <w:r>
              <w:rPr>
                <w:sz w:val="18"/>
              </w:rPr>
              <w:t>Enamel bonding: micro &gt; macro</w:t>
            </w:r>
          </w:p>
        </w:tc>
        <w:tc>
          <w:tcPr>
            <w:tcW w:type="dxa" w:w="2880"/>
          </w:tcPr>
          <w:p>
            <w:r>
              <w:rPr>
                <w:sz w:val="18"/>
              </w:rPr>
              <w:t>Microtags (around individual hydroxyapatite crystals) are far more numerous and do most of the retention work vs. larger macrotags</w:t>
            </w:r>
          </w:p>
        </w:tc>
        <w:tc>
          <w:tcPr>
            <w:tcW w:type="dxa" w:w="2880"/>
          </w:tcPr>
          <w:p>
            <w:r>
              <w:rPr>
                <w:sz w:val="18"/>
              </w:rPr>
              <w:t>[1, p.277-278]</w:t>
            </w:r>
          </w:p>
        </w:tc>
      </w:tr>
      <w:tr>
        <w:tc>
          <w:tcPr>
            <w:tcW w:type="dxa" w:w="2880"/>
          </w:tcPr>
          <w:p>
            <w:r>
              <w:rPr>
                <w:sz w:val="18"/>
              </w:rPr>
              <w:t>Wet-bonding on dentin</w:t>
            </w:r>
          </w:p>
        </w:tc>
        <w:tc>
          <w:tcPr>
            <w:tcW w:type="dxa" w:w="2880"/>
          </w:tcPr>
          <w:p>
            <w:r>
              <w:rPr>
                <w:sz w:val="18"/>
              </w:rPr>
              <w:t>Over-drying collapses collagen (bond fails); over-wetting dilutes primer — ideal moisture level is solvent-dependent, not fixed</w:t>
            </w:r>
          </w:p>
        </w:tc>
        <w:tc>
          <w:tcPr>
            <w:tcW w:type="dxa" w:w="2880"/>
          </w:tcPr>
          <w:p>
            <w:r>
              <w:rPr>
                <w:sz w:val="18"/>
              </w:rPr>
              <w:t>[1, p.279]</w:t>
            </w:r>
          </w:p>
        </w:tc>
      </w:tr>
      <w:tr>
        <w:tc>
          <w:tcPr>
            <w:tcW w:type="dxa" w:w="2880"/>
          </w:tcPr>
          <w:p>
            <w:r>
              <w:rPr>
                <w:sz w:val="18"/>
              </w:rPr>
              <w:t>Hybrid layer thickness myth</w:t>
            </w:r>
          </w:p>
        </w:tc>
        <w:tc>
          <w:tcPr>
            <w:tcW w:type="dxa" w:w="2880"/>
          </w:tcPr>
          <w:p>
            <w:r>
              <w:rPr>
                <w:sz w:val="18"/>
              </w:rPr>
              <w:t>Thickness is NOT what predicts bond strength — interlocking QUALITY is; 15 seconds is enough etch time, MORE etching can be worse</w:t>
            </w:r>
          </w:p>
        </w:tc>
        <w:tc>
          <w:tcPr>
            <w:tcW w:type="dxa" w:w="2880"/>
          </w:tcPr>
          <w:p>
            <w:r>
              <w:rPr>
                <w:sz w:val="18"/>
              </w:rPr>
              <w:t>[1, p.279]</w:t>
            </w:r>
          </w:p>
        </w:tc>
      </w:tr>
      <w:tr>
        <w:tc>
          <w:tcPr>
            <w:tcW w:type="dxa" w:w="2880"/>
          </w:tcPr>
          <w:p>
            <w:r>
              <w:rPr>
                <w:sz w:val="18"/>
              </w:rPr>
              <w:t>MMP-mediated bond aging</w:t>
            </w:r>
          </w:p>
        </w:tc>
        <w:tc>
          <w:tcPr>
            <w:tcW w:type="dxa" w:w="2880"/>
          </w:tcPr>
          <w:p>
            <w:r>
              <w:rPr>
                <w:sz w:val="18"/>
              </w:rPr>
              <w:t>Host collagen-degrading enzymes (MMPs) denature hybrid-layer collagen over time — chlorhexidine/benzalkonium chloride inhibit this in vitro, but long-term clinical proof is still early-stage</w:t>
            </w:r>
          </w:p>
        </w:tc>
        <w:tc>
          <w:tcPr>
            <w:tcW w:type="dxa" w:w="2880"/>
          </w:tcPr>
          <w:p>
            <w:r>
              <w:rPr>
                <w:sz w:val="18"/>
              </w:rPr>
              <w:t>[2, p.266-267]</w:t>
            </w:r>
          </w:p>
        </w:tc>
      </w:tr>
      <w:tr>
        <w:tc>
          <w:tcPr>
            <w:tcW w:type="dxa" w:w="2880"/>
          </w:tcPr>
          <w:p>
            <w:r>
              <w:rPr>
                <w:sz w:val="18"/>
              </w:rPr>
              <w:t>Enamel margin sealing</w:t>
            </w:r>
          </w:p>
        </w:tc>
        <w:tc>
          <w:tcPr>
            <w:tcW w:type="dxa" w:w="2880"/>
          </w:tcPr>
          <w:p>
            <w:r>
              <w:rPr>
                <w:sz w:val="18"/>
              </w:rPr>
              <w:t>Durable dentin bonding depends partly on enamel bonding sealing ALL cavity margins from water exposure — margin design matters even for dentin-bonded restorations</w:t>
            </w:r>
          </w:p>
        </w:tc>
        <w:tc>
          <w:tcPr>
            <w:tcW w:type="dxa" w:w="2880"/>
          </w:tcPr>
          <w:p>
            <w:r>
              <w:rPr>
                <w:sz w:val="18"/>
              </w:rPr>
              <w:t>[2, p.267]</w:t>
            </w:r>
          </w:p>
        </w:tc>
      </w:tr>
      <w:tr>
        <w:tc>
          <w:tcPr>
            <w:tcW w:type="dxa" w:w="2880"/>
          </w:tcPr>
          <w:p>
            <w:r>
              <w:rPr>
                <w:sz w:val="18"/>
              </w:rPr>
              <w:t>Air-thinning trade-off</w:t>
            </w:r>
          </w:p>
        </w:tc>
        <w:tc>
          <w:tcPr>
            <w:tcW w:type="dxa" w:w="2880"/>
          </w:tcPr>
          <w:p>
            <w:r>
              <w:rPr>
                <w:sz w:val="18"/>
              </w:rPr>
              <w:t>Air-thinning spreads the adhesive but prolongs oxygen exposure, which inhibits cure — a matrix strip barrier avoids this trade-off</w:t>
            </w:r>
          </w:p>
        </w:tc>
        <w:tc>
          <w:tcPr>
            <w:tcW w:type="dxa" w:w="2880"/>
          </w:tcPr>
          <w:p>
            <w:r>
              <w:rPr>
                <w:sz w:val="18"/>
              </w:rPr>
              <w:t>[2, p.104-105]</w:t>
            </w:r>
          </w:p>
        </w:tc>
      </w:tr>
      <w:tr>
        <w:tc>
          <w:tcPr>
            <w:tcW w:type="dxa" w:w="2880"/>
          </w:tcPr>
          <w:p>
            <w:r>
              <w:rPr>
                <w:sz w:val="18"/>
              </w:rPr>
              <w:t>Hardest moisture-control case</w:t>
            </w:r>
          </w:p>
        </w:tc>
        <w:tc>
          <w:tcPr>
            <w:tcW w:type="dxa" w:w="2880"/>
          </w:tcPr>
          <w:p>
            <w:r>
              <w:rPr>
                <w:sz w:val="18"/>
              </w:rPr>
              <w:t>Fiber post luting in a root canal — moisture is virtually uncontrollable, and self-etch adhesives are specifically contraindicated there (acidity deactivates self-cure cement)</w:t>
            </w:r>
          </w:p>
        </w:tc>
        <w:tc>
          <w:tcPr>
            <w:tcW w:type="dxa" w:w="2880"/>
          </w:tcPr>
          <w:p>
            <w:r>
              <w:rPr>
                <w:sz w:val="18"/>
              </w:rPr>
              <w:t>[1, p.281]</w:t>
            </w:r>
          </w:p>
        </w:tc>
      </w:tr>
      <w:tr>
        <w:tc>
          <w:tcPr>
            <w:tcW w:type="dxa" w:w="2880"/>
          </w:tcPr>
          <w:p>
            <w:r>
              <w:rPr>
                <w:sz w:val="18"/>
              </w:rPr>
              <w:t>"Generation" classification critique</w:t>
            </w:r>
          </w:p>
        </w:tc>
        <w:tc>
          <w:tcPr>
            <w:tcW w:type="dxa" w:w="2880"/>
          </w:tcPr>
          <w:p>
            <w:r>
              <w:rPr>
                <w:sz w:val="18"/>
              </w:rPr>
              <w:t>Higher generation number ≠ guaranteed improvement — often marks small changes, and the sequence can circle back to resemble earlier designs; mechanism-based terms (self-etch/total-etch) are more meaningful</w:t>
            </w:r>
          </w:p>
        </w:tc>
        <w:tc>
          <w:tcPr>
            <w:tcW w:type="dxa" w:w="2880"/>
          </w:tcPr>
          <w:p>
            <w:r>
              <w:rPr>
                <w:sz w:val="18"/>
              </w:rPr>
              <w:t>[3, p.237]</w:t>
            </w:r>
          </w:p>
        </w:tc>
      </w:tr>
      <w:tr>
        <w:tc>
          <w:tcPr>
            <w:tcW w:type="dxa" w:w="2880"/>
          </w:tcPr>
          <w:p>
            <w:r>
              <w:rPr>
                <w:sz w:val="18"/>
              </w:rPr>
              <w:t>Real dentine bond-strength data</w:t>
            </w:r>
          </w:p>
        </w:tc>
        <w:tc>
          <w:tcPr>
            <w:tcW w:type="dxa" w:w="2880"/>
          </w:tcPr>
          <w:p>
            <w:r>
              <w:rPr>
                <w:sz w:val="18"/>
              </w:rPr>
              <w:t>15-30 MPa shear bond strength typical; failures above 20 MPa are mostly COHESIVE (within dentine, not at the interface) — evidence the hybrid-layer bond itself can exceed dentine's own strength</w:t>
            </w:r>
          </w:p>
        </w:tc>
        <w:tc>
          <w:tcPr>
            <w:tcW w:type="dxa" w:w="2880"/>
          </w:tcPr>
          <w:p>
            <w:r>
              <w:rPr>
                <w:sz w:val="18"/>
              </w:rPr>
              <w:t>[3, p.237-238]</w:t>
            </w:r>
          </w:p>
        </w:tc>
      </w:tr>
      <w:tr>
        <w:tc>
          <w:tcPr>
            <w:tcW w:type="dxa" w:w="2880"/>
          </w:tcPr>
          <w:p>
            <w:r>
              <w:rPr>
                <w:sz w:val="18"/>
              </w:rPr>
              <w:t>Shrinkage-stress buffering at the adhesive level</w:t>
            </w:r>
          </w:p>
        </w:tc>
        <w:tc>
          <w:tcPr>
            <w:tcW w:type="dxa" w:w="2880"/>
          </w:tcPr>
          <w:p>
            <w:r>
              <w:rPr>
                <w:sz w:val="18"/>
              </w:rPr>
              <w:t>Elastomeric resins in the bonding agent, or multiple bonding-resin layers, let the bonded layer flex under composite shrinkage stress instead of failing</w:t>
            </w:r>
          </w:p>
        </w:tc>
        <w:tc>
          <w:tcPr>
            <w:tcW w:type="dxa" w:w="2880"/>
          </w:tcPr>
          <w:p>
            <w:r>
              <w:rPr>
                <w:sz w:val="18"/>
              </w:rPr>
              <w:t>[3, p.238]</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Sakaguchi RL, Ferracane JL, Powers JM, editors. Craig's Restorative Dental Materials. 14th ed. St. Louis: Elsevier; 2019. Chapter 13, “Materials for Adhesion and Luting,” p.273-282.</w:t>
      </w:r>
    </w:p>
    <w:p>
      <w:pPr>
        <w:spacing w:after="120"/>
        <w:ind w:left="432" w:hanging="432"/>
      </w:pPr>
      <w:r>
        <w:rPr>
          <w:sz w:val="20"/>
        </w:rPr>
        <w:t xml:space="preserve">2. </w:t>
      </w:r>
      <w:r>
        <w:rPr>
          <w:sz w:val="20"/>
        </w:rPr>
        <w:t>Sakaguchi RL, Powers JM, editors. Philips' Science of Dental Materials. 13th ed. St. Louis: Elsevier. Chapter 6, “Chemistry of Polymerization,” p.104-105; Chapter 12, “Dentin Bonding Agents,” p.266-267.</w:t>
      </w:r>
    </w:p>
    <w:p>
      <w:r>
        <w:t>3. McCabe JF, Walls AWG. Applied Dental Materials. 9th ed. Oxford: Wiley-Blackwell; 2008.</w:t>
      </w:r>
    </w:p>
    <w:p>
      <w:pPr>
        <w:spacing w:after="120"/>
        <w:ind w:left="432" w:hanging="432"/>
      </w:pPr>
      <w:r>
        <w:rPr>
          <w:sz w:val="20"/>
        </w:rPr>
        <w:t xml:space="preserve">4. </w:t>
      </w:r>
      <w:r>
        <w:rPr>
          <w:sz w:val="20"/>
        </w:rPr>
        <w:t>Roberson TM, Heymann HO, Swift EJ Jr, editors. Sturdevant's Art and Science of Operative Dentistry. 5th ed. St. Louis: Mosby (Elsevier); 2006. Chapter 4, “Biomaterials,” p.188-189 (bond-strength test methodology).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Etch pattern</w:t>
            </w:r>
          </w:p>
        </w:tc>
        <w:tc>
          <w:tcPr>
            <w:tcW w:type="dxa" w:w="4320"/>
          </w:tcPr>
          <w:p>
            <w:r>
              <w:rPr>
                <w:b/>
                <w:sz w:val="18"/>
              </w:rPr>
              <w:t>What it removes</w:t>
            </w:r>
          </w:p>
        </w:tc>
      </w:tr>
      <w:tr>
        <w:tc>
          <w:tcPr>
            <w:tcW w:type="dxa" w:w="4320"/>
          </w:tcPr>
          <w:p>
            <w:r>
              <w:rPr>
                <w:sz w:val="18"/>
              </w:rPr>
              <w:t>Type I</w:t>
            </w:r>
          </w:p>
        </w:tc>
        <w:tc>
          <w:tcPr>
            <w:tcW w:type="dxa" w:w="4320"/>
          </w:tcPr>
          <w:p>
            <w:r>
              <w:rPr>
                <w:sz w:val="18"/>
              </w:rPr>
              <w:t>Removes the PRISM CORE material, leaving the prism periphery relatively intact</w:t>
            </w:r>
          </w:p>
        </w:tc>
      </w:tr>
      <w:tr>
        <w:tc>
          <w:tcPr>
            <w:tcW w:type="dxa" w:w="4320"/>
          </w:tcPr>
          <w:p>
            <w:r>
              <w:rPr>
                <w:sz w:val="18"/>
              </w:rPr>
              <w:t>Type II</w:t>
            </w:r>
          </w:p>
        </w:tc>
        <w:tc>
          <w:tcPr>
            <w:tcW w:type="dxa" w:w="4320"/>
          </w:tcPr>
          <w:p>
            <w:r>
              <w:rPr>
                <w:sz w:val="18"/>
              </w:rPr>
              <w:t>Removes the PRISM PERIPHERY, leaving the prism core relatively unaffected</w:t>
            </w:r>
          </w:p>
        </w:tc>
      </w:tr>
      <w:tr>
        <w:tc>
          <w:tcPr>
            <w:tcW w:type="dxa" w:w="4320"/>
          </w:tcPr>
          <w:p>
            <w:r>
              <w:rPr>
                <w:sz w:val="18"/>
              </w:rPr>
              <w:t>Type III</w:t>
            </w:r>
          </w:p>
        </w:tc>
        <w:tc>
          <w:tcPr>
            <w:tcW w:type="dxa" w:w="4320"/>
          </w:tcPr>
          <w:p>
            <w:r>
              <w:rPr>
                <w:sz w:val="18"/>
              </w:rPr>
              <w:t>A random combination of Type I and II, producing a morphologically unclassifiable pattern</w:t>
            </w:r>
          </w:p>
        </w:tc>
      </w:tr>
    </w:tbl>
    <w:p>
      <w:r>
        <w:rPr>
          <w:i/>
          <w:sz w:val="18"/>
        </w:rPr>
        <w:t>Source: [5, p.449]. Macrotags form between enamel-prism peripheries; microtags form within prism cores — together these form within a specifically measured 550-µm-thick microporous layer created by phosphoric acid etching.</w:t>
      </w:r>
    </w:p>
    <w:p/>
    <w:p>
      <w:pPr>
        <w:spacing w:after="120"/>
        <w:ind w:left="432" w:hanging="432"/>
      </w:pPr>
      <w:r>
        <w:rPr>
          <w:sz w:val="20"/>
        </w:rPr>
        <w:t xml:space="preserve">5. </w:t>
      </w:r>
      <w:r>
        <w:rPr>
          <w:sz w:val="20"/>
        </w:rPr>
        <w:t>Breschi L, Ferracane JL, Cadenaro M, Mazzoni A, Hilton TJ. Adhesion to Enamel and Dentin. In: Hilton TJ, Ferracane JL, Broome JC, editors. Summitt's Fundamentals of Operative Dentistry. 4th ed. Chicago: Quintessence Publishing. p.447, 449-451.</w:t>
      </w:r>
    </w:p>
    <w:p>
      <w:pPr>
        <w:spacing w:after="120"/>
        <w:ind w:left="432" w:hanging="432"/>
      </w:pPr>
      <w:r>
        <w:rPr>
          <w:sz w:val="20"/>
        </w:rPr>
        <w:t xml:space="preserve">6. </w:t>
      </w:r>
      <w:r>
        <w:rPr>
          <w:sz w:val="20"/>
        </w:rPr>
        <w:t>Marzouk MA, Simonton AL, Gross RD. Operative Dentistry: Modern Theory and Practice. New Delhi: Ishiyaku EuroAmerica/AITBS; 1985. Composite resins chapter, acid-conditioning-of-enamel section. PDF pagination used (PDF p.182-183); no clean printed folio was recoverable from the OCR'd text at this location, consistent with the transparency approach used for this source elsewhere.</w:t>
      </w:r>
    </w:p>
    <w:p>
      <w:r>
        <w:t>7.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